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F657" w14:textId="6EB2D4FB" w:rsidR="000F7DE3" w:rsidRDefault="00EB3A94" w:rsidP="003813D0">
      <w:pPr>
        <w:jc w:val="center"/>
        <w:rPr>
          <w:b/>
          <w:bCs/>
        </w:rPr>
      </w:pPr>
      <w:r w:rsidRPr="00EB3A94">
        <w:rPr>
          <w:b/>
          <w:bCs/>
        </w:rPr>
        <w:t>SIWG on e</w:t>
      </w:r>
      <w:r w:rsidR="00532B95">
        <w:rPr>
          <w:b/>
          <w:bCs/>
        </w:rPr>
        <w:t>lectronic approaches to the notification and movement documents</w:t>
      </w:r>
      <w:r>
        <w:rPr>
          <w:b/>
          <w:bCs/>
        </w:rPr>
        <w:t xml:space="preserve"> </w:t>
      </w:r>
      <w:r w:rsidR="003813D0">
        <w:rPr>
          <w:b/>
          <w:bCs/>
        </w:rPr>
        <w:br/>
      </w:r>
      <w:r w:rsidR="00E80EA5">
        <w:rPr>
          <w:b/>
          <w:bCs/>
        </w:rPr>
        <w:t>under the Basel Convention</w:t>
      </w:r>
    </w:p>
    <w:p w14:paraId="37D16DA0" w14:textId="769E966F" w:rsidR="002C6E30" w:rsidRPr="000F7DE3" w:rsidRDefault="00532B95" w:rsidP="003813D0">
      <w:pPr>
        <w:jc w:val="center"/>
        <w:rPr>
          <w:b/>
          <w:bCs/>
        </w:rPr>
      </w:pPr>
      <w:r>
        <w:t>Summary notes</w:t>
      </w:r>
      <w:r w:rsidR="00EB3A94" w:rsidRPr="00EB3A94">
        <w:t xml:space="preserve"> of </w:t>
      </w:r>
      <w:r w:rsidR="000F7DE3">
        <w:t xml:space="preserve">the informal consultation of </w:t>
      </w:r>
      <w:r w:rsidR="00EB3A94" w:rsidRPr="00EB3A94">
        <w:t>1</w:t>
      </w:r>
      <w:r w:rsidR="003813D0">
        <w:t>8</w:t>
      </w:r>
      <w:r w:rsidR="00EB3A94" w:rsidRPr="00EB3A94">
        <w:t xml:space="preserve"> </w:t>
      </w:r>
      <w:r w:rsidR="003813D0">
        <w:t>January 2024.</w:t>
      </w:r>
    </w:p>
    <w:p w14:paraId="6DD060AF" w14:textId="799B089B" w:rsidR="00B57970" w:rsidRPr="00532B95" w:rsidRDefault="003B665D">
      <w:pPr>
        <w:rPr>
          <w:b/>
          <w:bCs/>
        </w:rPr>
      </w:pPr>
      <w:r>
        <w:br/>
      </w:r>
      <w:r w:rsidR="00532B95" w:rsidRPr="00532B95">
        <w:rPr>
          <w:b/>
          <w:bCs/>
        </w:rPr>
        <w:t>Topics discussed:</w:t>
      </w:r>
    </w:p>
    <w:p w14:paraId="6F25FA3B" w14:textId="580E31A5" w:rsidR="0060088A" w:rsidRDefault="003813D0" w:rsidP="0060088A">
      <w:pPr>
        <w:numPr>
          <w:ilvl w:val="0"/>
          <w:numId w:val="3"/>
        </w:numPr>
        <w:tabs>
          <w:tab w:val="clear" w:pos="720"/>
          <w:tab w:val="num" w:pos="360"/>
        </w:tabs>
        <w:spacing w:line="254" w:lineRule="auto"/>
        <w:ind w:left="360"/>
      </w:pPr>
      <w:r>
        <w:t>Welcome by the Secretariat</w:t>
      </w:r>
      <w:r w:rsidR="00802316">
        <w:t xml:space="preserve">, who also </w:t>
      </w:r>
      <w:r w:rsidR="0021583C">
        <w:t xml:space="preserve">thanked </w:t>
      </w:r>
      <w:r w:rsidR="00C6141F">
        <w:t>Mr Yorg Aerts – from the European</w:t>
      </w:r>
      <w:r w:rsidR="00AB3CB7">
        <w:t xml:space="preserve"> Commission </w:t>
      </w:r>
      <w:r w:rsidR="0021583C">
        <w:t xml:space="preserve">– who accepted to </w:t>
      </w:r>
      <w:r w:rsidR="006F7CB6">
        <w:t xml:space="preserve">chair the informal consultation and the upcoming </w:t>
      </w:r>
      <w:r w:rsidR="003A7692">
        <w:t xml:space="preserve">meeting </w:t>
      </w:r>
      <w:r w:rsidR="006F7CB6">
        <w:t>of the group on 6 March 2024.</w:t>
      </w:r>
    </w:p>
    <w:p w14:paraId="158F6DE8" w14:textId="69C858C1" w:rsidR="0060088A" w:rsidRDefault="00F970DD" w:rsidP="0060088A">
      <w:pPr>
        <w:numPr>
          <w:ilvl w:val="0"/>
          <w:numId w:val="3"/>
        </w:numPr>
        <w:tabs>
          <w:tab w:val="clear" w:pos="720"/>
          <w:tab w:val="num" w:pos="360"/>
        </w:tabs>
        <w:spacing w:line="254" w:lineRule="auto"/>
        <w:ind w:left="360"/>
      </w:pPr>
      <w:r>
        <w:t xml:space="preserve">Plans for the 6 March </w:t>
      </w:r>
      <w:r w:rsidR="00357CA7">
        <w:t xml:space="preserve">2024 </w:t>
      </w:r>
      <w:r>
        <w:t>meeting</w:t>
      </w:r>
    </w:p>
    <w:p w14:paraId="7873AEE9" w14:textId="374DF809" w:rsidR="00357CA7" w:rsidRPr="00357CA7" w:rsidRDefault="00357CA7" w:rsidP="00357CA7">
      <w:pPr>
        <w:numPr>
          <w:ilvl w:val="1"/>
          <w:numId w:val="3"/>
        </w:numPr>
        <w:spacing w:line="254" w:lineRule="auto"/>
        <w:ind w:left="1080"/>
      </w:pPr>
      <w:r>
        <w:t>The Secretariat explained that the main objective of th</w:t>
      </w:r>
      <w:r w:rsidR="00496886">
        <w:t>e</w:t>
      </w:r>
      <w:r>
        <w:t xml:space="preserve"> call was to d</w:t>
      </w:r>
      <w:r w:rsidRPr="00357CA7">
        <w:t xml:space="preserve">iscuss which topics to cover and how to divide the time of the meeting on 6 March 2024 </w:t>
      </w:r>
      <w:r>
        <w:t>–</w:t>
      </w:r>
      <w:r w:rsidRPr="00357CA7">
        <w:t xml:space="preserve"> Geneva</w:t>
      </w:r>
      <w:r>
        <w:t>.</w:t>
      </w:r>
    </w:p>
    <w:p w14:paraId="148BA7E7" w14:textId="28E571D3" w:rsidR="00CA3B36" w:rsidRDefault="00F970DD" w:rsidP="0060088A">
      <w:pPr>
        <w:numPr>
          <w:ilvl w:val="1"/>
          <w:numId w:val="3"/>
        </w:numPr>
        <w:spacing w:line="254" w:lineRule="auto"/>
        <w:ind w:left="1080"/>
      </w:pPr>
      <w:r>
        <w:t>The chair</w:t>
      </w:r>
      <w:r w:rsidR="00CA3B36">
        <w:t xml:space="preserve"> asked the group </w:t>
      </w:r>
      <w:r w:rsidR="008334B8">
        <w:t xml:space="preserve">for views about </w:t>
      </w:r>
      <w:r w:rsidR="00D97F6F">
        <w:t>how to organize the</w:t>
      </w:r>
      <w:r w:rsidR="00496886">
        <w:t xml:space="preserve"> </w:t>
      </w:r>
      <w:r w:rsidR="00D97F6F">
        <w:t>March</w:t>
      </w:r>
      <w:r w:rsidR="0021583C">
        <w:t xml:space="preserve"> meeting</w:t>
      </w:r>
      <w:r w:rsidR="008334B8">
        <w:t>.</w:t>
      </w:r>
      <w:r w:rsidR="00D97F6F">
        <w:t xml:space="preserve"> </w:t>
      </w:r>
    </w:p>
    <w:p w14:paraId="07A6523B" w14:textId="6BA73E56" w:rsidR="00BD153E" w:rsidRDefault="006A6F11" w:rsidP="0060088A">
      <w:pPr>
        <w:numPr>
          <w:ilvl w:val="1"/>
          <w:numId w:val="3"/>
        </w:numPr>
        <w:spacing w:line="254" w:lineRule="auto"/>
        <w:ind w:left="1080"/>
      </w:pPr>
      <w:r>
        <w:t xml:space="preserve">The Secretariat explained that in 2021 an online meeting </w:t>
      </w:r>
      <w:proofErr w:type="gramStart"/>
      <w:r>
        <w:t>was organized</w:t>
      </w:r>
      <w:proofErr w:type="gramEnd"/>
      <w:r>
        <w:t xml:space="preserve">, </w:t>
      </w:r>
      <w:r w:rsidR="00780816">
        <w:t>before</w:t>
      </w:r>
      <w:r>
        <w:t xml:space="preserve"> the establishment</w:t>
      </w:r>
      <w:r w:rsidR="00780816">
        <w:t xml:space="preserve"> of this working group,</w:t>
      </w:r>
      <w:r>
        <w:t xml:space="preserve"> where many demonstrations </w:t>
      </w:r>
      <w:r w:rsidR="00780816">
        <w:t>were made by different Parties and stakeholders</w:t>
      </w:r>
      <w:r w:rsidR="008334B8">
        <w:t xml:space="preserve"> who already had electronic solutions and standards </w:t>
      </w:r>
      <w:r w:rsidR="00F87091">
        <w:t>to support the Basel Convention PIC procedure</w:t>
      </w:r>
      <w:r w:rsidR="00496886">
        <w:t>, and related initiatives (e.g., e-CITES)</w:t>
      </w:r>
      <w:r w:rsidR="00780816">
        <w:t xml:space="preserve">. </w:t>
      </w:r>
    </w:p>
    <w:p w14:paraId="05221EF9" w14:textId="0013DAD6" w:rsidR="00CA3B36" w:rsidRDefault="00F87091" w:rsidP="0060088A">
      <w:pPr>
        <w:numPr>
          <w:ilvl w:val="1"/>
          <w:numId w:val="3"/>
        </w:numPr>
        <w:spacing w:line="254" w:lineRule="auto"/>
        <w:ind w:left="1080"/>
      </w:pPr>
      <w:r>
        <w:t>The chair</w:t>
      </w:r>
      <w:r w:rsidR="00CA3B36">
        <w:t xml:space="preserve"> mentioned that one </w:t>
      </w:r>
      <w:r w:rsidR="003D37F6">
        <w:t>way to organize the March meeting</w:t>
      </w:r>
      <w:r w:rsidR="00CA3B36">
        <w:t xml:space="preserve"> could be to use the morning slot for demonstration of solutions, lessons learned, plans for new initiatives, </w:t>
      </w:r>
      <w:proofErr w:type="gramStart"/>
      <w:r w:rsidR="00CA3B36">
        <w:t>etc</w:t>
      </w:r>
      <w:proofErr w:type="gramEnd"/>
      <w:r w:rsidR="00CA3B36">
        <w:t xml:space="preserve">, </w:t>
      </w:r>
      <w:r w:rsidR="003D37F6">
        <w:t xml:space="preserve">which would </w:t>
      </w:r>
      <w:r w:rsidR="00CA3B36">
        <w:t xml:space="preserve">be done on a voluntary basis. And that the afternoon slot could </w:t>
      </w:r>
      <w:proofErr w:type="gramStart"/>
      <w:r w:rsidR="00CA3B36">
        <w:t xml:space="preserve">be </w:t>
      </w:r>
      <w:r w:rsidR="00AD2AF5">
        <w:t>used</w:t>
      </w:r>
      <w:proofErr w:type="gramEnd"/>
      <w:r w:rsidR="00AD2AF5">
        <w:t xml:space="preserve"> to </w:t>
      </w:r>
      <w:r w:rsidR="00B544E5">
        <w:t>discuss</w:t>
      </w:r>
      <w:r w:rsidR="00AD2AF5">
        <w:t xml:space="preserve"> </w:t>
      </w:r>
      <w:r w:rsidR="00B544E5">
        <w:t xml:space="preserve">about topics to be included in an information document from the group </w:t>
      </w:r>
      <w:r w:rsidR="00AD2AF5">
        <w:t xml:space="preserve">to the OEWG-14 meeting, to take place in June 2024, in Geneva. </w:t>
      </w:r>
    </w:p>
    <w:p w14:paraId="28C3770E" w14:textId="3054A8DA" w:rsidR="00DF30B3" w:rsidRPr="00C76952" w:rsidRDefault="00B544E5" w:rsidP="004E5309">
      <w:pPr>
        <w:numPr>
          <w:ilvl w:val="1"/>
          <w:numId w:val="3"/>
        </w:numPr>
        <w:spacing w:line="254" w:lineRule="auto"/>
        <w:ind w:left="1080"/>
        <w:rPr>
          <w:color w:val="FF0000"/>
        </w:rPr>
      </w:pPr>
      <w:proofErr w:type="gramStart"/>
      <w:r>
        <w:t>Several</w:t>
      </w:r>
      <w:proofErr w:type="gramEnd"/>
      <w:r>
        <w:t xml:space="preserve"> participants supported these </w:t>
      </w:r>
      <w:r w:rsidR="00E20EEE">
        <w:t>ideas and</w:t>
      </w:r>
      <w:r w:rsidR="00A14A2E">
        <w:t xml:space="preserve"> mentioned that a mix of </w:t>
      </w:r>
      <w:r w:rsidR="00E20EEE">
        <w:t xml:space="preserve">presentations from </w:t>
      </w:r>
      <w:r w:rsidR="00A14A2E">
        <w:t xml:space="preserve">Parties and </w:t>
      </w:r>
      <w:r w:rsidR="005605CF">
        <w:t xml:space="preserve">other </w:t>
      </w:r>
      <w:r w:rsidR="00A14A2E">
        <w:t xml:space="preserve">stakeholders </w:t>
      </w:r>
      <w:r w:rsidR="00E20EEE">
        <w:t>c</w:t>
      </w:r>
      <w:r w:rsidR="00A14A2E">
        <w:t>ould be useful</w:t>
      </w:r>
      <w:r w:rsidR="00E20EEE">
        <w:t xml:space="preserve"> to learn from each other</w:t>
      </w:r>
      <w:r w:rsidR="00085D26">
        <w:t>.</w:t>
      </w:r>
      <w:r w:rsidRPr="00C76952">
        <w:rPr>
          <w:color w:val="FF0000"/>
        </w:rPr>
        <w:t xml:space="preserve"> </w:t>
      </w:r>
    </w:p>
    <w:p w14:paraId="6B623486" w14:textId="5BD887E4" w:rsidR="00B544E5" w:rsidRDefault="00B544E5" w:rsidP="004E5309">
      <w:pPr>
        <w:numPr>
          <w:ilvl w:val="1"/>
          <w:numId w:val="3"/>
        </w:numPr>
        <w:spacing w:line="254" w:lineRule="auto"/>
        <w:ind w:left="1080"/>
      </w:pPr>
      <w:proofErr w:type="gramStart"/>
      <w:r>
        <w:t>Some</w:t>
      </w:r>
      <w:proofErr w:type="gramEnd"/>
      <w:r>
        <w:t xml:space="preserve"> </w:t>
      </w:r>
      <w:r w:rsidR="00B12CC0">
        <w:t xml:space="preserve">participants </w:t>
      </w:r>
      <w:r>
        <w:t xml:space="preserve">mentioned their </w:t>
      </w:r>
      <w:r w:rsidR="00DF30B3">
        <w:t>willingness</w:t>
      </w:r>
      <w:r>
        <w:t xml:space="preserve"> </w:t>
      </w:r>
      <w:r w:rsidR="00DF30B3">
        <w:t xml:space="preserve">to </w:t>
      </w:r>
      <w:r>
        <w:t>shar</w:t>
      </w:r>
      <w:r w:rsidR="00DF30B3">
        <w:t>e</w:t>
      </w:r>
      <w:r>
        <w:t xml:space="preserve"> their experiences </w:t>
      </w:r>
      <w:r w:rsidR="00485925">
        <w:t>and/</w:t>
      </w:r>
      <w:r>
        <w:t>or solutions</w:t>
      </w:r>
      <w:r w:rsidR="00B12CC0">
        <w:t xml:space="preserve"> and will consider </w:t>
      </w:r>
      <w:r w:rsidR="00DF30B3">
        <w:t>making presentations</w:t>
      </w:r>
      <w:r w:rsidR="002B5DE1">
        <w:t>.</w:t>
      </w:r>
    </w:p>
    <w:p w14:paraId="328B93ED" w14:textId="7A83BDA2" w:rsidR="003033BF" w:rsidRDefault="003033BF" w:rsidP="004E5309">
      <w:pPr>
        <w:numPr>
          <w:ilvl w:val="1"/>
          <w:numId w:val="3"/>
        </w:numPr>
        <w:spacing w:line="254" w:lineRule="auto"/>
        <w:ind w:left="1080"/>
      </w:pPr>
      <w:r>
        <w:t>The chair explained that giving the limited amount of time</w:t>
      </w:r>
      <w:r w:rsidR="000E7FA1">
        <w:t xml:space="preserve"> of a one-day meeting</w:t>
      </w:r>
      <w:r>
        <w:t xml:space="preserve">, it would be </w:t>
      </w:r>
      <w:r w:rsidR="00883129">
        <w:t>important for</w:t>
      </w:r>
      <w:r>
        <w:t xml:space="preserve"> those </w:t>
      </w:r>
      <w:r w:rsidR="00C76952">
        <w:t xml:space="preserve">interested </w:t>
      </w:r>
      <w:r w:rsidR="00883129">
        <w:t>to</w:t>
      </w:r>
      <w:r w:rsidR="00C76952">
        <w:t xml:space="preserve"> indicate </w:t>
      </w:r>
      <w:r w:rsidR="00622C00">
        <w:t xml:space="preserve">to the Secretariat </w:t>
      </w:r>
      <w:r w:rsidR="00C76952">
        <w:t xml:space="preserve">their needs for </w:t>
      </w:r>
      <w:r w:rsidR="00883129">
        <w:t xml:space="preserve">their </w:t>
      </w:r>
      <w:r w:rsidR="00C76952">
        <w:t>presentations</w:t>
      </w:r>
      <w:r w:rsidR="00883129">
        <w:t xml:space="preserve"> and time required</w:t>
      </w:r>
      <w:r w:rsidR="00622C00">
        <w:t xml:space="preserve">, so that </w:t>
      </w:r>
      <w:r w:rsidR="00883129">
        <w:t>the Secretariat could</w:t>
      </w:r>
      <w:r w:rsidR="00622C00">
        <w:t xml:space="preserve"> plan accordingly</w:t>
      </w:r>
      <w:r w:rsidR="00C76952">
        <w:t xml:space="preserve">. </w:t>
      </w:r>
    </w:p>
    <w:p w14:paraId="10D8F211" w14:textId="02535A34" w:rsidR="00C215E8" w:rsidRDefault="00C215E8" w:rsidP="004E5309">
      <w:pPr>
        <w:numPr>
          <w:ilvl w:val="1"/>
          <w:numId w:val="3"/>
        </w:numPr>
        <w:spacing w:line="254" w:lineRule="auto"/>
        <w:ind w:left="1080"/>
      </w:pPr>
      <w:r>
        <w:t xml:space="preserve">The chair highlighted that on 7-8 March, the SIWG </w:t>
      </w:r>
      <w:r w:rsidR="009E004D">
        <w:t>on improving the PIC procedure is meeting in Geneva</w:t>
      </w:r>
      <w:r w:rsidR="001C3222">
        <w:t xml:space="preserve"> as well</w:t>
      </w:r>
      <w:r w:rsidR="009E004D">
        <w:t xml:space="preserve">, and that </w:t>
      </w:r>
      <w:r w:rsidR="001C3222">
        <w:t xml:space="preserve">this </w:t>
      </w:r>
      <w:r w:rsidR="002B5DE1">
        <w:t>could be</w:t>
      </w:r>
      <w:r w:rsidR="009E004D">
        <w:t xml:space="preserve"> a good opportunity for both groups to learn about each other. </w:t>
      </w:r>
      <w:r w:rsidR="00246EF3">
        <w:t>The lead country of th</w:t>
      </w:r>
      <w:r w:rsidR="001C3222">
        <w:t>e</w:t>
      </w:r>
      <w:r w:rsidR="00246EF3">
        <w:t xml:space="preserve"> other SIWG (France) supported th</w:t>
      </w:r>
      <w:r w:rsidR="001C3222">
        <w:t>e</w:t>
      </w:r>
      <w:r w:rsidR="00246EF3">
        <w:t xml:space="preserve"> idea </w:t>
      </w:r>
      <w:r w:rsidR="001C3222">
        <w:t xml:space="preserve">of using </w:t>
      </w:r>
      <w:proofErr w:type="gramStart"/>
      <w:r w:rsidR="001C3222">
        <w:t>some</w:t>
      </w:r>
      <w:proofErr w:type="gramEnd"/>
      <w:r w:rsidR="001C3222">
        <w:t xml:space="preserve"> dedicated time in both meetings to discuss the collaboration between the two groups. He mentioned that such a </w:t>
      </w:r>
      <w:r w:rsidR="001C3222" w:rsidRPr="00A80FB4">
        <w:t>coll</w:t>
      </w:r>
      <w:r w:rsidR="00A80FB4" w:rsidRPr="00A80FB4">
        <w:t>aboration</w:t>
      </w:r>
      <w:r w:rsidR="002B5DE1">
        <w:t xml:space="preserve"> should take place</w:t>
      </w:r>
      <w:r w:rsidR="00246EF3">
        <w:t xml:space="preserve"> on a regular basis since the work of the two SIWGs </w:t>
      </w:r>
      <w:proofErr w:type="gramStart"/>
      <w:r w:rsidR="00246EF3">
        <w:t>are interlinked</w:t>
      </w:r>
      <w:proofErr w:type="gramEnd"/>
      <w:r w:rsidR="00246EF3">
        <w:t xml:space="preserve">. </w:t>
      </w:r>
    </w:p>
    <w:p w14:paraId="249D364B" w14:textId="13FBD288" w:rsidR="00FD01B8" w:rsidRDefault="00485925" w:rsidP="00FD01B8">
      <w:pPr>
        <w:numPr>
          <w:ilvl w:val="1"/>
          <w:numId w:val="3"/>
        </w:numPr>
        <w:spacing w:line="254" w:lineRule="auto"/>
        <w:ind w:left="1080"/>
      </w:pPr>
      <w:r>
        <w:t>F</w:t>
      </w:r>
      <w:r w:rsidR="00EC5071">
        <w:t>or the afternoon slot</w:t>
      </w:r>
      <w:r>
        <w:t xml:space="preserve">, </w:t>
      </w:r>
      <w:r w:rsidR="00415452">
        <w:t>the group discuss</w:t>
      </w:r>
      <w:r w:rsidR="00A309B5">
        <w:t>ed the topics that could be included, such as</w:t>
      </w:r>
      <w:r w:rsidR="00415452">
        <w:t xml:space="preserve"> pilot projects (i.e., what is needed, </w:t>
      </w:r>
      <w:r w:rsidR="00F27CD5">
        <w:t xml:space="preserve">how this group can learn from projects </w:t>
      </w:r>
      <w:r w:rsidR="00A676A9">
        <w:t>and</w:t>
      </w:r>
      <w:r w:rsidR="00F27CD5">
        <w:t xml:space="preserve"> offer some guidance</w:t>
      </w:r>
      <w:r w:rsidR="00C215E8">
        <w:t xml:space="preserve"> to those who wish to engage in pilot projects), </w:t>
      </w:r>
      <w:r w:rsidR="00A309B5">
        <w:t>the interlinkages with the other SIWG</w:t>
      </w:r>
      <w:r w:rsidR="00482CDB">
        <w:t xml:space="preserve">, and what to bring forward in the OEWG-14 information document about the work being done by this group. </w:t>
      </w:r>
    </w:p>
    <w:p w14:paraId="7481A61F" w14:textId="1C90F1FA" w:rsidR="007C687B" w:rsidRDefault="007C687B" w:rsidP="00FD01B8">
      <w:pPr>
        <w:numPr>
          <w:ilvl w:val="1"/>
          <w:numId w:val="3"/>
        </w:numPr>
        <w:spacing w:line="254" w:lineRule="auto"/>
        <w:ind w:left="1080"/>
      </w:pPr>
      <w:r>
        <w:lastRenderedPageBreak/>
        <w:t>It was highlighted the importance of recording the main points discussed during the March meeting</w:t>
      </w:r>
      <w:r w:rsidR="008D1083">
        <w:t xml:space="preserve"> to inform others outside the group to understand what this group is working on</w:t>
      </w:r>
      <w:proofErr w:type="gramStart"/>
      <w:r w:rsidR="00482CDB">
        <w:t xml:space="preserve">. </w:t>
      </w:r>
      <w:r w:rsidR="00F35B09">
        <w:t xml:space="preserve"> </w:t>
      </w:r>
      <w:proofErr w:type="gramEnd"/>
    </w:p>
    <w:p w14:paraId="6BC3DDCD" w14:textId="77777777" w:rsidR="003010B8" w:rsidRDefault="003010B8" w:rsidP="00FD01B8">
      <w:pPr>
        <w:numPr>
          <w:ilvl w:val="1"/>
          <w:numId w:val="3"/>
        </w:numPr>
        <w:spacing w:line="254" w:lineRule="auto"/>
        <w:ind w:left="1080"/>
      </w:pPr>
      <w:r>
        <w:t xml:space="preserve">Finally, the group briefly discussed the importance of having participants in this group with IT knowledge, as </w:t>
      </w:r>
      <w:proofErr w:type="gramStart"/>
      <w:r>
        <w:t>some of</w:t>
      </w:r>
      <w:proofErr w:type="gramEnd"/>
      <w:r>
        <w:t xml:space="preserve"> the discussions may be of a technical nature. And the group could consider in the future to organize break-out settings to discuss more technical aspects of the automation of the PIC procedure. </w:t>
      </w:r>
    </w:p>
    <w:p w14:paraId="18DC7965" w14:textId="4D0B3942" w:rsidR="00670094" w:rsidRDefault="00670094" w:rsidP="00FD01B8">
      <w:pPr>
        <w:numPr>
          <w:ilvl w:val="1"/>
          <w:numId w:val="3"/>
        </w:numPr>
        <w:spacing w:line="254" w:lineRule="auto"/>
        <w:ind w:left="1080"/>
      </w:pPr>
      <w:r>
        <w:t xml:space="preserve">The group concluded the </w:t>
      </w:r>
      <w:r w:rsidR="00494CE0">
        <w:t>discussions,</w:t>
      </w:r>
      <w:r>
        <w:t xml:space="preserve"> and two actions </w:t>
      </w:r>
      <w:proofErr w:type="gramStart"/>
      <w:r>
        <w:t>were agreed</w:t>
      </w:r>
      <w:proofErr w:type="gramEnd"/>
      <w:r>
        <w:t xml:space="preserve"> on to be done by the Secreta</w:t>
      </w:r>
      <w:r w:rsidR="00494CE0">
        <w:t>r</w:t>
      </w:r>
      <w:r>
        <w:t xml:space="preserve">iat. </w:t>
      </w:r>
    </w:p>
    <w:p w14:paraId="45964EAA" w14:textId="77777777" w:rsidR="00466A84" w:rsidRPr="00466A84" w:rsidRDefault="006B280C" w:rsidP="00FD01B8">
      <w:pPr>
        <w:numPr>
          <w:ilvl w:val="1"/>
          <w:numId w:val="3"/>
        </w:numPr>
        <w:spacing w:line="254" w:lineRule="auto"/>
        <w:ind w:left="1080"/>
      </w:pPr>
      <w:r w:rsidRPr="00FD01B8">
        <w:rPr>
          <w:b/>
          <w:bCs/>
        </w:rPr>
        <w:t>Action:</w:t>
      </w:r>
      <w:r w:rsidR="00656D97" w:rsidRPr="00FD01B8">
        <w:rPr>
          <w:b/>
          <w:bCs/>
        </w:rPr>
        <w:t xml:space="preserve"> </w:t>
      </w:r>
    </w:p>
    <w:p w14:paraId="5AECA15C" w14:textId="0BE4DA6E" w:rsidR="00656D97" w:rsidRDefault="00656D97" w:rsidP="008D1083">
      <w:pPr>
        <w:numPr>
          <w:ilvl w:val="1"/>
          <w:numId w:val="3"/>
        </w:numPr>
        <w:spacing w:line="254" w:lineRule="auto"/>
      </w:pPr>
      <w:r>
        <w:t>Secretariat</w:t>
      </w:r>
      <w:r w:rsidR="002F7B51">
        <w:t xml:space="preserve"> </w:t>
      </w:r>
      <w:r w:rsidR="00FD01B8">
        <w:t xml:space="preserve">to share the summary notes of this call, where it should </w:t>
      </w:r>
      <w:proofErr w:type="gramStart"/>
      <w:r w:rsidR="00FD01B8">
        <w:t>be highlighted</w:t>
      </w:r>
      <w:proofErr w:type="gramEnd"/>
      <w:r w:rsidR="00FD01B8">
        <w:t xml:space="preserve"> the invitation for demonstrations in the</w:t>
      </w:r>
      <w:r w:rsidR="00FD01B8" w:rsidRPr="00BF5C3B">
        <w:t xml:space="preserve"> March 2024 </w:t>
      </w:r>
      <w:r w:rsidR="00046762" w:rsidRPr="00BF5C3B">
        <w:t>meeting</w:t>
      </w:r>
      <w:r w:rsidR="00A32354" w:rsidRPr="00BF5C3B">
        <w:t xml:space="preserve">. </w:t>
      </w:r>
      <w:proofErr w:type="gramStart"/>
      <w:r w:rsidR="00A32354" w:rsidRPr="00BF5C3B">
        <w:t>A</w:t>
      </w:r>
      <w:r w:rsidR="00046762" w:rsidRPr="00BF5C3B">
        <w:t>nd</w:t>
      </w:r>
      <w:r w:rsidR="00FD01B8" w:rsidRPr="00BF5C3B">
        <w:t xml:space="preserve"> </w:t>
      </w:r>
      <w:r w:rsidR="00670094" w:rsidRPr="00BF5C3B">
        <w:t>also</w:t>
      </w:r>
      <w:proofErr w:type="gramEnd"/>
      <w:r w:rsidR="00670094" w:rsidRPr="00BF5C3B">
        <w:t xml:space="preserve">, it should </w:t>
      </w:r>
      <w:r w:rsidR="00BF5C3B" w:rsidRPr="00BF5C3B">
        <w:t>mention</w:t>
      </w:r>
      <w:r w:rsidR="00670094" w:rsidRPr="00BF5C3B">
        <w:t xml:space="preserve"> the importance of having representatives of Parties in the who have a more practical experience about the PIC procedure (i.e., </w:t>
      </w:r>
      <w:r w:rsidR="006B09C0" w:rsidRPr="00BF5C3B">
        <w:t>competent authority</w:t>
      </w:r>
      <w:r w:rsidR="00670094" w:rsidRPr="00BF5C3B">
        <w:t xml:space="preserve">) </w:t>
      </w:r>
      <w:r w:rsidR="006B09C0" w:rsidRPr="00BF5C3B">
        <w:t xml:space="preserve">and IT specialists. </w:t>
      </w:r>
    </w:p>
    <w:p w14:paraId="59BC6CDB" w14:textId="33C66D6B" w:rsidR="00466A84" w:rsidRPr="006B280C" w:rsidRDefault="00466A84" w:rsidP="008D1083">
      <w:pPr>
        <w:numPr>
          <w:ilvl w:val="1"/>
          <w:numId w:val="3"/>
        </w:numPr>
        <w:spacing w:line="254" w:lineRule="auto"/>
      </w:pPr>
      <w:r>
        <w:t xml:space="preserve">Secretariat to prepare the </w:t>
      </w:r>
      <w:r w:rsidR="003033BF">
        <w:t>draft agenda</w:t>
      </w:r>
      <w:r>
        <w:t xml:space="preserve"> of the meeting</w:t>
      </w:r>
      <w:r w:rsidR="003033BF">
        <w:t xml:space="preserve">, in collaboration with the chair. </w:t>
      </w:r>
    </w:p>
    <w:p w14:paraId="3730F6F3" w14:textId="77777777" w:rsidR="0060088A" w:rsidRDefault="0060088A" w:rsidP="000F7DE3">
      <w:pPr>
        <w:numPr>
          <w:ilvl w:val="0"/>
          <w:numId w:val="4"/>
        </w:numPr>
        <w:tabs>
          <w:tab w:val="clear" w:pos="720"/>
        </w:tabs>
        <w:spacing w:line="254" w:lineRule="auto"/>
      </w:pPr>
      <w:r>
        <w:rPr>
          <w:lang w:val="fr-CH"/>
        </w:rPr>
        <w:t>Any other business</w:t>
      </w:r>
    </w:p>
    <w:p w14:paraId="6BB95086" w14:textId="0A286CFF" w:rsidR="001C4297" w:rsidRPr="00EB3A94" w:rsidRDefault="00882DB7" w:rsidP="005D5902">
      <w:pPr>
        <w:numPr>
          <w:ilvl w:val="1"/>
          <w:numId w:val="3"/>
        </w:numPr>
        <w:spacing w:line="254" w:lineRule="auto"/>
      </w:pPr>
      <w:r>
        <w:t xml:space="preserve">Not applicable. The call </w:t>
      </w:r>
      <w:proofErr w:type="gramStart"/>
      <w:r>
        <w:t>was finalized</w:t>
      </w:r>
      <w:proofErr w:type="gramEnd"/>
      <w:r>
        <w:t xml:space="preserve"> at 14:40h. </w:t>
      </w:r>
    </w:p>
    <w:sectPr w:rsidR="001C4297" w:rsidRPr="00EB3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9DC"/>
    <w:multiLevelType w:val="hybridMultilevel"/>
    <w:tmpl w:val="20D02E16"/>
    <w:lvl w:ilvl="0" w:tplc="B19EA69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0E28"/>
    <w:multiLevelType w:val="hybridMultilevel"/>
    <w:tmpl w:val="B326459E"/>
    <w:lvl w:ilvl="0" w:tplc="BFC2E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0F4B"/>
    <w:multiLevelType w:val="hybridMultilevel"/>
    <w:tmpl w:val="81785464"/>
    <w:lvl w:ilvl="0" w:tplc="3544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C2ED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BFC2EDB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EBC6C22E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921CB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E8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4AF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EC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E4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260C0"/>
    <w:multiLevelType w:val="hybridMultilevel"/>
    <w:tmpl w:val="C0E0E4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A51ED8"/>
    <w:multiLevelType w:val="hybridMultilevel"/>
    <w:tmpl w:val="F38A811C"/>
    <w:lvl w:ilvl="0" w:tplc="9168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A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A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8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21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D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E4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22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EF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4380676">
    <w:abstractNumId w:val="2"/>
  </w:num>
  <w:num w:numId="2" w16cid:durableId="403603350">
    <w:abstractNumId w:val="1"/>
  </w:num>
  <w:num w:numId="3" w16cid:durableId="2045980872">
    <w:abstractNumId w:val="2"/>
  </w:num>
  <w:num w:numId="4" w16cid:durableId="747339741">
    <w:abstractNumId w:val="0"/>
  </w:num>
  <w:num w:numId="5" w16cid:durableId="993872983">
    <w:abstractNumId w:val="3"/>
  </w:num>
  <w:num w:numId="6" w16cid:durableId="913392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89"/>
    <w:rsid w:val="00010BF8"/>
    <w:rsid w:val="00031B66"/>
    <w:rsid w:val="00046762"/>
    <w:rsid w:val="00085D26"/>
    <w:rsid w:val="000B1630"/>
    <w:rsid w:val="000B1AF5"/>
    <w:rsid w:val="000D0449"/>
    <w:rsid w:val="000E7FA1"/>
    <w:rsid w:val="000F7DE3"/>
    <w:rsid w:val="00125617"/>
    <w:rsid w:val="0014356D"/>
    <w:rsid w:val="001C3222"/>
    <w:rsid w:val="001C4297"/>
    <w:rsid w:val="001D59FD"/>
    <w:rsid w:val="0021583C"/>
    <w:rsid w:val="00246EF3"/>
    <w:rsid w:val="002A7125"/>
    <w:rsid w:val="002B5DE1"/>
    <w:rsid w:val="002C6E30"/>
    <w:rsid w:val="002F7B51"/>
    <w:rsid w:val="003010B8"/>
    <w:rsid w:val="003033BF"/>
    <w:rsid w:val="00306CA9"/>
    <w:rsid w:val="003118AA"/>
    <w:rsid w:val="00343A77"/>
    <w:rsid w:val="00357CA7"/>
    <w:rsid w:val="003813D0"/>
    <w:rsid w:val="003A7692"/>
    <w:rsid w:val="003B1328"/>
    <w:rsid w:val="003B665D"/>
    <w:rsid w:val="003D37F6"/>
    <w:rsid w:val="003D3E46"/>
    <w:rsid w:val="00415452"/>
    <w:rsid w:val="00420A48"/>
    <w:rsid w:val="004358DC"/>
    <w:rsid w:val="00466A84"/>
    <w:rsid w:val="00482CDB"/>
    <w:rsid w:val="00485925"/>
    <w:rsid w:val="00491104"/>
    <w:rsid w:val="00494CE0"/>
    <w:rsid w:val="00496886"/>
    <w:rsid w:val="00513CE3"/>
    <w:rsid w:val="00532B95"/>
    <w:rsid w:val="005605CF"/>
    <w:rsid w:val="00573676"/>
    <w:rsid w:val="00594C00"/>
    <w:rsid w:val="0059513F"/>
    <w:rsid w:val="005D5902"/>
    <w:rsid w:val="0060088A"/>
    <w:rsid w:val="00622C00"/>
    <w:rsid w:val="00656918"/>
    <w:rsid w:val="00656D97"/>
    <w:rsid w:val="00661017"/>
    <w:rsid w:val="00663389"/>
    <w:rsid w:val="00666CCE"/>
    <w:rsid w:val="00670094"/>
    <w:rsid w:val="006A6F11"/>
    <w:rsid w:val="006B09C0"/>
    <w:rsid w:val="006B280C"/>
    <w:rsid w:val="006B2BB4"/>
    <w:rsid w:val="006F7CB6"/>
    <w:rsid w:val="00780816"/>
    <w:rsid w:val="007A44DD"/>
    <w:rsid w:val="007B0BBC"/>
    <w:rsid w:val="007B23D7"/>
    <w:rsid w:val="007C687B"/>
    <w:rsid w:val="00802316"/>
    <w:rsid w:val="008334B8"/>
    <w:rsid w:val="0084149F"/>
    <w:rsid w:val="0085624C"/>
    <w:rsid w:val="00882DB7"/>
    <w:rsid w:val="00883129"/>
    <w:rsid w:val="008A5C93"/>
    <w:rsid w:val="008D1083"/>
    <w:rsid w:val="0091608B"/>
    <w:rsid w:val="00922DD5"/>
    <w:rsid w:val="00932B51"/>
    <w:rsid w:val="00950141"/>
    <w:rsid w:val="009571E0"/>
    <w:rsid w:val="009E004D"/>
    <w:rsid w:val="00A14A2E"/>
    <w:rsid w:val="00A21C6B"/>
    <w:rsid w:val="00A24382"/>
    <w:rsid w:val="00A309B5"/>
    <w:rsid w:val="00A32354"/>
    <w:rsid w:val="00A676A9"/>
    <w:rsid w:val="00A80FB4"/>
    <w:rsid w:val="00AB3CB7"/>
    <w:rsid w:val="00AD2AF5"/>
    <w:rsid w:val="00B12CC0"/>
    <w:rsid w:val="00B40AFF"/>
    <w:rsid w:val="00B476B5"/>
    <w:rsid w:val="00B544E5"/>
    <w:rsid w:val="00B57970"/>
    <w:rsid w:val="00BD153E"/>
    <w:rsid w:val="00BF5C3B"/>
    <w:rsid w:val="00C104CD"/>
    <w:rsid w:val="00C215E8"/>
    <w:rsid w:val="00C51780"/>
    <w:rsid w:val="00C6141F"/>
    <w:rsid w:val="00C76952"/>
    <w:rsid w:val="00C84004"/>
    <w:rsid w:val="00C95AE9"/>
    <w:rsid w:val="00CA3B36"/>
    <w:rsid w:val="00D06A1D"/>
    <w:rsid w:val="00D27C02"/>
    <w:rsid w:val="00D543A7"/>
    <w:rsid w:val="00D5601D"/>
    <w:rsid w:val="00D97F6F"/>
    <w:rsid w:val="00DB5583"/>
    <w:rsid w:val="00DF30B3"/>
    <w:rsid w:val="00E0705C"/>
    <w:rsid w:val="00E20EEE"/>
    <w:rsid w:val="00E54B66"/>
    <w:rsid w:val="00E80EA5"/>
    <w:rsid w:val="00EA1D7E"/>
    <w:rsid w:val="00EB3A94"/>
    <w:rsid w:val="00EC19C3"/>
    <w:rsid w:val="00EC5071"/>
    <w:rsid w:val="00F27CD5"/>
    <w:rsid w:val="00F35B09"/>
    <w:rsid w:val="00F87091"/>
    <w:rsid w:val="00F970DD"/>
    <w:rsid w:val="00FD01B8"/>
    <w:rsid w:val="00F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2BB5"/>
  <w15:chartTrackingRefBased/>
  <w15:docId w15:val="{C8909EB5-79B4-4B58-A94C-8F46B9D2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5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4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0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61A3-875F-483A-9883-0A7FB7DD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Valle-Klann</dc:creator>
  <cp:keywords/>
  <dc:description/>
  <cp:lastModifiedBy>Carla Valle-Klann</cp:lastModifiedBy>
  <cp:revision>124</cp:revision>
  <dcterms:created xsi:type="dcterms:W3CDTF">2023-10-16T11:48:00Z</dcterms:created>
  <dcterms:modified xsi:type="dcterms:W3CDTF">2024-01-29T13:55:00Z</dcterms:modified>
</cp:coreProperties>
</file>