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28998" w14:textId="77777777" w:rsidR="00D13D45" w:rsidRPr="00E64271" w:rsidRDefault="00577A85" w:rsidP="0067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271">
        <w:rPr>
          <w:rFonts w:ascii="Times New Roman" w:hAnsi="Times New Roman" w:cs="Times New Roman"/>
          <w:b/>
        </w:rPr>
        <w:t xml:space="preserve">Small Intersessional Working Group for the Update of the Technical Guidelines on </w:t>
      </w:r>
    </w:p>
    <w:p w14:paraId="12B9BC73" w14:textId="472BCC18" w:rsidR="00577A85" w:rsidRPr="00E64271" w:rsidRDefault="002D1F9A" w:rsidP="0067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D5 and</w:t>
      </w:r>
      <w:r w:rsidR="003E23C0" w:rsidRPr="00E64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D10/</w:t>
      </w:r>
      <w:r w:rsidR="003E23C0" w:rsidRPr="00E64271">
        <w:rPr>
          <w:rFonts w:ascii="Times New Roman" w:hAnsi="Times New Roman" w:cs="Times New Roman"/>
          <w:b/>
        </w:rPr>
        <w:t>R1</w:t>
      </w:r>
    </w:p>
    <w:p w14:paraId="7A7F3B2D" w14:textId="035BAE35" w:rsidR="00577A85" w:rsidRPr="00E64271" w:rsidRDefault="00D13D45" w:rsidP="0067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271">
        <w:rPr>
          <w:rFonts w:ascii="Times New Roman" w:hAnsi="Times New Roman" w:cs="Times New Roman"/>
          <w:b/>
        </w:rPr>
        <w:t>September</w:t>
      </w:r>
      <w:r w:rsidR="00577A85" w:rsidRPr="00E64271">
        <w:rPr>
          <w:rFonts w:ascii="Times New Roman" w:hAnsi="Times New Roman" w:cs="Times New Roman"/>
          <w:b/>
        </w:rPr>
        <w:t xml:space="preserve"> </w:t>
      </w:r>
      <w:r w:rsidRPr="00E64271">
        <w:rPr>
          <w:rFonts w:ascii="Times New Roman" w:hAnsi="Times New Roman" w:cs="Times New Roman"/>
          <w:b/>
        </w:rPr>
        <w:t>2</w:t>
      </w:r>
      <w:r w:rsidR="00577A85" w:rsidRPr="00E64271">
        <w:rPr>
          <w:rFonts w:ascii="Times New Roman" w:hAnsi="Times New Roman" w:cs="Times New Roman"/>
          <w:b/>
        </w:rPr>
        <w:t>4th, 2019 Teleconference</w:t>
      </w:r>
    </w:p>
    <w:p w14:paraId="034D4212" w14:textId="77777777" w:rsidR="00F71E84" w:rsidRDefault="00D13D45" w:rsidP="006753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4271">
        <w:rPr>
          <w:rFonts w:ascii="Times New Roman" w:hAnsi="Times New Roman" w:cs="Times New Roman"/>
          <w:b/>
        </w:rPr>
        <w:t>1</w:t>
      </w:r>
      <w:r w:rsidR="003E23C0" w:rsidRPr="00E64271">
        <w:rPr>
          <w:rFonts w:ascii="Times New Roman" w:hAnsi="Times New Roman" w:cs="Times New Roman"/>
          <w:b/>
        </w:rPr>
        <w:t>4</w:t>
      </w:r>
      <w:r w:rsidRPr="00E64271">
        <w:rPr>
          <w:rFonts w:ascii="Times New Roman" w:hAnsi="Times New Roman" w:cs="Times New Roman"/>
          <w:b/>
        </w:rPr>
        <w:t>h to 1</w:t>
      </w:r>
      <w:r w:rsidR="003E23C0" w:rsidRPr="00E64271">
        <w:rPr>
          <w:rFonts w:ascii="Times New Roman" w:hAnsi="Times New Roman" w:cs="Times New Roman"/>
          <w:b/>
        </w:rPr>
        <w:t>5</w:t>
      </w:r>
      <w:r w:rsidRPr="00E64271">
        <w:rPr>
          <w:rFonts w:ascii="Times New Roman" w:hAnsi="Times New Roman" w:cs="Times New Roman"/>
          <w:b/>
        </w:rPr>
        <w:t>h</w:t>
      </w:r>
      <w:r w:rsidR="00577A85" w:rsidRPr="00E64271">
        <w:rPr>
          <w:rFonts w:ascii="Times New Roman" w:hAnsi="Times New Roman" w:cs="Times New Roman"/>
          <w:b/>
        </w:rPr>
        <w:t xml:space="preserve"> Geneva time</w:t>
      </w:r>
    </w:p>
    <w:p w14:paraId="3BC34253" w14:textId="12A5BAC9" w:rsidR="00D473BA" w:rsidRPr="00D13D45" w:rsidRDefault="00F71E84" w:rsidP="0067538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Co-leads Summary</w:t>
      </w:r>
      <w:r w:rsidR="00D473BA" w:rsidRPr="00D13D45">
        <w:rPr>
          <w:rFonts w:ascii="Arial" w:hAnsi="Arial" w:cs="Arial"/>
          <w:b/>
        </w:rPr>
        <w:br/>
      </w:r>
    </w:p>
    <w:p w14:paraId="71FD1265" w14:textId="0E03941D" w:rsidR="00577A85" w:rsidRPr="00B33A2A" w:rsidRDefault="00577A85" w:rsidP="001B59D8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B33A2A">
        <w:rPr>
          <w:rFonts w:ascii="Times New Roman" w:hAnsi="Times New Roman" w:cs="Times New Roman"/>
        </w:rPr>
        <w:t xml:space="preserve">For the </w:t>
      </w:r>
      <w:r w:rsidRPr="00B33A2A">
        <w:rPr>
          <w:rFonts w:ascii="Times New Roman" w:hAnsi="Times New Roman" w:cs="Times New Roman"/>
          <w:u w:val="single"/>
        </w:rPr>
        <w:t>list of attendees</w:t>
      </w:r>
      <w:r w:rsidRPr="00B33A2A">
        <w:rPr>
          <w:rFonts w:ascii="Times New Roman" w:hAnsi="Times New Roman" w:cs="Times New Roman"/>
        </w:rPr>
        <w:t xml:space="preserve">, please see </w:t>
      </w:r>
      <w:r w:rsidRPr="00B33A2A">
        <w:rPr>
          <w:rFonts w:ascii="Times New Roman" w:hAnsi="Times New Roman" w:cs="Times New Roman"/>
          <w:u w:val="single"/>
        </w:rPr>
        <w:t>Annex I</w:t>
      </w:r>
      <w:r w:rsidRPr="00B33A2A">
        <w:rPr>
          <w:rFonts w:ascii="Times New Roman" w:hAnsi="Times New Roman" w:cs="Times New Roman"/>
        </w:rPr>
        <w:t xml:space="preserve"> of this document. </w:t>
      </w:r>
    </w:p>
    <w:p w14:paraId="3A55D22F" w14:textId="2CD0E408" w:rsidR="00E64271" w:rsidRPr="00B33A2A" w:rsidRDefault="00E64271" w:rsidP="001B59D8">
      <w:pPr>
        <w:spacing w:beforeLines="60" w:before="144" w:afterLines="60" w:after="144" w:line="240" w:lineRule="auto"/>
        <w:rPr>
          <w:rFonts w:ascii="Times New Roman" w:hAnsi="Times New Roman" w:cs="Times New Roman"/>
        </w:rPr>
      </w:pPr>
      <w:r w:rsidRPr="00B33A2A">
        <w:rPr>
          <w:rFonts w:ascii="Times New Roman" w:hAnsi="Times New Roman" w:cs="Times New Roman"/>
        </w:rPr>
        <w:t xml:space="preserve">For the </w:t>
      </w:r>
      <w:r w:rsidRPr="00B33A2A">
        <w:rPr>
          <w:rFonts w:ascii="Times New Roman" w:hAnsi="Times New Roman" w:cs="Times New Roman"/>
          <w:u w:val="single"/>
        </w:rPr>
        <w:t>agenda</w:t>
      </w:r>
      <w:r w:rsidRPr="00B33A2A">
        <w:rPr>
          <w:rFonts w:ascii="Times New Roman" w:hAnsi="Times New Roman" w:cs="Times New Roman"/>
        </w:rPr>
        <w:t xml:space="preserve">, please </w:t>
      </w:r>
      <w:r w:rsidRPr="00B33A2A">
        <w:rPr>
          <w:rFonts w:ascii="Times New Roman" w:hAnsi="Times New Roman" w:cs="Times New Roman"/>
          <w:u w:val="single"/>
        </w:rPr>
        <w:t>Annex II</w:t>
      </w:r>
      <w:r w:rsidRPr="00B33A2A">
        <w:rPr>
          <w:rFonts w:ascii="Times New Roman" w:hAnsi="Times New Roman" w:cs="Times New Roman"/>
        </w:rPr>
        <w:t xml:space="preserve"> of this document.</w:t>
      </w:r>
    </w:p>
    <w:p w14:paraId="64C8E158" w14:textId="77777777" w:rsidR="00E64271" w:rsidRPr="00E64271" w:rsidRDefault="00E64271" w:rsidP="001B59D8">
      <w:pPr>
        <w:spacing w:beforeLines="60" w:before="144" w:afterLines="60" w:after="144" w:line="240" w:lineRule="auto"/>
        <w:rPr>
          <w:rFonts w:ascii="Arial" w:hAnsi="Arial" w:cs="Arial"/>
        </w:rPr>
      </w:pPr>
    </w:p>
    <w:p w14:paraId="1B0A4DD8" w14:textId="71559D9E" w:rsidR="00475645" w:rsidRPr="00E64271" w:rsidRDefault="00577A85" w:rsidP="00E64271">
      <w:pPr>
        <w:spacing w:beforeLines="60" w:before="144" w:afterLines="60" w:after="144" w:line="240" w:lineRule="auto"/>
        <w:rPr>
          <w:rFonts w:ascii="Times New Roman" w:hAnsi="Times New Roman" w:cs="Times New Roman"/>
          <w:b/>
        </w:rPr>
      </w:pPr>
      <w:r w:rsidRPr="00E64271">
        <w:rPr>
          <w:rFonts w:ascii="Times New Roman" w:hAnsi="Times New Roman" w:cs="Times New Roman"/>
          <w:b/>
          <w:u w:val="single"/>
        </w:rPr>
        <w:t>Agenda &amp; Introductory Remarks</w:t>
      </w:r>
      <w:r w:rsidR="00475645" w:rsidRPr="00E64271">
        <w:rPr>
          <w:rFonts w:ascii="Times New Roman" w:hAnsi="Times New Roman" w:cs="Times New Roman"/>
          <w:b/>
        </w:rPr>
        <w:tab/>
      </w:r>
    </w:p>
    <w:p w14:paraId="6CC64BC6" w14:textId="41E2259B" w:rsidR="00475645" w:rsidRPr="00F56500" w:rsidRDefault="00475645" w:rsidP="00F56500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E64271">
        <w:rPr>
          <w:rFonts w:ascii="Times New Roman" w:hAnsi="Times New Roman" w:cs="Times New Roman"/>
        </w:rPr>
        <w:t xml:space="preserve">The representative of the Secretariat </w:t>
      </w:r>
      <w:r w:rsidR="002D1F9A" w:rsidRPr="00E64271">
        <w:rPr>
          <w:rFonts w:ascii="Times New Roman" w:hAnsi="Times New Roman" w:cs="Times New Roman"/>
        </w:rPr>
        <w:t>explained the overall objectives of the meeting</w:t>
      </w:r>
      <w:r w:rsidR="002D1F9A">
        <w:rPr>
          <w:rFonts w:ascii="Times New Roman" w:hAnsi="Times New Roman" w:cs="Times New Roman"/>
        </w:rPr>
        <w:t xml:space="preserve"> and </w:t>
      </w:r>
      <w:r w:rsidRPr="00E64271">
        <w:rPr>
          <w:rFonts w:ascii="Times New Roman" w:hAnsi="Times New Roman" w:cs="Times New Roman"/>
        </w:rPr>
        <w:t>the mandate of the work, as per decision BC-14/6 on the update of the D5 and D10 technical guidelines</w:t>
      </w:r>
      <w:r w:rsidR="00047AF4">
        <w:rPr>
          <w:rFonts w:ascii="Times New Roman" w:hAnsi="Times New Roman" w:cs="Times New Roman"/>
        </w:rPr>
        <w:t xml:space="preserve">. The scope of the technical guidelines on D10 </w:t>
      </w:r>
      <w:r w:rsidR="00B33638">
        <w:rPr>
          <w:rFonts w:ascii="Times New Roman" w:hAnsi="Times New Roman" w:cs="Times New Roman"/>
        </w:rPr>
        <w:t>was</w:t>
      </w:r>
      <w:r w:rsidR="00047AF4">
        <w:rPr>
          <w:rFonts w:ascii="Times New Roman" w:hAnsi="Times New Roman" w:cs="Times New Roman"/>
        </w:rPr>
        <w:t xml:space="preserve"> extended to also address incineration as covered by the operation R1 "use as a fuel" (other than in direct incineration) or other means to generate energy.</w:t>
      </w:r>
      <w:r w:rsidR="00F56500">
        <w:rPr>
          <w:rFonts w:ascii="Times New Roman" w:hAnsi="Times New Roman" w:cs="Times New Roman"/>
        </w:rPr>
        <w:t xml:space="preserve"> This means that thermal processes </w:t>
      </w:r>
      <w:r w:rsidR="004A657E">
        <w:rPr>
          <w:rFonts w:ascii="Times New Roman" w:hAnsi="Times New Roman" w:cs="Times New Roman"/>
        </w:rPr>
        <w:t xml:space="preserve">other </w:t>
      </w:r>
      <w:r w:rsidR="00F56500">
        <w:rPr>
          <w:rFonts w:ascii="Times New Roman" w:hAnsi="Times New Roman" w:cs="Times New Roman"/>
        </w:rPr>
        <w:t>than incineration</w:t>
      </w:r>
      <w:r w:rsidR="00F56500" w:rsidRPr="00F56500">
        <w:rPr>
          <w:rFonts w:ascii="Times New Roman" w:hAnsi="Times New Roman" w:cs="Times New Roman"/>
        </w:rPr>
        <w:t>, such as pyrolysis and gasification</w:t>
      </w:r>
      <w:r w:rsidR="00F56500">
        <w:rPr>
          <w:rFonts w:ascii="Times New Roman" w:hAnsi="Times New Roman" w:cs="Times New Roman"/>
        </w:rPr>
        <w:t xml:space="preserve">, </w:t>
      </w:r>
      <w:r w:rsidR="00764AF9">
        <w:rPr>
          <w:rFonts w:ascii="Times New Roman" w:hAnsi="Times New Roman" w:cs="Times New Roman"/>
        </w:rPr>
        <w:t>would</w:t>
      </w:r>
      <w:r w:rsidR="00F56500">
        <w:rPr>
          <w:rFonts w:ascii="Times New Roman" w:hAnsi="Times New Roman" w:cs="Times New Roman"/>
        </w:rPr>
        <w:t xml:space="preserve"> not be covered in the technical guidelines.</w:t>
      </w:r>
    </w:p>
    <w:p w14:paraId="69132B59" w14:textId="2DA65F93" w:rsidR="006D3447" w:rsidRDefault="006D3447" w:rsidP="006D3447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E64271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meeting was chaired by Julie Croteau (Canada), </w:t>
      </w:r>
      <w:r w:rsidRPr="00E64271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 xml:space="preserve">a representative from </w:t>
      </w:r>
      <w:r w:rsidRPr="00E64271">
        <w:rPr>
          <w:rFonts w:ascii="Times New Roman" w:hAnsi="Times New Roman" w:cs="Times New Roman"/>
        </w:rPr>
        <w:t>one of the co</w:t>
      </w:r>
      <w:r>
        <w:rPr>
          <w:rFonts w:ascii="Times New Roman" w:hAnsi="Times New Roman" w:cs="Times New Roman"/>
        </w:rPr>
        <w:t>-leading countries.</w:t>
      </w:r>
      <w:r w:rsidRPr="00E64271">
        <w:rPr>
          <w:rFonts w:ascii="Times New Roman" w:hAnsi="Times New Roman" w:cs="Times New Roman"/>
        </w:rPr>
        <w:t xml:space="preserve"> She explained that Japan volunteered to co-lead the further update of the D10 technical guidelines to include information on </w:t>
      </w:r>
      <w:r w:rsidR="002F3B2B">
        <w:rPr>
          <w:rFonts w:ascii="Times New Roman" w:hAnsi="Times New Roman" w:cs="Times New Roman"/>
        </w:rPr>
        <w:t xml:space="preserve">incineration as covered by </w:t>
      </w:r>
      <w:r w:rsidRPr="00E64271">
        <w:rPr>
          <w:rFonts w:ascii="Times New Roman" w:hAnsi="Times New Roman" w:cs="Times New Roman"/>
        </w:rPr>
        <w:t xml:space="preserve">R1, as requested by BC-14/6 decision. </w:t>
      </w:r>
    </w:p>
    <w:p w14:paraId="0FB499EA" w14:textId="420646F5" w:rsidR="00475645" w:rsidRPr="00E64271" w:rsidRDefault="00475645" w:rsidP="003B2AC4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E64271">
        <w:rPr>
          <w:rFonts w:ascii="Times New Roman" w:hAnsi="Times New Roman" w:cs="Times New Roman"/>
        </w:rPr>
        <w:t>The group adopted the meeting agenda without any change.</w:t>
      </w:r>
    </w:p>
    <w:p w14:paraId="0B6DCA7B" w14:textId="2D92667D" w:rsidR="00B33A2A" w:rsidRPr="0010335A" w:rsidRDefault="00B33A2A" w:rsidP="003B2AC4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Representatives from Argentina and Japan, as co-leading countries, made opening remarks</w:t>
      </w:r>
      <w:r w:rsidR="00107E31">
        <w:rPr>
          <w:rFonts w:ascii="Times New Roman" w:hAnsi="Times New Roman" w:cs="Times New Roman"/>
        </w:rPr>
        <w:t xml:space="preserve"> and welcomed the work to come</w:t>
      </w:r>
      <w:r>
        <w:rPr>
          <w:rFonts w:ascii="Times New Roman" w:hAnsi="Times New Roman" w:cs="Times New Roman"/>
        </w:rPr>
        <w:t>.</w:t>
      </w:r>
      <w:r w:rsidR="0010335A">
        <w:rPr>
          <w:rFonts w:ascii="Times New Roman" w:hAnsi="Times New Roman" w:cs="Times New Roman"/>
        </w:rPr>
        <w:t xml:space="preserve"> </w:t>
      </w:r>
      <w:r w:rsidR="00475645" w:rsidRPr="0010335A">
        <w:rPr>
          <w:rFonts w:ascii="Times New Roman" w:hAnsi="Times New Roman" w:cs="Times New Roman"/>
        </w:rPr>
        <w:t>The group thanked the co-leading countries and welcomed Japan</w:t>
      </w:r>
      <w:r w:rsidR="002F3B2B" w:rsidRPr="002F3B2B">
        <w:rPr>
          <w:rFonts w:ascii="Times New Roman" w:hAnsi="Times New Roman" w:cs="Times New Roman"/>
        </w:rPr>
        <w:t xml:space="preserve"> </w:t>
      </w:r>
      <w:r w:rsidR="002F3B2B">
        <w:rPr>
          <w:rFonts w:ascii="Times New Roman" w:hAnsi="Times New Roman" w:cs="Times New Roman"/>
        </w:rPr>
        <w:t>for co-leading the D10/R1 technical guidelines</w:t>
      </w:r>
      <w:r w:rsidR="00475645" w:rsidRPr="0010335A">
        <w:rPr>
          <w:rFonts w:ascii="Times New Roman" w:hAnsi="Times New Roman" w:cs="Times New Roman"/>
        </w:rPr>
        <w:t>.</w:t>
      </w:r>
    </w:p>
    <w:p w14:paraId="7BF51FB1" w14:textId="3EEEB971" w:rsidR="00475645" w:rsidRDefault="00475645" w:rsidP="00B33A2A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b/>
        </w:rPr>
      </w:pPr>
      <w:r w:rsidRPr="00E64271">
        <w:rPr>
          <w:rFonts w:ascii="Times New Roman" w:hAnsi="Times New Roman" w:cs="Times New Roman"/>
        </w:rPr>
        <w:t xml:space="preserve"> </w:t>
      </w:r>
    </w:p>
    <w:p w14:paraId="37132CF8" w14:textId="5A171B32" w:rsidR="00475645" w:rsidRPr="00E64271" w:rsidRDefault="00475645" w:rsidP="00E64271">
      <w:pPr>
        <w:rPr>
          <w:rFonts w:ascii="Times New Roman" w:hAnsi="Times New Roman" w:cs="Times New Roman"/>
          <w:b/>
          <w:u w:val="single"/>
        </w:rPr>
      </w:pPr>
      <w:r w:rsidRPr="00E64271">
        <w:rPr>
          <w:rFonts w:ascii="Times New Roman" w:hAnsi="Times New Roman" w:cs="Times New Roman"/>
          <w:b/>
          <w:u w:val="single"/>
        </w:rPr>
        <w:t>Discuss outcomes from COP-14</w:t>
      </w:r>
    </w:p>
    <w:p w14:paraId="75ABF6BC" w14:textId="66D380D1" w:rsidR="00475645" w:rsidRPr="006D3447" w:rsidRDefault="00B33A2A" w:rsidP="009336D1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Croteau</w:t>
      </w:r>
      <w:r w:rsidR="00475645" w:rsidRPr="00E64271">
        <w:rPr>
          <w:rFonts w:ascii="Times New Roman" w:hAnsi="Times New Roman" w:cs="Times New Roman"/>
        </w:rPr>
        <w:t xml:space="preserve"> explained how these documents have been updated since COP-13, including by </w:t>
      </w:r>
      <w:r w:rsidR="00C14A2C" w:rsidRPr="00E64271">
        <w:rPr>
          <w:rFonts w:ascii="Times New Roman" w:hAnsi="Times New Roman" w:cs="Times New Roman"/>
        </w:rPr>
        <w:t xml:space="preserve">taking into account comments received from </w:t>
      </w:r>
      <w:r w:rsidR="00475645" w:rsidRPr="00E64271">
        <w:rPr>
          <w:rFonts w:ascii="Times New Roman" w:hAnsi="Times New Roman" w:cs="Times New Roman"/>
        </w:rPr>
        <w:t xml:space="preserve">Parties and observers in different </w:t>
      </w:r>
      <w:r w:rsidR="00C14A2C" w:rsidRPr="00E64271">
        <w:rPr>
          <w:rFonts w:ascii="Times New Roman" w:hAnsi="Times New Roman" w:cs="Times New Roman"/>
        </w:rPr>
        <w:t>consultations</w:t>
      </w:r>
      <w:r w:rsidR="00475645" w:rsidRPr="00E64271">
        <w:rPr>
          <w:rFonts w:ascii="Times New Roman" w:hAnsi="Times New Roman" w:cs="Times New Roman"/>
        </w:rPr>
        <w:t xml:space="preserve">. Additionally, the documents were presented and discussed at OEWG-11 and at </w:t>
      </w:r>
      <w:r>
        <w:rPr>
          <w:rFonts w:ascii="Times New Roman" w:hAnsi="Times New Roman" w:cs="Times New Roman"/>
        </w:rPr>
        <w:t>COP-14</w:t>
      </w:r>
      <w:r w:rsidR="00475645" w:rsidRPr="00E64271">
        <w:rPr>
          <w:rFonts w:ascii="Times New Roman" w:hAnsi="Times New Roman" w:cs="Times New Roman"/>
        </w:rPr>
        <w:t xml:space="preserve">, when delegates had the opportunity to provide </w:t>
      </w:r>
      <w:r w:rsidR="002D1F9A">
        <w:rPr>
          <w:rFonts w:ascii="Times New Roman" w:hAnsi="Times New Roman" w:cs="Times New Roman"/>
        </w:rPr>
        <w:t>comments</w:t>
      </w:r>
      <w:r w:rsidR="00475645" w:rsidRPr="00E64271">
        <w:rPr>
          <w:rFonts w:ascii="Times New Roman" w:hAnsi="Times New Roman" w:cs="Times New Roman"/>
        </w:rPr>
        <w:t xml:space="preserve"> on the two documents.</w:t>
      </w:r>
      <w:r w:rsidR="002D1F9A">
        <w:rPr>
          <w:rFonts w:ascii="Times New Roman" w:hAnsi="Times New Roman" w:cs="Times New Roman"/>
        </w:rPr>
        <w:t xml:space="preserve"> She</w:t>
      </w:r>
      <w:r w:rsidR="002D1F9A" w:rsidRPr="006D3447">
        <w:rPr>
          <w:rFonts w:ascii="Times New Roman" w:hAnsi="Times New Roman" w:cs="Times New Roman"/>
        </w:rPr>
        <w:t xml:space="preserve"> </w:t>
      </w:r>
      <w:r w:rsidR="00475645" w:rsidRPr="009336D1">
        <w:rPr>
          <w:rFonts w:ascii="Times New Roman" w:hAnsi="Times New Roman" w:cs="Times New Roman"/>
        </w:rPr>
        <w:t>also explained that Argentina and Canada have been working on updating the D5 technical gui</w:t>
      </w:r>
      <w:r w:rsidR="005E74E7" w:rsidRPr="009336D1">
        <w:rPr>
          <w:rFonts w:ascii="Times New Roman" w:hAnsi="Times New Roman" w:cs="Times New Roman"/>
        </w:rPr>
        <w:t>delines, including addressing comments received from COP-14.</w:t>
      </w:r>
      <w:r w:rsidR="00CA1345" w:rsidRPr="006D3447">
        <w:rPr>
          <w:rFonts w:ascii="Times New Roman" w:hAnsi="Times New Roman" w:cs="Times New Roman"/>
        </w:rPr>
        <w:t xml:space="preserve"> Regarding</w:t>
      </w:r>
      <w:r w:rsidR="006D3447">
        <w:rPr>
          <w:rFonts w:ascii="Times New Roman" w:hAnsi="Times New Roman" w:cs="Times New Roman"/>
        </w:rPr>
        <w:t xml:space="preserve"> </w:t>
      </w:r>
      <w:r w:rsidRPr="006D3447">
        <w:rPr>
          <w:rFonts w:ascii="Times New Roman" w:hAnsi="Times New Roman" w:cs="Times New Roman"/>
        </w:rPr>
        <w:t>the D10</w:t>
      </w:r>
      <w:r w:rsidR="002D1F9A" w:rsidRPr="00310806">
        <w:rPr>
          <w:rFonts w:ascii="Times New Roman" w:hAnsi="Times New Roman" w:cs="Times New Roman"/>
        </w:rPr>
        <w:t>/</w:t>
      </w:r>
      <w:r w:rsidRPr="00310806">
        <w:rPr>
          <w:rFonts w:ascii="Times New Roman" w:hAnsi="Times New Roman" w:cs="Times New Roman"/>
        </w:rPr>
        <w:t>R1 technical guidelines</w:t>
      </w:r>
      <w:r w:rsidR="00CA1345">
        <w:rPr>
          <w:rFonts w:ascii="Times New Roman" w:hAnsi="Times New Roman" w:cs="Times New Roman"/>
        </w:rPr>
        <w:t>, she noted that the work</w:t>
      </w:r>
      <w:r w:rsidRPr="006D3447">
        <w:rPr>
          <w:rFonts w:ascii="Times New Roman" w:hAnsi="Times New Roman" w:cs="Times New Roman"/>
        </w:rPr>
        <w:t xml:space="preserve"> has not advanced since COP-14 as discussion on how to integrate </w:t>
      </w:r>
      <w:r w:rsidR="002F3B2B">
        <w:rPr>
          <w:rFonts w:ascii="Times New Roman" w:hAnsi="Times New Roman" w:cs="Times New Roman"/>
        </w:rPr>
        <w:t xml:space="preserve">incineration as covered by </w:t>
      </w:r>
      <w:r w:rsidRPr="006D3447">
        <w:rPr>
          <w:rFonts w:ascii="Times New Roman" w:hAnsi="Times New Roman" w:cs="Times New Roman"/>
        </w:rPr>
        <w:t>R1 text into the existing draft of the guidelines</w:t>
      </w:r>
      <w:r w:rsidR="0010335A">
        <w:rPr>
          <w:rFonts w:ascii="Times New Roman" w:hAnsi="Times New Roman" w:cs="Times New Roman"/>
        </w:rPr>
        <w:t xml:space="preserve"> was </w:t>
      </w:r>
      <w:r w:rsidRPr="006D3447">
        <w:rPr>
          <w:rFonts w:ascii="Times New Roman" w:hAnsi="Times New Roman" w:cs="Times New Roman"/>
        </w:rPr>
        <w:t>needed.</w:t>
      </w:r>
    </w:p>
    <w:p w14:paraId="7480E7B8" w14:textId="5CCAF683" w:rsidR="00475645" w:rsidRDefault="00CA1345" w:rsidP="009336D1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</w:t>
      </w:r>
      <w:r w:rsidR="005756E6">
        <w:rPr>
          <w:rFonts w:ascii="Times New Roman" w:hAnsi="Times New Roman" w:cs="Times New Roman"/>
        </w:rPr>
        <w:t xml:space="preserve"> reminded members that the public consultation period is open until October 1</w:t>
      </w:r>
      <w:r w:rsidR="0000732F">
        <w:rPr>
          <w:rFonts w:ascii="Times New Roman" w:hAnsi="Times New Roman" w:cs="Times New Roman"/>
        </w:rPr>
        <w:t>8</w:t>
      </w:r>
      <w:r w:rsidR="009336D1">
        <w:rPr>
          <w:rFonts w:ascii="Times New Roman" w:hAnsi="Times New Roman" w:cs="Times New Roman"/>
        </w:rPr>
        <w:t>, 2019</w:t>
      </w:r>
      <w:r w:rsidR="0000732F">
        <w:rPr>
          <w:rFonts w:ascii="Times New Roman" w:hAnsi="Times New Roman" w:cs="Times New Roman"/>
        </w:rPr>
        <w:t>.</w:t>
      </w:r>
      <w:r w:rsidR="005756E6">
        <w:rPr>
          <w:rFonts w:ascii="Times New Roman" w:hAnsi="Times New Roman" w:cs="Times New Roman"/>
        </w:rPr>
        <w:t xml:space="preserve"> </w:t>
      </w:r>
      <w:r w:rsidR="00475645" w:rsidRPr="00E64271">
        <w:rPr>
          <w:rFonts w:ascii="Times New Roman" w:hAnsi="Times New Roman" w:cs="Times New Roman"/>
        </w:rPr>
        <w:t xml:space="preserve">She explained that the </w:t>
      </w:r>
      <w:r w:rsidR="005756E6">
        <w:rPr>
          <w:rFonts w:ascii="Times New Roman" w:hAnsi="Times New Roman" w:cs="Times New Roman"/>
        </w:rPr>
        <w:t>goal</w:t>
      </w:r>
      <w:r w:rsidR="00475645" w:rsidRPr="00E64271">
        <w:rPr>
          <w:rFonts w:ascii="Times New Roman" w:hAnsi="Times New Roman" w:cs="Times New Roman"/>
        </w:rPr>
        <w:t xml:space="preserve"> is to have both documents updated and prepared for</w:t>
      </w:r>
      <w:r w:rsidR="005756E6">
        <w:rPr>
          <w:rFonts w:ascii="Times New Roman" w:hAnsi="Times New Roman" w:cs="Times New Roman"/>
        </w:rPr>
        <w:t xml:space="preserve"> adoption at BC COP-15 in 2021.</w:t>
      </w:r>
    </w:p>
    <w:p w14:paraId="645B8D83" w14:textId="77777777" w:rsidR="00C14A2C" w:rsidRPr="00E64271" w:rsidRDefault="00C14A2C" w:rsidP="00C14A2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</w:p>
    <w:p w14:paraId="50DE15B9" w14:textId="4E2A5759" w:rsidR="00475645" w:rsidRPr="00E64271" w:rsidRDefault="00475645" w:rsidP="00E64271">
      <w:pPr>
        <w:rPr>
          <w:rFonts w:ascii="Times New Roman" w:hAnsi="Times New Roman" w:cs="Times New Roman"/>
          <w:b/>
          <w:u w:val="single"/>
        </w:rPr>
      </w:pPr>
      <w:r w:rsidRPr="00E64271">
        <w:rPr>
          <w:rFonts w:ascii="Times New Roman" w:hAnsi="Times New Roman" w:cs="Times New Roman"/>
          <w:b/>
          <w:u w:val="single"/>
        </w:rPr>
        <w:t>Provide an update on the development of the guidelines since COP-14</w:t>
      </w:r>
    </w:p>
    <w:p w14:paraId="26D85067" w14:textId="6270EF28" w:rsidR="00D52C05" w:rsidRPr="00CA1345" w:rsidRDefault="005E74E7" w:rsidP="006D3447">
      <w:pPr>
        <w:pStyle w:val="ListParagraph"/>
        <w:numPr>
          <w:ilvl w:val="0"/>
          <w:numId w:val="35"/>
        </w:numPr>
        <w:spacing w:beforeLines="60" w:before="144" w:afterLines="60" w:after="144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Croteau</w:t>
      </w:r>
      <w:r w:rsidR="00475645" w:rsidRPr="00E64271">
        <w:rPr>
          <w:rFonts w:ascii="Times New Roman" w:hAnsi="Times New Roman" w:cs="Times New Roman"/>
        </w:rPr>
        <w:t xml:space="preserve"> explained </w:t>
      </w:r>
      <w:r w:rsidR="0010335A">
        <w:rPr>
          <w:rFonts w:ascii="Times New Roman" w:hAnsi="Times New Roman" w:cs="Times New Roman"/>
        </w:rPr>
        <w:t xml:space="preserve">that Canada and Japan had discussed </w:t>
      </w:r>
      <w:r w:rsidR="0010335A" w:rsidRPr="00E64271">
        <w:rPr>
          <w:rFonts w:ascii="Times New Roman" w:hAnsi="Times New Roman" w:cs="Times New Roman"/>
        </w:rPr>
        <w:t xml:space="preserve">the </w:t>
      </w:r>
      <w:r w:rsidR="0010335A">
        <w:rPr>
          <w:rFonts w:ascii="Times New Roman" w:hAnsi="Times New Roman" w:cs="Times New Roman"/>
        </w:rPr>
        <w:t xml:space="preserve">inclusion of </w:t>
      </w:r>
      <w:r w:rsidR="002F3B2B">
        <w:rPr>
          <w:rFonts w:ascii="Times New Roman" w:hAnsi="Times New Roman" w:cs="Times New Roman"/>
        </w:rPr>
        <w:t xml:space="preserve">incineration as covered by </w:t>
      </w:r>
      <w:r w:rsidR="0010335A">
        <w:rPr>
          <w:rFonts w:ascii="Times New Roman" w:hAnsi="Times New Roman" w:cs="Times New Roman"/>
        </w:rPr>
        <w:t xml:space="preserve">R1 into the current D10 technical guidelines and had identified </w:t>
      </w:r>
      <w:r w:rsidR="00475645" w:rsidRPr="00E64271">
        <w:rPr>
          <w:rFonts w:ascii="Times New Roman" w:hAnsi="Times New Roman" w:cs="Times New Roman"/>
        </w:rPr>
        <w:t>two options</w:t>
      </w:r>
      <w:r w:rsidR="0010335A">
        <w:rPr>
          <w:rFonts w:ascii="Times New Roman" w:hAnsi="Times New Roman" w:cs="Times New Roman"/>
        </w:rPr>
        <w:t xml:space="preserve">: </w:t>
      </w:r>
      <w:r w:rsidR="00475645" w:rsidRPr="00E64271">
        <w:rPr>
          <w:rFonts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 xml:space="preserve"> option is </w:t>
      </w:r>
      <w:r w:rsidR="00475645" w:rsidRPr="00E64271">
        <w:rPr>
          <w:rFonts w:ascii="Times New Roman" w:hAnsi="Times New Roman" w:cs="Times New Roman"/>
        </w:rPr>
        <w:t xml:space="preserve">to add information on </w:t>
      </w:r>
      <w:r w:rsidR="002F3B2B">
        <w:rPr>
          <w:rFonts w:ascii="Times New Roman" w:hAnsi="Times New Roman" w:cs="Times New Roman"/>
        </w:rPr>
        <w:t xml:space="preserve">incineration as covered by </w:t>
      </w:r>
      <w:r w:rsidR="00475645" w:rsidRPr="00E64271">
        <w:rPr>
          <w:rFonts w:ascii="Times New Roman" w:hAnsi="Times New Roman" w:cs="Times New Roman"/>
        </w:rPr>
        <w:t>R1 in</w:t>
      </w:r>
      <w:r w:rsidR="0000732F">
        <w:rPr>
          <w:rFonts w:ascii="Times New Roman" w:hAnsi="Times New Roman" w:cs="Times New Roman"/>
        </w:rPr>
        <w:t xml:space="preserve"> </w:t>
      </w:r>
      <w:r w:rsidR="00475645" w:rsidRPr="00E64271">
        <w:rPr>
          <w:rFonts w:ascii="Times New Roman" w:hAnsi="Times New Roman" w:cs="Times New Roman"/>
        </w:rPr>
        <w:t xml:space="preserve">relevant sections of the document, and the other </w:t>
      </w:r>
      <w:r>
        <w:rPr>
          <w:rFonts w:ascii="Times New Roman" w:hAnsi="Times New Roman" w:cs="Times New Roman"/>
        </w:rPr>
        <w:t xml:space="preserve">is </w:t>
      </w:r>
      <w:r w:rsidR="00475645" w:rsidRPr="00E64271">
        <w:rPr>
          <w:rFonts w:ascii="Times New Roman" w:hAnsi="Times New Roman" w:cs="Times New Roman"/>
        </w:rPr>
        <w:t xml:space="preserve">to create a specific section on </w:t>
      </w:r>
      <w:r w:rsidR="002F3B2B">
        <w:rPr>
          <w:rFonts w:ascii="Times New Roman" w:hAnsi="Times New Roman" w:cs="Times New Roman"/>
        </w:rPr>
        <w:t xml:space="preserve">incineration as covered by </w:t>
      </w:r>
      <w:r w:rsidR="00475645" w:rsidRPr="00E64271">
        <w:rPr>
          <w:rFonts w:ascii="Times New Roman" w:hAnsi="Times New Roman" w:cs="Times New Roman"/>
        </w:rPr>
        <w:t xml:space="preserve">R1 only. </w:t>
      </w:r>
      <w:r w:rsidR="0010335A">
        <w:rPr>
          <w:rFonts w:ascii="Times New Roman" w:hAnsi="Times New Roman" w:cs="Times New Roman"/>
        </w:rPr>
        <w:t>She</w:t>
      </w:r>
      <w:r w:rsidR="0010335A" w:rsidRPr="00310806">
        <w:rPr>
          <w:rFonts w:ascii="Times New Roman" w:hAnsi="Times New Roman" w:cs="Times New Roman"/>
        </w:rPr>
        <w:t xml:space="preserve"> clarified that the scope of the document</w:t>
      </w:r>
      <w:r w:rsidR="0010335A" w:rsidRPr="00CA1345">
        <w:rPr>
          <w:rFonts w:ascii="Times New Roman" w:hAnsi="Times New Roman" w:cs="Times New Roman"/>
        </w:rPr>
        <w:t xml:space="preserve"> w</w:t>
      </w:r>
      <w:r w:rsidR="0010335A">
        <w:rPr>
          <w:rFonts w:ascii="Times New Roman" w:hAnsi="Times New Roman" w:cs="Times New Roman"/>
        </w:rPr>
        <w:t>ould b</w:t>
      </w:r>
      <w:r w:rsidR="0010335A" w:rsidRPr="00CA1345">
        <w:rPr>
          <w:rFonts w:ascii="Times New Roman" w:hAnsi="Times New Roman" w:cs="Times New Roman"/>
        </w:rPr>
        <w:t xml:space="preserve">e updated to reflect the inclusion of </w:t>
      </w:r>
      <w:r w:rsidR="002F3B2B">
        <w:rPr>
          <w:rFonts w:ascii="Times New Roman" w:hAnsi="Times New Roman" w:cs="Times New Roman"/>
        </w:rPr>
        <w:t xml:space="preserve">incineration as covered by </w:t>
      </w:r>
      <w:r w:rsidR="0010335A" w:rsidRPr="00CA1345">
        <w:rPr>
          <w:rFonts w:ascii="Times New Roman" w:hAnsi="Times New Roman" w:cs="Times New Roman"/>
        </w:rPr>
        <w:t>R1</w:t>
      </w:r>
      <w:r w:rsidR="0010335A">
        <w:rPr>
          <w:rFonts w:ascii="Times New Roman" w:hAnsi="Times New Roman" w:cs="Times New Roman"/>
        </w:rPr>
        <w:t xml:space="preserve"> for both options. </w:t>
      </w:r>
      <w:r w:rsidR="00CA1345" w:rsidRPr="0010335A">
        <w:rPr>
          <w:rFonts w:ascii="Times New Roman" w:hAnsi="Times New Roman" w:cs="Times New Roman"/>
        </w:rPr>
        <w:t>She</w:t>
      </w:r>
      <w:r w:rsidR="0010335A" w:rsidRPr="0010335A">
        <w:rPr>
          <w:rFonts w:ascii="Times New Roman" w:hAnsi="Times New Roman" w:cs="Times New Roman"/>
        </w:rPr>
        <w:t xml:space="preserve"> also </w:t>
      </w:r>
      <w:r w:rsidR="0000732F">
        <w:rPr>
          <w:rFonts w:ascii="Times New Roman" w:hAnsi="Times New Roman" w:cs="Times New Roman"/>
        </w:rPr>
        <w:t>indicated</w:t>
      </w:r>
      <w:r w:rsidR="0010335A" w:rsidRPr="0010335A">
        <w:rPr>
          <w:rFonts w:ascii="Times New Roman" w:hAnsi="Times New Roman" w:cs="Times New Roman"/>
        </w:rPr>
        <w:t xml:space="preserve"> that the document already has a</w:t>
      </w:r>
      <w:r w:rsidR="00CA1345" w:rsidRPr="0010335A">
        <w:rPr>
          <w:rFonts w:ascii="Times New Roman" w:hAnsi="Times New Roman" w:cs="Times New Roman"/>
        </w:rPr>
        <w:t xml:space="preserve"> </w:t>
      </w:r>
      <w:r w:rsidR="0010335A" w:rsidRPr="0010335A">
        <w:rPr>
          <w:rFonts w:ascii="Times New Roman" w:hAnsi="Times New Roman" w:cs="Times New Roman"/>
        </w:rPr>
        <w:t>section on the recovery of energy presenting</w:t>
      </w:r>
      <w:r w:rsidR="0000732F">
        <w:rPr>
          <w:rFonts w:ascii="Times New Roman" w:hAnsi="Times New Roman" w:cs="Times New Roman"/>
        </w:rPr>
        <w:t xml:space="preserve"> </w:t>
      </w:r>
      <w:r w:rsidR="0010335A" w:rsidRPr="0010335A">
        <w:rPr>
          <w:rFonts w:ascii="Times New Roman" w:hAnsi="Times New Roman" w:cs="Times New Roman"/>
        </w:rPr>
        <w:t xml:space="preserve">basic information on this subject (e.g. para. 135). </w:t>
      </w:r>
      <w:r w:rsidR="00CA1345" w:rsidRPr="006D3447">
        <w:rPr>
          <w:rFonts w:ascii="Times New Roman" w:hAnsi="Times New Roman" w:cs="Times New Roman"/>
        </w:rPr>
        <w:t xml:space="preserve"> </w:t>
      </w:r>
      <w:r w:rsidR="00475645" w:rsidRPr="006D3447">
        <w:rPr>
          <w:rFonts w:ascii="Times New Roman" w:hAnsi="Times New Roman" w:cs="Times New Roman"/>
        </w:rPr>
        <w:t xml:space="preserve">After </w:t>
      </w:r>
      <w:r w:rsidR="00C14A2C" w:rsidRPr="006D3447">
        <w:rPr>
          <w:rFonts w:ascii="Times New Roman" w:hAnsi="Times New Roman" w:cs="Times New Roman"/>
        </w:rPr>
        <w:t xml:space="preserve">ensuing </w:t>
      </w:r>
      <w:bookmarkStart w:id="0" w:name="_GoBack"/>
      <w:bookmarkEnd w:id="0"/>
      <w:r w:rsidR="008E0F2E" w:rsidRPr="006D3447">
        <w:rPr>
          <w:rFonts w:ascii="Times New Roman" w:hAnsi="Times New Roman" w:cs="Times New Roman"/>
        </w:rPr>
        <w:t>discussions,</w:t>
      </w:r>
      <w:r w:rsidR="00475645" w:rsidRPr="006D3447">
        <w:rPr>
          <w:rFonts w:ascii="Times New Roman" w:hAnsi="Times New Roman" w:cs="Times New Roman"/>
        </w:rPr>
        <w:t xml:space="preserve"> the group</w:t>
      </w:r>
      <w:r w:rsidR="00C14A2C" w:rsidRPr="00310806">
        <w:rPr>
          <w:rFonts w:ascii="Times New Roman" w:hAnsi="Times New Roman" w:cs="Times New Roman"/>
        </w:rPr>
        <w:t xml:space="preserve"> decided </w:t>
      </w:r>
      <w:r w:rsidRPr="00310806">
        <w:rPr>
          <w:rFonts w:ascii="Times New Roman" w:hAnsi="Times New Roman" w:cs="Times New Roman"/>
        </w:rPr>
        <w:t xml:space="preserve">for the first option. </w:t>
      </w:r>
      <w:r w:rsidRPr="00CA1345">
        <w:rPr>
          <w:rFonts w:ascii="Times New Roman" w:hAnsi="Times New Roman" w:cs="Times New Roman"/>
        </w:rPr>
        <w:t xml:space="preserve">Chair Croteau reminded </w:t>
      </w:r>
      <w:r w:rsidRPr="00CA1345">
        <w:rPr>
          <w:rFonts w:ascii="Times New Roman" w:hAnsi="Times New Roman" w:cs="Times New Roman"/>
        </w:rPr>
        <w:lastRenderedPageBreak/>
        <w:t xml:space="preserve">members that while public consultation is currently ongoing, </w:t>
      </w:r>
      <w:r w:rsidR="002F3B2B">
        <w:rPr>
          <w:rFonts w:ascii="Times New Roman" w:hAnsi="Times New Roman" w:cs="Times New Roman"/>
        </w:rPr>
        <w:t xml:space="preserve">the current </w:t>
      </w:r>
      <w:r w:rsidRPr="00CA1345">
        <w:rPr>
          <w:rFonts w:ascii="Times New Roman" w:hAnsi="Times New Roman" w:cs="Times New Roman"/>
        </w:rPr>
        <w:t xml:space="preserve">text </w:t>
      </w:r>
      <w:r w:rsidR="002F3B2B">
        <w:rPr>
          <w:rFonts w:ascii="Times New Roman" w:hAnsi="Times New Roman" w:cs="Times New Roman"/>
        </w:rPr>
        <w:t>does not sufficiently address</w:t>
      </w:r>
      <w:r w:rsidR="002F3B2B" w:rsidRPr="00CA1345">
        <w:rPr>
          <w:rFonts w:ascii="Times New Roman" w:hAnsi="Times New Roman" w:cs="Times New Roman"/>
        </w:rPr>
        <w:t xml:space="preserve"> </w:t>
      </w:r>
      <w:r w:rsidR="002F3B2B">
        <w:rPr>
          <w:rFonts w:ascii="Times New Roman" w:hAnsi="Times New Roman" w:cs="Times New Roman"/>
        </w:rPr>
        <w:t xml:space="preserve">incineration as covered by </w:t>
      </w:r>
      <w:r w:rsidRPr="00CA1345">
        <w:rPr>
          <w:rFonts w:ascii="Times New Roman" w:hAnsi="Times New Roman" w:cs="Times New Roman"/>
        </w:rPr>
        <w:t xml:space="preserve">R1. If members have any comments related to the inclusion of </w:t>
      </w:r>
      <w:r w:rsidR="002F3B2B">
        <w:rPr>
          <w:rFonts w:ascii="Times New Roman" w:hAnsi="Times New Roman" w:cs="Times New Roman"/>
        </w:rPr>
        <w:t xml:space="preserve">incineration as covered by </w:t>
      </w:r>
      <w:r w:rsidRPr="00CA1345">
        <w:rPr>
          <w:rFonts w:ascii="Times New Roman" w:hAnsi="Times New Roman" w:cs="Times New Roman"/>
        </w:rPr>
        <w:t>R1</w:t>
      </w:r>
      <w:r w:rsidR="002F3B2B">
        <w:rPr>
          <w:rFonts w:ascii="Times New Roman" w:hAnsi="Times New Roman" w:cs="Times New Roman"/>
        </w:rPr>
        <w:t xml:space="preserve"> in the</w:t>
      </w:r>
      <w:r w:rsidRPr="00CA1345">
        <w:rPr>
          <w:rFonts w:ascii="Times New Roman" w:hAnsi="Times New Roman" w:cs="Times New Roman"/>
        </w:rPr>
        <w:t xml:space="preserve"> text, they are welcome to include them in their submission of comments</w:t>
      </w:r>
      <w:r w:rsidR="00A40A53">
        <w:rPr>
          <w:rFonts w:ascii="Times New Roman" w:hAnsi="Times New Roman" w:cs="Times New Roman"/>
        </w:rPr>
        <w:t xml:space="preserve"> on October 18, 2019</w:t>
      </w:r>
      <w:r w:rsidR="001E40AB">
        <w:rPr>
          <w:rFonts w:ascii="Times New Roman" w:hAnsi="Times New Roman" w:cs="Times New Roman"/>
        </w:rPr>
        <w:t>.</w:t>
      </w:r>
    </w:p>
    <w:p w14:paraId="0D483934" w14:textId="463ED7AA" w:rsidR="00475645" w:rsidRPr="00D52C05" w:rsidRDefault="00A40A53" w:rsidP="000B17FC">
      <w:pPr>
        <w:pStyle w:val="ListParagraph"/>
        <w:numPr>
          <w:ilvl w:val="0"/>
          <w:numId w:val="35"/>
        </w:numPr>
        <w:spacing w:beforeLines="60" w:before="144" w:afterLines="60" w:after="144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member questioned if a consultant would be hired to conduct part of the work and </w:t>
      </w:r>
      <w:r w:rsidRPr="00CA1345">
        <w:rPr>
          <w:rFonts w:ascii="Times New Roman" w:hAnsi="Times New Roman" w:cs="Times New Roman"/>
        </w:rPr>
        <w:t xml:space="preserve">Chair Croteau </w:t>
      </w:r>
      <w:r>
        <w:rPr>
          <w:rFonts w:ascii="Times New Roman" w:hAnsi="Times New Roman" w:cs="Times New Roman"/>
        </w:rPr>
        <w:t xml:space="preserve">clarified that </w:t>
      </w:r>
      <w:r w:rsidR="0010335A" w:rsidRPr="00E64271">
        <w:rPr>
          <w:rFonts w:ascii="Times New Roman" w:hAnsi="Times New Roman" w:cs="Times New Roman"/>
        </w:rPr>
        <w:t>the work will be done by the two governments without the need for an external consultant hired by the Secretariat.</w:t>
      </w:r>
    </w:p>
    <w:p w14:paraId="3C52C1D4" w14:textId="64D0E96D" w:rsidR="00475645" w:rsidRPr="00E64271" w:rsidRDefault="00475645" w:rsidP="00E64271">
      <w:pPr>
        <w:rPr>
          <w:rFonts w:ascii="Times New Roman" w:hAnsi="Times New Roman" w:cs="Times New Roman"/>
          <w:b/>
          <w:u w:val="single"/>
        </w:rPr>
      </w:pPr>
      <w:r w:rsidRPr="00E64271">
        <w:rPr>
          <w:rFonts w:ascii="Times New Roman" w:hAnsi="Times New Roman" w:cs="Times New Roman"/>
          <w:b/>
          <w:u w:val="single"/>
        </w:rPr>
        <w:t>Review of the draft work plan for the SIWG</w:t>
      </w:r>
    </w:p>
    <w:p w14:paraId="58F53F55" w14:textId="56FCCD44" w:rsidR="00C14A2C" w:rsidRDefault="00EB652B" w:rsidP="009336D1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6D3447">
        <w:rPr>
          <w:rFonts w:ascii="Times New Roman" w:hAnsi="Times New Roman" w:cs="Times New Roman"/>
        </w:rPr>
        <w:t>Chair Croteau</w:t>
      </w:r>
      <w:r w:rsidR="00C14A2C" w:rsidRPr="006D3447">
        <w:rPr>
          <w:rFonts w:ascii="Times New Roman" w:hAnsi="Times New Roman" w:cs="Times New Roman"/>
        </w:rPr>
        <w:t xml:space="preserve"> </w:t>
      </w:r>
      <w:r w:rsidR="00317D29" w:rsidRPr="006D3447">
        <w:rPr>
          <w:rFonts w:ascii="Times New Roman" w:hAnsi="Times New Roman" w:cs="Times New Roman"/>
        </w:rPr>
        <w:t xml:space="preserve">presented a draft </w:t>
      </w:r>
      <w:r w:rsidR="00F56500">
        <w:rPr>
          <w:rFonts w:ascii="Times New Roman" w:hAnsi="Times New Roman" w:cs="Times New Roman"/>
        </w:rPr>
        <w:t xml:space="preserve">tentative schedule for the </w:t>
      </w:r>
      <w:r w:rsidR="00317D29" w:rsidRPr="006D3447">
        <w:rPr>
          <w:rFonts w:ascii="Times New Roman" w:hAnsi="Times New Roman" w:cs="Times New Roman"/>
        </w:rPr>
        <w:t xml:space="preserve">work </w:t>
      </w:r>
      <w:r w:rsidR="00F56500">
        <w:rPr>
          <w:rFonts w:ascii="Times New Roman" w:hAnsi="Times New Roman" w:cs="Times New Roman"/>
        </w:rPr>
        <w:t xml:space="preserve">of the small intersessional working group </w:t>
      </w:r>
      <w:r w:rsidR="00317D29" w:rsidRPr="006D3447">
        <w:rPr>
          <w:rFonts w:ascii="Times New Roman" w:hAnsi="Times New Roman" w:cs="Times New Roman"/>
        </w:rPr>
        <w:t xml:space="preserve">leading up to COP-15 </w:t>
      </w:r>
      <w:r w:rsidR="00A40A53">
        <w:rPr>
          <w:rFonts w:ascii="Times New Roman" w:hAnsi="Times New Roman" w:cs="Times New Roman"/>
        </w:rPr>
        <w:t xml:space="preserve">where both documents will be submitted for consideration and possible </w:t>
      </w:r>
      <w:r w:rsidR="00317D29" w:rsidRPr="006D3447">
        <w:rPr>
          <w:rFonts w:ascii="Times New Roman" w:hAnsi="Times New Roman" w:cs="Times New Roman"/>
        </w:rPr>
        <w:t xml:space="preserve">adoption, and </w:t>
      </w:r>
      <w:r w:rsidR="00C14A2C" w:rsidRPr="006D3447">
        <w:rPr>
          <w:rFonts w:ascii="Times New Roman" w:hAnsi="Times New Roman" w:cs="Times New Roman"/>
        </w:rPr>
        <w:t>explained the main ideas</w:t>
      </w:r>
      <w:r w:rsidR="00317D29" w:rsidRPr="00310806">
        <w:rPr>
          <w:rFonts w:ascii="Times New Roman" w:hAnsi="Times New Roman" w:cs="Times New Roman"/>
        </w:rPr>
        <w:t xml:space="preserve"> and proposed dates for each item</w:t>
      </w:r>
      <w:r w:rsidR="00C14A2C" w:rsidRPr="005322DE">
        <w:rPr>
          <w:rFonts w:ascii="Times New Roman" w:hAnsi="Times New Roman" w:cs="Times New Roman"/>
        </w:rPr>
        <w:t>.</w:t>
      </w:r>
      <w:r w:rsidRPr="005322DE">
        <w:rPr>
          <w:rFonts w:ascii="Times New Roman" w:hAnsi="Times New Roman" w:cs="Times New Roman"/>
        </w:rPr>
        <w:t xml:space="preserve"> The </w:t>
      </w:r>
      <w:r w:rsidR="00F56500">
        <w:rPr>
          <w:rFonts w:ascii="Times New Roman" w:hAnsi="Times New Roman" w:cs="Times New Roman"/>
        </w:rPr>
        <w:t>schedule</w:t>
      </w:r>
      <w:r w:rsidRPr="005322DE">
        <w:rPr>
          <w:rFonts w:ascii="Times New Roman" w:hAnsi="Times New Roman" w:cs="Times New Roman"/>
        </w:rPr>
        <w:t xml:space="preserve"> includes public consultation, steps leading up to OWEG</w:t>
      </w:r>
      <w:r w:rsidR="00317D29" w:rsidRPr="005322DE">
        <w:rPr>
          <w:rFonts w:ascii="Times New Roman" w:hAnsi="Times New Roman" w:cs="Times New Roman"/>
        </w:rPr>
        <w:t>-12</w:t>
      </w:r>
      <w:r w:rsidRPr="005322DE">
        <w:rPr>
          <w:rFonts w:ascii="Times New Roman" w:hAnsi="Times New Roman" w:cs="Times New Roman"/>
        </w:rPr>
        <w:t>, and a potential face-to-face meeting.</w:t>
      </w:r>
      <w:r w:rsidR="00C14A2C" w:rsidRPr="005322DE">
        <w:rPr>
          <w:rFonts w:ascii="Times New Roman" w:hAnsi="Times New Roman" w:cs="Times New Roman"/>
        </w:rPr>
        <w:t xml:space="preserve"> </w:t>
      </w:r>
      <w:r w:rsidR="00C14A2C" w:rsidRPr="006D3447">
        <w:rPr>
          <w:rFonts w:ascii="Times New Roman" w:hAnsi="Times New Roman" w:cs="Times New Roman"/>
        </w:rPr>
        <w:t xml:space="preserve">It was also suggested that, if </w:t>
      </w:r>
      <w:r w:rsidRPr="006D3447">
        <w:rPr>
          <w:rFonts w:ascii="Times New Roman" w:hAnsi="Times New Roman" w:cs="Times New Roman"/>
        </w:rPr>
        <w:t>time allowed</w:t>
      </w:r>
      <w:r w:rsidR="00C14A2C" w:rsidRPr="006D3447">
        <w:rPr>
          <w:rFonts w:ascii="Times New Roman" w:hAnsi="Times New Roman" w:cs="Times New Roman"/>
        </w:rPr>
        <w:t xml:space="preserve">, a revision </w:t>
      </w:r>
      <w:r w:rsidRPr="006D3447">
        <w:rPr>
          <w:rFonts w:ascii="Times New Roman" w:hAnsi="Times New Roman" w:cs="Times New Roman"/>
        </w:rPr>
        <w:t xml:space="preserve">of the documents </w:t>
      </w:r>
      <w:r w:rsidR="00C14A2C" w:rsidRPr="006D3447">
        <w:rPr>
          <w:rFonts w:ascii="Times New Roman" w:hAnsi="Times New Roman" w:cs="Times New Roman"/>
        </w:rPr>
        <w:t>by t</w:t>
      </w:r>
      <w:r w:rsidR="00C14A2C" w:rsidRPr="00310806">
        <w:rPr>
          <w:rFonts w:ascii="Times New Roman" w:hAnsi="Times New Roman" w:cs="Times New Roman"/>
        </w:rPr>
        <w:t xml:space="preserve">he co-leads could be done before the </w:t>
      </w:r>
      <w:r w:rsidRPr="005322DE">
        <w:rPr>
          <w:rFonts w:ascii="Times New Roman" w:hAnsi="Times New Roman" w:cs="Times New Roman"/>
        </w:rPr>
        <w:t>proposed</w:t>
      </w:r>
      <w:r w:rsidR="00C14A2C" w:rsidRPr="005322DE">
        <w:rPr>
          <w:rFonts w:ascii="Times New Roman" w:hAnsi="Times New Roman" w:cs="Times New Roman"/>
        </w:rPr>
        <w:t xml:space="preserve"> face-to-face meeting, so that the documents are ev</w:t>
      </w:r>
      <w:r w:rsidRPr="005322DE">
        <w:rPr>
          <w:rFonts w:ascii="Times New Roman" w:hAnsi="Times New Roman" w:cs="Times New Roman"/>
        </w:rPr>
        <w:t>en more mature for the meeting.</w:t>
      </w:r>
    </w:p>
    <w:p w14:paraId="102DD63D" w14:textId="74158C09" w:rsidR="00EB652B" w:rsidRPr="00E64271" w:rsidRDefault="00EB652B" w:rsidP="009336D1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member emphasized the importance of transparency on how comments are considered and integrated by the co-leads, which will allow members to review the documents thoroughly prior to the meeting.</w:t>
      </w:r>
    </w:p>
    <w:p w14:paraId="649DE8EF" w14:textId="77777777" w:rsidR="00C14A2C" w:rsidRPr="00E64271" w:rsidRDefault="00C14A2C" w:rsidP="00C14A2C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</w:rPr>
      </w:pPr>
    </w:p>
    <w:p w14:paraId="302B8127" w14:textId="18FE0759" w:rsidR="00C14A2C" w:rsidRPr="00E64271" w:rsidRDefault="00C14A2C" w:rsidP="00E64271">
      <w:pPr>
        <w:rPr>
          <w:rFonts w:ascii="Times New Roman" w:hAnsi="Times New Roman" w:cs="Times New Roman"/>
          <w:b/>
          <w:u w:val="single"/>
        </w:rPr>
      </w:pPr>
      <w:r w:rsidRPr="00E64271">
        <w:rPr>
          <w:rFonts w:ascii="Times New Roman" w:hAnsi="Times New Roman" w:cs="Times New Roman"/>
          <w:b/>
          <w:u w:val="single"/>
        </w:rPr>
        <w:t>Discuss the potential for a face-to-face meeting in 2020:</w:t>
      </w:r>
    </w:p>
    <w:p w14:paraId="41087E6C" w14:textId="370F1563" w:rsidR="00C14A2C" w:rsidRPr="00E64271" w:rsidRDefault="00B52A80" w:rsidP="009336D1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Croteau</w:t>
      </w:r>
      <w:r w:rsidR="00C14A2C" w:rsidRPr="00E64271">
        <w:rPr>
          <w:rFonts w:ascii="Times New Roman" w:hAnsi="Times New Roman" w:cs="Times New Roman"/>
        </w:rPr>
        <w:t xml:space="preserve"> explained the </w:t>
      </w:r>
      <w:r>
        <w:rPr>
          <w:rFonts w:ascii="Times New Roman" w:hAnsi="Times New Roman" w:cs="Times New Roman"/>
        </w:rPr>
        <w:t>idea to have</w:t>
      </w:r>
      <w:r w:rsidR="00C14A2C" w:rsidRPr="00E64271">
        <w:rPr>
          <w:rFonts w:ascii="Times New Roman" w:hAnsi="Times New Roman" w:cs="Times New Roman"/>
        </w:rPr>
        <w:t xml:space="preserve"> a face-to-face meeting of the SIWG</w:t>
      </w:r>
      <w:r>
        <w:rPr>
          <w:rFonts w:ascii="Times New Roman" w:hAnsi="Times New Roman" w:cs="Times New Roman"/>
        </w:rPr>
        <w:t xml:space="preserve"> </w:t>
      </w:r>
      <w:r w:rsidR="00C14A2C" w:rsidRPr="00E64271">
        <w:rPr>
          <w:rFonts w:ascii="Times New Roman" w:hAnsi="Times New Roman" w:cs="Times New Roman"/>
        </w:rPr>
        <w:t>in March 2020</w:t>
      </w:r>
      <w:r>
        <w:rPr>
          <w:rFonts w:ascii="Times New Roman" w:hAnsi="Times New Roman" w:cs="Times New Roman"/>
        </w:rPr>
        <w:t>, if possible</w:t>
      </w:r>
      <w:r w:rsidR="00C14A2C" w:rsidRPr="00E6427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An alternative date was also proposed </w:t>
      </w:r>
      <w:r w:rsidR="00C14A2C" w:rsidRPr="00E64271">
        <w:rPr>
          <w:rFonts w:ascii="Times New Roman" w:hAnsi="Times New Roman" w:cs="Times New Roman"/>
        </w:rPr>
        <w:t>closer to COP</w:t>
      </w:r>
      <w:r w:rsidR="0000732F">
        <w:rPr>
          <w:rFonts w:ascii="Times New Roman" w:hAnsi="Times New Roman" w:cs="Times New Roman"/>
        </w:rPr>
        <w:t>-15</w:t>
      </w:r>
      <w:r w:rsidR="00C14A2C" w:rsidRPr="00E64271">
        <w:rPr>
          <w:rFonts w:ascii="Times New Roman" w:hAnsi="Times New Roman" w:cs="Times New Roman"/>
        </w:rPr>
        <w:t xml:space="preserve">, i.e. in Sept/Oct 2020. </w:t>
      </w:r>
      <w:r w:rsidR="00FB0044">
        <w:rPr>
          <w:rFonts w:ascii="Times New Roman" w:hAnsi="Times New Roman" w:cs="Times New Roman"/>
        </w:rPr>
        <w:t xml:space="preserve">She explained that a meeting in March would mean that the bulk of the work on the two documents would therefore be undertaken before OEWG-12 scheduled for June 2020. She mentioned that this date could be changed to September 2020 if members preferred a meeting during the fall period. After discussing the pros and cons of each option and taking into account potential meetings of other expert working group </w:t>
      </w:r>
      <w:r w:rsidR="00F56500">
        <w:rPr>
          <w:rFonts w:ascii="Times New Roman" w:hAnsi="Times New Roman" w:cs="Times New Roman"/>
        </w:rPr>
        <w:t xml:space="preserve">under </w:t>
      </w:r>
      <w:r w:rsidR="00FB0044">
        <w:rPr>
          <w:rFonts w:ascii="Times New Roman" w:hAnsi="Times New Roman" w:cs="Times New Roman"/>
        </w:rPr>
        <w:t xml:space="preserve">the Convention during the fall period, the group agreed to have the meeting in March 2020. </w:t>
      </w:r>
    </w:p>
    <w:p w14:paraId="324261A1" w14:textId="715BAC8A" w:rsidR="00C14A2C" w:rsidRPr="00E64271" w:rsidRDefault="00C14A2C" w:rsidP="009336D1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E64271">
        <w:rPr>
          <w:rFonts w:ascii="Times New Roman" w:hAnsi="Times New Roman" w:cs="Times New Roman"/>
        </w:rPr>
        <w:t>It was also discussed t</w:t>
      </w:r>
      <w:r w:rsidR="00F54C60" w:rsidRPr="00E64271">
        <w:rPr>
          <w:rFonts w:ascii="Times New Roman" w:hAnsi="Times New Roman" w:cs="Times New Roman"/>
        </w:rPr>
        <w:t>hat</w:t>
      </w:r>
      <w:r w:rsidRPr="00E64271">
        <w:rPr>
          <w:rFonts w:ascii="Times New Roman" w:hAnsi="Times New Roman" w:cs="Times New Roman"/>
        </w:rPr>
        <w:t xml:space="preserve"> comments could be invited by all Parties and observers, </w:t>
      </w:r>
      <w:r w:rsidR="007A0D69">
        <w:rPr>
          <w:rFonts w:ascii="Times New Roman" w:hAnsi="Times New Roman" w:cs="Times New Roman"/>
        </w:rPr>
        <w:t>prior to OWEG-12</w:t>
      </w:r>
      <w:r w:rsidRPr="00E64271">
        <w:rPr>
          <w:rFonts w:ascii="Times New Roman" w:hAnsi="Times New Roman" w:cs="Times New Roman"/>
        </w:rPr>
        <w:t xml:space="preserve">, </w:t>
      </w:r>
      <w:r w:rsidR="00F54C60" w:rsidRPr="00E64271">
        <w:rPr>
          <w:rFonts w:ascii="Times New Roman" w:hAnsi="Times New Roman" w:cs="Times New Roman"/>
        </w:rPr>
        <w:t xml:space="preserve">on the OEWG-12 INF documents containing the </w:t>
      </w:r>
      <w:r w:rsidR="00B52A80">
        <w:rPr>
          <w:rFonts w:ascii="Times New Roman" w:hAnsi="Times New Roman" w:cs="Times New Roman"/>
        </w:rPr>
        <w:t>two</w:t>
      </w:r>
      <w:r w:rsidR="00F54C60" w:rsidRPr="00E64271">
        <w:rPr>
          <w:rFonts w:ascii="Times New Roman" w:hAnsi="Times New Roman" w:cs="Times New Roman"/>
        </w:rPr>
        <w:t xml:space="preserve"> guidelines</w:t>
      </w:r>
      <w:r w:rsidR="007A0D69">
        <w:rPr>
          <w:rFonts w:ascii="Times New Roman" w:hAnsi="Times New Roman" w:cs="Times New Roman"/>
        </w:rPr>
        <w:t>,</w:t>
      </w:r>
      <w:r w:rsidR="00F54C60" w:rsidRPr="00E64271">
        <w:rPr>
          <w:rFonts w:ascii="Times New Roman" w:hAnsi="Times New Roman" w:cs="Times New Roman"/>
        </w:rPr>
        <w:t xml:space="preserve"> </w:t>
      </w:r>
      <w:r w:rsidRPr="00E64271">
        <w:rPr>
          <w:rFonts w:ascii="Times New Roman" w:hAnsi="Times New Roman" w:cs="Times New Roman"/>
        </w:rPr>
        <w:t xml:space="preserve">especially </w:t>
      </w:r>
      <w:r w:rsidR="00F56500">
        <w:rPr>
          <w:rFonts w:ascii="Times New Roman" w:hAnsi="Times New Roman" w:cs="Times New Roman"/>
        </w:rPr>
        <w:t xml:space="preserve">because new information will be available </w:t>
      </w:r>
      <w:r w:rsidRPr="00E64271">
        <w:rPr>
          <w:rFonts w:ascii="Times New Roman" w:hAnsi="Times New Roman" w:cs="Times New Roman"/>
        </w:rPr>
        <w:t xml:space="preserve">on </w:t>
      </w:r>
      <w:r w:rsidR="00F56500">
        <w:rPr>
          <w:rFonts w:ascii="Times New Roman" w:hAnsi="Times New Roman" w:cs="Times New Roman"/>
        </w:rPr>
        <w:t xml:space="preserve">incineration as covered by </w:t>
      </w:r>
      <w:r w:rsidRPr="00E64271">
        <w:rPr>
          <w:rFonts w:ascii="Times New Roman" w:hAnsi="Times New Roman" w:cs="Times New Roman"/>
        </w:rPr>
        <w:t>R1</w:t>
      </w:r>
      <w:r w:rsidR="00F54C60" w:rsidRPr="00E64271">
        <w:rPr>
          <w:rFonts w:ascii="Times New Roman" w:hAnsi="Times New Roman" w:cs="Times New Roman"/>
        </w:rPr>
        <w:t xml:space="preserve">. This way all Parties may have a richer discussion at OEWG-12. </w:t>
      </w:r>
    </w:p>
    <w:p w14:paraId="0BBDF23A" w14:textId="209040E2" w:rsidR="00F54C60" w:rsidRPr="007A0D69" w:rsidRDefault="00F54C60" w:rsidP="009336D1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7A0D69">
        <w:rPr>
          <w:rFonts w:ascii="Times New Roman" w:hAnsi="Times New Roman" w:cs="Times New Roman"/>
        </w:rPr>
        <w:t>It was suggested that after OEWG-12 another call for comments wi</w:t>
      </w:r>
      <w:r w:rsidR="007A0D69" w:rsidRPr="007A0D69">
        <w:rPr>
          <w:rFonts w:ascii="Times New Roman" w:hAnsi="Times New Roman" w:cs="Times New Roman"/>
        </w:rPr>
        <w:t xml:space="preserve">th all Parties could take place. Chair Croteau identified that flexibility will be integrated into a revised </w:t>
      </w:r>
      <w:r w:rsidR="00F56500">
        <w:rPr>
          <w:rFonts w:ascii="Times New Roman" w:hAnsi="Times New Roman" w:cs="Times New Roman"/>
        </w:rPr>
        <w:t>tentative schedule</w:t>
      </w:r>
      <w:r w:rsidR="007A0D69" w:rsidRPr="007A0D69">
        <w:rPr>
          <w:rFonts w:ascii="Times New Roman" w:hAnsi="Times New Roman" w:cs="Times New Roman"/>
        </w:rPr>
        <w:t xml:space="preserve"> regarding steps from OWEG-12 to COP-15.</w:t>
      </w:r>
    </w:p>
    <w:p w14:paraId="206FFDBC" w14:textId="231FD249" w:rsidR="00F54C60" w:rsidRPr="007A0D69" w:rsidRDefault="00F54C60" w:rsidP="009336D1">
      <w:pPr>
        <w:pStyle w:val="ListParagraph"/>
        <w:numPr>
          <w:ilvl w:val="0"/>
          <w:numId w:val="35"/>
        </w:numPr>
        <w:spacing w:line="240" w:lineRule="auto"/>
        <w:contextualSpacing w:val="0"/>
        <w:rPr>
          <w:rFonts w:ascii="Times New Roman" w:hAnsi="Times New Roman" w:cs="Times New Roman"/>
        </w:rPr>
      </w:pPr>
      <w:r w:rsidRPr="007A0D69">
        <w:rPr>
          <w:rFonts w:ascii="Times New Roman" w:hAnsi="Times New Roman" w:cs="Times New Roman"/>
        </w:rPr>
        <w:t xml:space="preserve">The group briefly discussed that a final round of comments could be done on the Addenda documents which will be presented at the COP-15. </w:t>
      </w:r>
    </w:p>
    <w:p w14:paraId="5895C740" w14:textId="52569297" w:rsidR="00475645" w:rsidRPr="00E64271" w:rsidRDefault="00475645" w:rsidP="00317D29">
      <w:pPr>
        <w:tabs>
          <w:tab w:val="left" w:pos="1025"/>
        </w:tabs>
        <w:spacing w:beforeLines="60" w:before="144" w:afterLines="60" w:after="144" w:line="240" w:lineRule="auto"/>
        <w:rPr>
          <w:rFonts w:ascii="Times New Roman" w:hAnsi="Times New Roman" w:cs="Times New Roman"/>
          <w:b/>
          <w:u w:val="single"/>
        </w:rPr>
      </w:pPr>
      <w:r w:rsidRPr="00E64271">
        <w:rPr>
          <w:rFonts w:ascii="Times New Roman" w:hAnsi="Times New Roman" w:cs="Times New Roman"/>
          <w:b/>
          <w:u w:val="single"/>
        </w:rPr>
        <w:t>Concluding remarks and next steps</w:t>
      </w:r>
    </w:p>
    <w:p w14:paraId="0509CBAE" w14:textId="61D380C9" w:rsidR="00475645" w:rsidRDefault="00F54C60" w:rsidP="006D344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E64271">
        <w:rPr>
          <w:rFonts w:ascii="Times New Roman" w:hAnsi="Times New Roman" w:cs="Times New Roman"/>
        </w:rPr>
        <w:t>The gro</w:t>
      </w:r>
      <w:r w:rsidR="00E64271">
        <w:rPr>
          <w:rFonts w:ascii="Times New Roman" w:hAnsi="Times New Roman" w:cs="Times New Roman"/>
        </w:rPr>
        <w:t>u</w:t>
      </w:r>
      <w:r w:rsidRPr="00E64271">
        <w:rPr>
          <w:rFonts w:ascii="Times New Roman" w:hAnsi="Times New Roman" w:cs="Times New Roman"/>
        </w:rPr>
        <w:t>p a</w:t>
      </w:r>
      <w:r w:rsidR="00475645" w:rsidRPr="00E64271">
        <w:rPr>
          <w:rFonts w:ascii="Times New Roman" w:hAnsi="Times New Roman" w:cs="Times New Roman"/>
        </w:rPr>
        <w:t xml:space="preserve">greed on a </w:t>
      </w:r>
      <w:r w:rsidR="00F56500">
        <w:rPr>
          <w:rFonts w:ascii="Times New Roman" w:hAnsi="Times New Roman" w:cs="Times New Roman"/>
        </w:rPr>
        <w:t>tentative schedule</w:t>
      </w:r>
      <w:r w:rsidRPr="00E64271">
        <w:rPr>
          <w:rFonts w:ascii="Times New Roman" w:hAnsi="Times New Roman" w:cs="Times New Roman"/>
        </w:rPr>
        <w:t xml:space="preserve">, which will be updated by the co-leading countries and circulated with the summary notes of this meeting to the SIWG. </w:t>
      </w:r>
    </w:p>
    <w:p w14:paraId="6C2FF51E" w14:textId="77777777" w:rsidR="006D3447" w:rsidRPr="00E64271" w:rsidRDefault="006D3447" w:rsidP="009336D1">
      <w:pPr>
        <w:pStyle w:val="ListParagraph"/>
        <w:ind w:left="360"/>
        <w:rPr>
          <w:rFonts w:ascii="Times New Roman" w:hAnsi="Times New Roman" w:cs="Times New Roman"/>
        </w:rPr>
      </w:pPr>
    </w:p>
    <w:p w14:paraId="3FB96618" w14:textId="622459CE" w:rsidR="00F54C60" w:rsidRDefault="00F54C60" w:rsidP="006D344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E64271">
        <w:rPr>
          <w:rFonts w:ascii="Times New Roman" w:hAnsi="Times New Roman" w:cs="Times New Roman"/>
        </w:rPr>
        <w:t xml:space="preserve">Co-leading countries will discuss with the Secretariat on a possible date for the face-to-face meeting, its location and funds required. This way the Secretariat will try to fund-raise for the specific needs. </w:t>
      </w:r>
    </w:p>
    <w:p w14:paraId="0A7B1213" w14:textId="77777777" w:rsidR="006D3447" w:rsidRPr="009336D1" w:rsidRDefault="006D3447" w:rsidP="009336D1">
      <w:pPr>
        <w:pStyle w:val="ListParagraph"/>
        <w:rPr>
          <w:rFonts w:ascii="Times New Roman" w:hAnsi="Times New Roman" w:cs="Times New Roman"/>
        </w:rPr>
      </w:pPr>
    </w:p>
    <w:p w14:paraId="0CE65F1D" w14:textId="4905F84C" w:rsidR="00B6215C" w:rsidRPr="00D13D45" w:rsidRDefault="009F6A91" w:rsidP="001B59D8">
      <w:pPr>
        <w:spacing w:beforeLines="60" w:before="144" w:afterLines="60" w:after="144" w:line="240" w:lineRule="auto"/>
        <w:rPr>
          <w:rFonts w:ascii="Arial" w:hAnsi="Arial" w:cs="Arial"/>
          <w:b/>
        </w:rPr>
      </w:pPr>
      <w:r w:rsidRPr="00E64271">
        <w:rPr>
          <w:rFonts w:ascii="Times New Roman" w:hAnsi="Times New Roman" w:cs="Times New Roman"/>
          <w:b/>
        </w:rPr>
        <w:t xml:space="preserve">The meeting was closed at </w:t>
      </w:r>
      <w:r w:rsidR="007B3353" w:rsidRPr="00E64271">
        <w:rPr>
          <w:rFonts w:ascii="Times New Roman" w:hAnsi="Times New Roman" w:cs="Times New Roman"/>
          <w:b/>
        </w:rPr>
        <w:t>15</w:t>
      </w:r>
      <w:r w:rsidRPr="00E64271">
        <w:rPr>
          <w:rFonts w:ascii="Times New Roman" w:hAnsi="Times New Roman" w:cs="Times New Roman"/>
          <w:b/>
        </w:rPr>
        <w:t xml:space="preserve">h. </w:t>
      </w:r>
      <w:r w:rsidR="007E5908" w:rsidRPr="00E64271">
        <w:rPr>
          <w:rFonts w:ascii="Times New Roman" w:hAnsi="Times New Roman" w:cs="Times New Roman"/>
          <w:b/>
        </w:rPr>
        <w:br/>
      </w:r>
      <w:r w:rsidR="007E5908" w:rsidRPr="00D13D45">
        <w:rPr>
          <w:rFonts w:ascii="Arial" w:hAnsi="Arial" w:cs="Arial"/>
          <w:b/>
        </w:rPr>
        <w:br/>
      </w:r>
    </w:p>
    <w:p w14:paraId="6C25503D" w14:textId="25D96F3A" w:rsidR="00D71028" w:rsidRDefault="00B6215C" w:rsidP="009336D1">
      <w:pPr>
        <w:rPr>
          <w:rFonts w:ascii="Arial" w:hAnsi="Arial" w:cs="Arial"/>
          <w:b/>
        </w:rPr>
      </w:pPr>
      <w:r w:rsidRPr="00D13D45">
        <w:rPr>
          <w:rFonts w:ascii="Arial" w:hAnsi="Arial" w:cs="Arial"/>
          <w:b/>
        </w:rPr>
        <w:br w:type="page"/>
      </w:r>
      <w:r w:rsidR="007E5908" w:rsidRPr="00DB325B">
        <w:rPr>
          <w:rFonts w:ascii="Times New Roman" w:hAnsi="Times New Roman" w:cs="Times New Roman"/>
          <w:b/>
        </w:rPr>
        <w:t>Annex I – List of attendees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32"/>
        <w:gridCol w:w="48"/>
        <w:gridCol w:w="6480"/>
      </w:tblGrid>
      <w:tr w:rsidR="00D71028" w:rsidRPr="00F910BE" w14:paraId="312B16A6" w14:textId="77777777" w:rsidTr="009336D1">
        <w:trPr>
          <w:trHeight w:val="432"/>
          <w:jc w:val="center"/>
        </w:trPr>
        <w:tc>
          <w:tcPr>
            <w:tcW w:w="3420" w:type="dxa"/>
            <w:gridSpan w:val="3"/>
            <w:shd w:val="clear" w:color="auto" w:fill="F2F2F2" w:themeFill="background1" w:themeFillShade="F2"/>
            <w:vAlign w:val="center"/>
          </w:tcPr>
          <w:p w14:paraId="6677B52B" w14:textId="77777777" w:rsidR="00D71028" w:rsidRPr="00DB325B" w:rsidRDefault="00D71028" w:rsidP="00E6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14:paraId="196E226B" w14:textId="77777777" w:rsidR="00D71028" w:rsidRPr="00DB325B" w:rsidRDefault="00D71028" w:rsidP="00E64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hAnsi="Times New Roman" w:cs="Times New Roman"/>
                <w:b/>
                <w:bCs/>
              </w:rPr>
              <w:t>REPRESENTING</w:t>
            </w:r>
          </w:p>
        </w:tc>
      </w:tr>
      <w:tr w:rsidR="00D71028" w:rsidRPr="00F910BE" w14:paraId="1A2A4431" w14:textId="77777777" w:rsidTr="009336D1">
        <w:trPr>
          <w:trHeight w:val="432"/>
          <w:jc w:val="center"/>
        </w:trPr>
        <w:tc>
          <w:tcPr>
            <w:tcW w:w="540" w:type="dxa"/>
          </w:tcPr>
          <w:p w14:paraId="6FC0878D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74AEB0AB" w14:textId="71C00D06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Abel Arkenbout</w:t>
            </w:r>
          </w:p>
        </w:tc>
        <w:tc>
          <w:tcPr>
            <w:tcW w:w="6480" w:type="dxa"/>
            <w:shd w:val="clear" w:color="auto" w:fill="auto"/>
            <w:hideMark/>
          </w:tcPr>
          <w:p w14:paraId="6CBC9843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ToxicoWatch</w:t>
            </w:r>
          </w:p>
        </w:tc>
      </w:tr>
      <w:tr w:rsidR="00D71028" w:rsidRPr="00F910BE" w14:paraId="70636EAA" w14:textId="77777777" w:rsidTr="009336D1">
        <w:trPr>
          <w:trHeight w:val="432"/>
          <w:jc w:val="center"/>
        </w:trPr>
        <w:tc>
          <w:tcPr>
            <w:tcW w:w="540" w:type="dxa"/>
          </w:tcPr>
          <w:p w14:paraId="22666189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6286DD65" w14:textId="481D2D79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Alain Heidelberger</w:t>
            </w:r>
          </w:p>
        </w:tc>
        <w:tc>
          <w:tcPr>
            <w:tcW w:w="6480" w:type="dxa"/>
            <w:shd w:val="clear" w:color="auto" w:fill="auto"/>
            <w:hideMark/>
          </w:tcPr>
          <w:p w14:paraId="6AE86479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Hazardous Waste Europe</w:t>
            </w:r>
          </w:p>
        </w:tc>
      </w:tr>
      <w:tr w:rsidR="00D71028" w:rsidRPr="00F910BE" w14:paraId="30B387E3" w14:textId="77777777" w:rsidTr="009336D1">
        <w:trPr>
          <w:trHeight w:val="432"/>
          <w:jc w:val="center"/>
        </w:trPr>
        <w:tc>
          <w:tcPr>
            <w:tcW w:w="540" w:type="dxa"/>
          </w:tcPr>
          <w:p w14:paraId="5FBE0E75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31996193" w14:textId="4CB891CC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Ms Alejandra Acosta</w:t>
            </w:r>
          </w:p>
        </w:tc>
        <w:tc>
          <w:tcPr>
            <w:tcW w:w="6480" w:type="dxa"/>
            <w:shd w:val="clear" w:color="auto" w:fill="auto"/>
            <w:hideMark/>
          </w:tcPr>
          <w:p w14:paraId="64411AF1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Secretariat of Environment and sustainable development, Argentina</w:t>
            </w:r>
          </w:p>
        </w:tc>
      </w:tr>
      <w:tr w:rsidR="00D71028" w:rsidRPr="00F910BE" w14:paraId="3FC3ED14" w14:textId="77777777" w:rsidTr="009336D1">
        <w:trPr>
          <w:trHeight w:val="432"/>
          <w:jc w:val="center"/>
        </w:trPr>
        <w:tc>
          <w:tcPr>
            <w:tcW w:w="540" w:type="dxa"/>
          </w:tcPr>
          <w:p w14:paraId="684CA1F9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7270DE5D" w14:textId="193D860F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Ms Christina Langlois-Miller</w:t>
            </w:r>
          </w:p>
        </w:tc>
        <w:tc>
          <w:tcPr>
            <w:tcW w:w="6480" w:type="dxa"/>
            <w:shd w:val="clear" w:color="auto" w:fill="auto"/>
            <w:hideMark/>
          </w:tcPr>
          <w:p w14:paraId="6F0F79E3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U.S. EPA</w:t>
            </w:r>
          </w:p>
        </w:tc>
      </w:tr>
      <w:tr w:rsidR="00D71028" w:rsidRPr="00F910BE" w14:paraId="40317BC4" w14:textId="77777777" w:rsidTr="009336D1">
        <w:trPr>
          <w:trHeight w:val="432"/>
          <w:jc w:val="center"/>
        </w:trPr>
        <w:tc>
          <w:tcPr>
            <w:tcW w:w="540" w:type="dxa"/>
          </w:tcPr>
          <w:p w14:paraId="067AAA6E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5A6AFC98" w14:textId="5EEEB3F5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Christopher Mariano</w:t>
            </w:r>
          </w:p>
        </w:tc>
        <w:tc>
          <w:tcPr>
            <w:tcW w:w="6480" w:type="dxa"/>
            <w:shd w:val="clear" w:color="auto" w:fill="auto"/>
            <w:hideMark/>
          </w:tcPr>
          <w:p w14:paraId="55693560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Environment and Climate Change Canada</w:t>
            </w:r>
          </w:p>
        </w:tc>
      </w:tr>
      <w:tr w:rsidR="00D71028" w:rsidRPr="00F910BE" w14:paraId="1D7082E8" w14:textId="77777777" w:rsidTr="009336D1">
        <w:trPr>
          <w:trHeight w:val="432"/>
          <w:jc w:val="center"/>
        </w:trPr>
        <w:tc>
          <w:tcPr>
            <w:tcW w:w="540" w:type="dxa"/>
          </w:tcPr>
          <w:p w14:paraId="448ED25A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4565EA84" w14:textId="2AE8EB12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Dadan Wardhana Hasanuddin</w:t>
            </w:r>
          </w:p>
        </w:tc>
        <w:tc>
          <w:tcPr>
            <w:tcW w:w="6480" w:type="dxa"/>
            <w:shd w:val="clear" w:color="auto" w:fill="auto"/>
            <w:hideMark/>
          </w:tcPr>
          <w:p w14:paraId="71E29B66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Ministry of Environment and Forestry, Indonesia</w:t>
            </w:r>
          </w:p>
        </w:tc>
      </w:tr>
      <w:tr w:rsidR="00D71028" w:rsidRPr="00F910BE" w14:paraId="27514EE3" w14:textId="77777777" w:rsidTr="009336D1">
        <w:trPr>
          <w:trHeight w:val="432"/>
          <w:jc w:val="center"/>
        </w:trPr>
        <w:tc>
          <w:tcPr>
            <w:tcW w:w="540" w:type="dxa"/>
          </w:tcPr>
          <w:p w14:paraId="5052D18D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005AB2A9" w14:textId="3628A51B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Eshwar Samaroo</w:t>
            </w:r>
          </w:p>
        </w:tc>
        <w:tc>
          <w:tcPr>
            <w:tcW w:w="6480" w:type="dxa"/>
            <w:shd w:val="clear" w:color="auto" w:fill="auto"/>
            <w:hideMark/>
          </w:tcPr>
          <w:p w14:paraId="3284AF99" w14:textId="1B098540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Guyana Environmental Protection Agency</w:t>
            </w:r>
          </w:p>
        </w:tc>
      </w:tr>
      <w:tr w:rsidR="00D71028" w:rsidRPr="00F910BE" w14:paraId="79538B90" w14:textId="77777777" w:rsidTr="009336D1">
        <w:trPr>
          <w:trHeight w:val="432"/>
          <w:jc w:val="center"/>
        </w:trPr>
        <w:tc>
          <w:tcPr>
            <w:tcW w:w="540" w:type="dxa"/>
          </w:tcPr>
          <w:p w14:paraId="287D82A5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754C1535" w14:textId="143DF8C6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Gregory Helms</w:t>
            </w:r>
          </w:p>
        </w:tc>
        <w:tc>
          <w:tcPr>
            <w:tcW w:w="6480" w:type="dxa"/>
            <w:shd w:val="clear" w:color="auto" w:fill="auto"/>
            <w:hideMark/>
          </w:tcPr>
          <w:p w14:paraId="02D67BAF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U.S. Environmental Protection Agency</w:t>
            </w:r>
          </w:p>
        </w:tc>
      </w:tr>
      <w:tr w:rsidR="00D71028" w:rsidRPr="00F910BE" w14:paraId="6F50DB69" w14:textId="77777777" w:rsidTr="009336D1">
        <w:trPr>
          <w:trHeight w:val="432"/>
          <w:jc w:val="center"/>
        </w:trPr>
        <w:tc>
          <w:tcPr>
            <w:tcW w:w="540" w:type="dxa"/>
          </w:tcPr>
          <w:p w14:paraId="7D592120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151E0CDA" w14:textId="7209CF0D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Jindrich Petrlik</w:t>
            </w:r>
          </w:p>
        </w:tc>
        <w:tc>
          <w:tcPr>
            <w:tcW w:w="6480" w:type="dxa"/>
            <w:shd w:val="clear" w:color="auto" w:fill="auto"/>
            <w:hideMark/>
          </w:tcPr>
          <w:p w14:paraId="3CDFC337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Arnika - Toxics and Waste Programme / IPEN Dioxin, PCBs and Waste WG</w:t>
            </w:r>
          </w:p>
        </w:tc>
      </w:tr>
      <w:tr w:rsidR="00D71028" w:rsidRPr="00F910BE" w14:paraId="1639B10F" w14:textId="77777777" w:rsidTr="009336D1">
        <w:trPr>
          <w:trHeight w:val="432"/>
          <w:jc w:val="center"/>
        </w:trPr>
        <w:tc>
          <w:tcPr>
            <w:tcW w:w="540" w:type="dxa"/>
          </w:tcPr>
          <w:p w14:paraId="6D0EB3E6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0BFE4176" w14:textId="5F58CF1F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Joost Meijer</w:t>
            </w:r>
          </w:p>
        </w:tc>
        <w:tc>
          <w:tcPr>
            <w:tcW w:w="6480" w:type="dxa"/>
            <w:shd w:val="clear" w:color="auto" w:fill="auto"/>
            <w:hideMark/>
          </w:tcPr>
          <w:p w14:paraId="3421F827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Ministry of Environment, Chile</w:t>
            </w:r>
          </w:p>
        </w:tc>
      </w:tr>
      <w:tr w:rsidR="00D71028" w:rsidRPr="00F910BE" w14:paraId="38816A1E" w14:textId="77777777" w:rsidTr="009336D1">
        <w:trPr>
          <w:trHeight w:val="432"/>
          <w:jc w:val="center"/>
        </w:trPr>
        <w:tc>
          <w:tcPr>
            <w:tcW w:w="540" w:type="dxa"/>
          </w:tcPr>
          <w:p w14:paraId="09DB82D1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3E4A4B77" w14:textId="68185E03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Jorge Diaz</w:t>
            </w:r>
          </w:p>
        </w:tc>
        <w:tc>
          <w:tcPr>
            <w:tcW w:w="6480" w:type="dxa"/>
            <w:shd w:val="clear" w:color="auto" w:fill="auto"/>
            <w:hideMark/>
          </w:tcPr>
          <w:p w14:paraId="433DE4DA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European Commission</w:t>
            </w:r>
          </w:p>
        </w:tc>
      </w:tr>
      <w:tr w:rsidR="00D71028" w:rsidRPr="00F910BE" w14:paraId="3CA56F02" w14:textId="77777777" w:rsidTr="009336D1">
        <w:trPr>
          <w:trHeight w:val="432"/>
          <w:jc w:val="center"/>
        </w:trPr>
        <w:tc>
          <w:tcPr>
            <w:tcW w:w="540" w:type="dxa"/>
          </w:tcPr>
          <w:p w14:paraId="4EDD3090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57D0E274" w14:textId="45364AB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Ms Julie Croteau</w:t>
            </w:r>
          </w:p>
        </w:tc>
        <w:tc>
          <w:tcPr>
            <w:tcW w:w="6480" w:type="dxa"/>
            <w:shd w:val="clear" w:color="auto" w:fill="auto"/>
            <w:hideMark/>
          </w:tcPr>
          <w:p w14:paraId="038C6904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Environment and Climate Change Canada</w:t>
            </w:r>
          </w:p>
        </w:tc>
      </w:tr>
      <w:tr w:rsidR="00D71028" w:rsidRPr="00F910BE" w14:paraId="54F42D57" w14:textId="77777777" w:rsidTr="009336D1">
        <w:trPr>
          <w:trHeight w:val="432"/>
          <w:jc w:val="center"/>
        </w:trPr>
        <w:tc>
          <w:tcPr>
            <w:tcW w:w="540" w:type="dxa"/>
          </w:tcPr>
          <w:p w14:paraId="19AD3F3B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31A06E2D" w14:textId="169CD53D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Keijiro Tomoda</w:t>
            </w:r>
          </w:p>
        </w:tc>
        <w:tc>
          <w:tcPr>
            <w:tcW w:w="6480" w:type="dxa"/>
            <w:shd w:val="clear" w:color="auto" w:fill="auto"/>
            <w:hideMark/>
          </w:tcPr>
          <w:p w14:paraId="72AF9501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TOWA technology Corp.</w:t>
            </w:r>
          </w:p>
        </w:tc>
      </w:tr>
      <w:tr w:rsidR="00D71028" w:rsidRPr="00F910BE" w14:paraId="0B4FAC5C" w14:textId="77777777" w:rsidTr="009336D1">
        <w:trPr>
          <w:trHeight w:val="432"/>
          <w:jc w:val="center"/>
        </w:trPr>
        <w:tc>
          <w:tcPr>
            <w:tcW w:w="540" w:type="dxa"/>
          </w:tcPr>
          <w:p w14:paraId="3A77C23C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367C44B0" w14:textId="265F8B82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Lee Bell</w:t>
            </w:r>
          </w:p>
        </w:tc>
        <w:tc>
          <w:tcPr>
            <w:tcW w:w="6480" w:type="dxa"/>
            <w:shd w:val="clear" w:color="auto" w:fill="auto"/>
            <w:hideMark/>
          </w:tcPr>
          <w:p w14:paraId="5863E4DC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IPEN</w:t>
            </w:r>
          </w:p>
        </w:tc>
      </w:tr>
      <w:tr w:rsidR="00D71028" w:rsidRPr="00F910BE" w14:paraId="2E306241" w14:textId="77777777" w:rsidTr="009336D1">
        <w:trPr>
          <w:trHeight w:val="432"/>
          <w:jc w:val="center"/>
        </w:trPr>
        <w:tc>
          <w:tcPr>
            <w:tcW w:w="540" w:type="dxa"/>
          </w:tcPr>
          <w:p w14:paraId="3DB3293E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0A93F022" w14:textId="1F6340A1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Lorenzo Ceccherini</w:t>
            </w:r>
          </w:p>
        </w:tc>
        <w:tc>
          <w:tcPr>
            <w:tcW w:w="6480" w:type="dxa"/>
            <w:shd w:val="clear" w:color="auto" w:fill="auto"/>
            <w:hideMark/>
          </w:tcPr>
          <w:p w14:paraId="6870105B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CEWEP</w:t>
            </w:r>
          </w:p>
        </w:tc>
      </w:tr>
      <w:tr w:rsidR="00CA1345" w:rsidRPr="00F910BE" w14:paraId="31B3C9E4" w14:textId="77777777" w:rsidTr="009336D1">
        <w:trPr>
          <w:trHeight w:val="432"/>
          <w:jc w:val="center"/>
        </w:trPr>
        <w:tc>
          <w:tcPr>
            <w:tcW w:w="540" w:type="dxa"/>
          </w:tcPr>
          <w:p w14:paraId="7C6F27CB" w14:textId="77777777" w:rsidR="00CA1345" w:rsidRPr="00D71028" w:rsidRDefault="00CA1345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4F568F15" w14:textId="12EB5740" w:rsidR="00CA1345" w:rsidRPr="006D3447" w:rsidRDefault="00CA1345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Mr. Maxime Dub</w:t>
            </w:r>
            <w:r>
              <w:rPr>
                <w:rFonts w:ascii="Times New Roman" w:eastAsia="Times New Roman" w:hAnsi="Times New Roman" w:cs="Times New Roman"/>
                <w:color w:val="000000"/>
                <w:lang w:val="fr-CA"/>
              </w:rPr>
              <w:t>é</w:t>
            </w:r>
          </w:p>
        </w:tc>
        <w:tc>
          <w:tcPr>
            <w:tcW w:w="6480" w:type="dxa"/>
            <w:shd w:val="clear" w:color="auto" w:fill="auto"/>
          </w:tcPr>
          <w:p w14:paraId="46BBE7AE" w14:textId="70E6A99E" w:rsidR="00CA1345" w:rsidRPr="00DB325B" w:rsidRDefault="00CA1345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Environment and Climate Change Canada</w:t>
            </w:r>
          </w:p>
        </w:tc>
      </w:tr>
      <w:tr w:rsidR="00D71028" w:rsidRPr="00F910BE" w14:paraId="4EB9B5E1" w14:textId="77777777" w:rsidTr="009336D1">
        <w:trPr>
          <w:trHeight w:val="432"/>
          <w:jc w:val="center"/>
        </w:trPr>
        <w:tc>
          <w:tcPr>
            <w:tcW w:w="540" w:type="dxa"/>
          </w:tcPr>
          <w:p w14:paraId="0B930DC2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1136205F" w14:textId="1D4217AD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Ms Mayumi Tamiya</w:t>
            </w:r>
          </w:p>
        </w:tc>
        <w:tc>
          <w:tcPr>
            <w:tcW w:w="6480" w:type="dxa"/>
            <w:shd w:val="clear" w:color="auto" w:fill="auto"/>
            <w:hideMark/>
          </w:tcPr>
          <w:p w14:paraId="64849E4C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Towa Technology Corporation, Japan</w:t>
            </w:r>
          </w:p>
        </w:tc>
      </w:tr>
      <w:tr w:rsidR="00D71028" w:rsidRPr="00F910BE" w14:paraId="2E9D56BA" w14:textId="77777777" w:rsidTr="009336D1">
        <w:trPr>
          <w:trHeight w:val="432"/>
          <w:jc w:val="center"/>
        </w:trPr>
        <w:tc>
          <w:tcPr>
            <w:tcW w:w="540" w:type="dxa"/>
          </w:tcPr>
          <w:p w14:paraId="095EE926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458364A3" w14:textId="23839103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Michael Ernst</w:t>
            </w:r>
          </w:p>
        </w:tc>
        <w:tc>
          <w:tcPr>
            <w:tcW w:w="6480" w:type="dxa"/>
            <w:shd w:val="clear" w:color="auto" w:fill="auto"/>
            <w:hideMark/>
          </w:tcPr>
          <w:p w14:paraId="5CB88A45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Federal Environment Ministry, Germany</w:t>
            </w:r>
          </w:p>
        </w:tc>
      </w:tr>
      <w:tr w:rsidR="00D71028" w:rsidRPr="00F910BE" w14:paraId="0571147A" w14:textId="77777777" w:rsidTr="009336D1">
        <w:trPr>
          <w:trHeight w:val="432"/>
          <w:jc w:val="center"/>
        </w:trPr>
        <w:tc>
          <w:tcPr>
            <w:tcW w:w="540" w:type="dxa"/>
          </w:tcPr>
          <w:p w14:paraId="70E0D73B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6514F95B" w14:textId="19230E1B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Ms Nana Zhao</w:t>
            </w:r>
          </w:p>
        </w:tc>
        <w:tc>
          <w:tcPr>
            <w:tcW w:w="6480" w:type="dxa"/>
            <w:shd w:val="clear" w:color="auto" w:fill="auto"/>
            <w:hideMark/>
          </w:tcPr>
          <w:p w14:paraId="70AF0574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Tsinghua University, China</w:t>
            </w:r>
          </w:p>
        </w:tc>
      </w:tr>
      <w:tr w:rsidR="00D71028" w:rsidRPr="00F910BE" w14:paraId="727D52AB" w14:textId="77777777" w:rsidTr="009336D1">
        <w:trPr>
          <w:trHeight w:val="432"/>
          <w:jc w:val="center"/>
        </w:trPr>
        <w:tc>
          <w:tcPr>
            <w:tcW w:w="540" w:type="dxa"/>
          </w:tcPr>
          <w:p w14:paraId="3570A959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5E2B3DFF" w14:textId="7CADDFD3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Neil Tangri</w:t>
            </w:r>
          </w:p>
        </w:tc>
        <w:tc>
          <w:tcPr>
            <w:tcW w:w="6480" w:type="dxa"/>
            <w:shd w:val="clear" w:color="auto" w:fill="auto"/>
            <w:hideMark/>
          </w:tcPr>
          <w:p w14:paraId="3BF649E3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GAIA</w:t>
            </w:r>
          </w:p>
        </w:tc>
      </w:tr>
      <w:tr w:rsidR="00D71028" w:rsidRPr="00F910BE" w14:paraId="2D518F1C" w14:textId="77777777" w:rsidTr="009336D1">
        <w:trPr>
          <w:trHeight w:val="432"/>
          <w:jc w:val="center"/>
        </w:trPr>
        <w:tc>
          <w:tcPr>
            <w:tcW w:w="540" w:type="dxa"/>
          </w:tcPr>
          <w:p w14:paraId="0FAB8DC3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4CD955B8" w14:textId="3E1D9360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Roger Simon</w:t>
            </w:r>
          </w:p>
        </w:tc>
        <w:tc>
          <w:tcPr>
            <w:tcW w:w="6480" w:type="dxa"/>
            <w:shd w:val="clear" w:color="auto" w:fill="auto"/>
            <w:hideMark/>
          </w:tcPr>
          <w:p w14:paraId="48BA4763" w14:textId="29B9F6A9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Guyana Environmental Protection Agency</w:t>
            </w:r>
          </w:p>
        </w:tc>
      </w:tr>
      <w:tr w:rsidR="00D71028" w:rsidRPr="00F910BE" w14:paraId="3E487893" w14:textId="77777777" w:rsidTr="009336D1">
        <w:trPr>
          <w:trHeight w:val="432"/>
          <w:jc w:val="center"/>
        </w:trPr>
        <w:tc>
          <w:tcPr>
            <w:tcW w:w="540" w:type="dxa"/>
          </w:tcPr>
          <w:p w14:paraId="5D680097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gridSpan w:val="2"/>
            <w:shd w:val="clear" w:color="auto" w:fill="auto"/>
            <w:hideMark/>
          </w:tcPr>
          <w:p w14:paraId="2CEBFF76" w14:textId="436A3B0B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 Toru Terai</w:t>
            </w:r>
          </w:p>
        </w:tc>
        <w:tc>
          <w:tcPr>
            <w:tcW w:w="6480" w:type="dxa"/>
            <w:shd w:val="clear" w:color="auto" w:fill="auto"/>
            <w:hideMark/>
          </w:tcPr>
          <w:p w14:paraId="74B426FC" w14:textId="77777777" w:rsidR="00D71028" w:rsidRPr="00DB325B" w:rsidRDefault="00D71028" w:rsidP="00D7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Ministry of the Environment, Japan</w:t>
            </w:r>
          </w:p>
        </w:tc>
      </w:tr>
      <w:tr w:rsidR="00D71028" w:rsidRPr="00D13D45" w14:paraId="1430F017" w14:textId="77777777" w:rsidTr="009336D1">
        <w:tblPrEx>
          <w:tblCellMar>
            <w:left w:w="2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9900" w:type="dxa"/>
            <w:gridSpan w:val="4"/>
            <w:shd w:val="clear" w:color="auto" w:fill="F2F2F2"/>
          </w:tcPr>
          <w:p w14:paraId="3E09ACA4" w14:textId="389234F9" w:rsidR="00D71028" w:rsidRPr="00DB325B" w:rsidRDefault="00D71028" w:rsidP="00DB32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B325B">
              <w:rPr>
                <w:rFonts w:ascii="Times New Roman" w:hAnsi="Times New Roman" w:cs="Times New Roman"/>
                <w:b/>
                <w:color w:val="000000"/>
              </w:rPr>
              <w:t>BRS Secretariat</w:t>
            </w:r>
          </w:p>
        </w:tc>
      </w:tr>
      <w:tr w:rsidR="00D71028" w:rsidRPr="00D71028" w14:paraId="778FE68F" w14:textId="77777777" w:rsidTr="009336D1">
        <w:tblPrEx>
          <w:tblCellMar>
            <w:left w:w="2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40" w:type="dxa"/>
          </w:tcPr>
          <w:p w14:paraId="5C133923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2" w:type="dxa"/>
          </w:tcPr>
          <w:p w14:paraId="28459AA6" w14:textId="77777777" w:rsidR="00D71028" w:rsidRPr="00DB325B" w:rsidRDefault="00D71028" w:rsidP="00D71028">
            <w:pPr>
              <w:pStyle w:val="ListParagraph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Ms. Carla Valle-Klann</w:t>
            </w:r>
          </w:p>
        </w:tc>
        <w:tc>
          <w:tcPr>
            <w:tcW w:w="6528" w:type="dxa"/>
            <w:gridSpan w:val="2"/>
          </w:tcPr>
          <w:p w14:paraId="114AA45B" w14:textId="77777777" w:rsidR="00D71028" w:rsidRPr="00DB325B" w:rsidRDefault="00D71028" w:rsidP="00D71028">
            <w:pPr>
              <w:pStyle w:val="ListParagraph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BRS Secretariat</w:t>
            </w:r>
          </w:p>
        </w:tc>
      </w:tr>
      <w:tr w:rsidR="00D71028" w:rsidRPr="00D71028" w14:paraId="761327FF" w14:textId="77777777" w:rsidTr="009336D1">
        <w:tblPrEx>
          <w:tblCellMar>
            <w:left w:w="2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40" w:type="dxa"/>
          </w:tcPr>
          <w:p w14:paraId="668D024B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2" w:type="dxa"/>
          </w:tcPr>
          <w:p w14:paraId="27591D67" w14:textId="77777777" w:rsidR="00D71028" w:rsidRPr="00DB325B" w:rsidRDefault="00D71028" w:rsidP="00D71028">
            <w:pPr>
              <w:pStyle w:val="ListParagraph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Ms. Melisa Lim</w:t>
            </w:r>
          </w:p>
        </w:tc>
        <w:tc>
          <w:tcPr>
            <w:tcW w:w="6528" w:type="dxa"/>
            <w:gridSpan w:val="2"/>
          </w:tcPr>
          <w:p w14:paraId="20C9BAE2" w14:textId="77777777" w:rsidR="00D71028" w:rsidRPr="00DB325B" w:rsidRDefault="00D71028" w:rsidP="00D71028">
            <w:pPr>
              <w:pStyle w:val="ListParagraph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BRS Secretariat</w:t>
            </w:r>
          </w:p>
        </w:tc>
      </w:tr>
      <w:tr w:rsidR="00D71028" w:rsidRPr="00D71028" w14:paraId="5A2B1698" w14:textId="77777777" w:rsidTr="009336D1">
        <w:tblPrEx>
          <w:tblCellMar>
            <w:left w:w="28" w:type="dxa"/>
          </w:tblCellMar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40" w:type="dxa"/>
          </w:tcPr>
          <w:p w14:paraId="7C58BC8A" w14:textId="77777777" w:rsidR="00D71028" w:rsidRPr="00D71028" w:rsidRDefault="00D71028" w:rsidP="00D7102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32" w:type="dxa"/>
          </w:tcPr>
          <w:p w14:paraId="7345FB88" w14:textId="6421C1D9" w:rsidR="00D71028" w:rsidRPr="00DB325B" w:rsidRDefault="00D71028" w:rsidP="00D71028">
            <w:pPr>
              <w:pStyle w:val="ListParagraph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Mr. Shunsuke Kudo</w:t>
            </w:r>
          </w:p>
        </w:tc>
        <w:tc>
          <w:tcPr>
            <w:tcW w:w="6528" w:type="dxa"/>
            <w:gridSpan w:val="2"/>
          </w:tcPr>
          <w:p w14:paraId="5ECF84EB" w14:textId="44F42936" w:rsidR="00D71028" w:rsidRPr="00DB325B" w:rsidRDefault="00D71028" w:rsidP="00D71028">
            <w:pPr>
              <w:pStyle w:val="ListParagraph"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color w:val="000000"/>
              </w:rPr>
            </w:pPr>
            <w:r w:rsidRPr="00DB325B">
              <w:rPr>
                <w:rFonts w:ascii="Times New Roman" w:eastAsia="Times New Roman" w:hAnsi="Times New Roman" w:cs="Times New Roman"/>
                <w:color w:val="000000"/>
              </w:rPr>
              <w:t>BRS Secretariat</w:t>
            </w:r>
          </w:p>
        </w:tc>
      </w:tr>
    </w:tbl>
    <w:p w14:paraId="0CE16E7C" w14:textId="77777777" w:rsidR="00CA1345" w:rsidRDefault="00CA1345" w:rsidP="00D71028">
      <w:pPr>
        <w:spacing w:beforeLines="60" w:before="144" w:afterLines="60" w:after="144" w:line="240" w:lineRule="auto"/>
        <w:rPr>
          <w:rFonts w:ascii="Times New Roman" w:hAnsi="Times New Roman" w:cs="Times New Roman"/>
          <w:b/>
          <w:u w:val="single"/>
        </w:rPr>
      </w:pPr>
    </w:p>
    <w:p w14:paraId="1D39D11E" w14:textId="77777777" w:rsidR="00CA1345" w:rsidRDefault="00CA1345" w:rsidP="00D71028">
      <w:pPr>
        <w:spacing w:beforeLines="60" w:before="144" w:afterLines="60" w:after="144" w:line="240" w:lineRule="auto"/>
        <w:rPr>
          <w:rFonts w:ascii="Times New Roman" w:hAnsi="Times New Roman" w:cs="Times New Roman"/>
          <w:b/>
          <w:u w:val="single"/>
        </w:rPr>
      </w:pPr>
    </w:p>
    <w:p w14:paraId="5735280A" w14:textId="77777777" w:rsidR="00CA1345" w:rsidRDefault="00CA1345" w:rsidP="00D71028">
      <w:pPr>
        <w:spacing w:beforeLines="60" w:before="144" w:afterLines="60" w:after="144" w:line="240" w:lineRule="auto"/>
        <w:rPr>
          <w:rFonts w:ascii="Times New Roman" w:hAnsi="Times New Roman" w:cs="Times New Roman"/>
          <w:b/>
          <w:u w:val="single"/>
        </w:rPr>
      </w:pPr>
    </w:p>
    <w:p w14:paraId="1A071200" w14:textId="13705337" w:rsidR="00F910BE" w:rsidRPr="00317D29" w:rsidRDefault="002145A5" w:rsidP="00D71028">
      <w:pPr>
        <w:spacing w:beforeLines="60" w:before="144" w:afterLines="60" w:after="144" w:line="240" w:lineRule="auto"/>
        <w:rPr>
          <w:rFonts w:ascii="Times New Roman" w:hAnsi="Times New Roman" w:cs="Times New Roman"/>
          <w:b/>
          <w:u w:val="single"/>
        </w:rPr>
      </w:pPr>
      <w:r w:rsidRPr="00317D29">
        <w:rPr>
          <w:rFonts w:ascii="Times New Roman" w:hAnsi="Times New Roman" w:cs="Times New Roman"/>
          <w:b/>
          <w:u w:val="single"/>
        </w:rPr>
        <w:t>Annex II – Agenda of the call</w:t>
      </w:r>
    </w:p>
    <w:p w14:paraId="118EF532" w14:textId="77777777" w:rsidR="002145A5" w:rsidRDefault="002145A5" w:rsidP="002145A5">
      <w:pPr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846"/>
        <w:gridCol w:w="7087"/>
        <w:gridCol w:w="1417"/>
      </w:tblGrid>
      <w:tr w:rsidR="002145A5" w14:paraId="3417601F" w14:textId="77777777" w:rsidTr="000B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34613B42" w14:textId="77777777" w:rsidR="002145A5" w:rsidRPr="00D80808" w:rsidRDefault="002145A5" w:rsidP="000B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08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12B2061" w14:textId="77777777" w:rsidR="002145A5" w:rsidRPr="00D80808" w:rsidRDefault="002145A5" w:rsidP="000B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808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85F511" w14:textId="77777777" w:rsidR="002145A5" w:rsidRPr="00D80808" w:rsidRDefault="002145A5" w:rsidP="000B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</w:tr>
      <w:tr w:rsidR="002145A5" w14:paraId="38EBA235" w14:textId="77777777" w:rsidTr="000B17FC">
        <w:trPr>
          <w:trHeight w:val="703"/>
        </w:trPr>
        <w:tc>
          <w:tcPr>
            <w:tcW w:w="846" w:type="dxa"/>
            <w:vAlign w:val="center"/>
          </w:tcPr>
          <w:p w14:paraId="7FCF6205" w14:textId="77777777" w:rsidR="002145A5" w:rsidRDefault="002145A5" w:rsidP="000B1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14:paraId="51F05513" w14:textId="77777777" w:rsidR="002145A5" w:rsidRDefault="002145A5" w:rsidP="000B17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Introductory remarks</w:t>
            </w:r>
          </w:p>
          <w:p w14:paraId="0BFC8C1A" w14:textId="77777777" w:rsidR="002145A5" w:rsidRPr="00D80808" w:rsidRDefault="002145A5" w:rsidP="002145A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808">
              <w:rPr>
                <w:rFonts w:ascii="Times New Roman" w:hAnsi="Times New Roman"/>
                <w:sz w:val="24"/>
                <w:szCs w:val="24"/>
              </w:rPr>
              <w:t>Adoption of the agenda</w:t>
            </w:r>
          </w:p>
        </w:tc>
        <w:tc>
          <w:tcPr>
            <w:tcW w:w="1417" w:type="dxa"/>
            <w:vAlign w:val="center"/>
          </w:tcPr>
          <w:p w14:paraId="72977EE2" w14:textId="77777777" w:rsidR="002145A5" w:rsidRDefault="002145A5" w:rsidP="000B1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min</w:t>
            </w:r>
          </w:p>
        </w:tc>
      </w:tr>
      <w:tr w:rsidR="002145A5" w14:paraId="32459640" w14:textId="77777777" w:rsidTr="000B17FC">
        <w:trPr>
          <w:trHeight w:val="705"/>
        </w:trPr>
        <w:tc>
          <w:tcPr>
            <w:tcW w:w="846" w:type="dxa"/>
            <w:vAlign w:val="center"/>
          </w:tcPr>
          <w:p w14:paraId="42BA99B4" w14:textId="77777777" w:rsidR="002145A5" w:rsidRDefault="002145A5" w:rsidP="000B1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14:paraId="0BA76F0D" w14:textId="77777777" w:rsidR="002145A5" w:rsidRDefault="002145A5" w:rsidP="000B17F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 outcomes from COP-14</w:t>
            </w:r>
          </w:p>
        </w:tc>
        <w:tc>
          <w:tcPr>
            <w:tcW w:w="1417" w:type="dxa"/>
            <w:vAlign w:val="center"/>
          </w:tcPr>
          <w:p w14:paraId="315C0557" w14:textId="77777777" w:rsidR="002145A5" w:rsidRDefault="002145A5" w:rsidP="000B1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min</w:t>
            </w:r>
          </w:p>
        </w:tc>
      </w:tr>
      <w:tr w:rsidR="002145A5" w14:paraId="0CCDC923" w14:textId="77777777" w:rsidTr="000B17FC">
        <w:trPr>
          <w:trHeight w:val="1605"/>
        </w:trPr>
        <w:tc>
          <w:tcPr>
            <w:tcW w:w="846" w:type="dxa"/>
            <w:vAlign w:val="center"/>
          </w:tcPr>
          <w:p w14:paraId="32A1DF35" w14:textId="77777777" w:rsidR="002145A5" w:rsidRDefault="002145A5" w:rsidP="000B1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14:paraId="06FCB273" w14:textId="77777777" w:rsidR="002145A5" w:rsidRDefault="002145A5" w:rsidP="000B17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Provide an update on the development of the guidelines since COP-14</w:t>
            </w:r>
          </w:p>
          <w:p w14:paraId="2756901D" w14:textId="77777777" w:rsidR="002145A5" w:rsidRPr="00CB4AAB" w:rsidRDefault="002145A5" w:rsidP="002145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Advancement of D5</w:t>
            </w:r>
          </w:p>
          <w:p w14:paraId="3EE37410" w14:textId="77777777" w:rsidR="002145A5" w:rsidRPr="00CC5422" w:rsidRDefault="002145A5" w:rsidP="002145A5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C5422">
              <w:rPr>
                <w:rFonts w:ascii="Times New Roman" w:hAnsi="Times New Roman"/>
                <w:sz w:val="24"/>
                <w:szCs w:val="24"/>
              </w:rPr>
              <w:t>Seek views from the SIWG on ways to incorporate R1 into the existing guidelines</w:t>
            </w:r>
            <w:r w:rsidRPr="00CC54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6E86740" w14:textId="77777777" w:rsidR="002145A5" w:rsidRDefault="002145A5" w:rsidP="000B1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min</w:t>
            </w:r>
          </w:p>
        </w:tc>
      </w:tr>
      <w:tr w:rsidR="002145A5" w14:paraId="37314F6A" w14:textId="77777777" w:rsidTr="000B17FC">
        <w:trPr>
          <w:trHeight w:val="1263"/>
        </w:trPr>
        <w:tc>
          <w:tcPr>
            <w:tcW w:w="846" w:type="dxa"/>
            <w:vAlign w:val="center"/>
          </w:tcPr>
          <w:p w14:paraId="4DA9F0BF" w14:textId="77777777" w:rsidR="002145A5" w:rsidRDefault="002145A5" w:rsidP="000B1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14:paraId="0B85AF99" w14:textId="77777777" w:rsidR="002145A5" w:rsidRDefault="002145A5" w:rsidP="000B17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Review of the draft work plan for the SIWG</w:t>
            </w:r>
          </w:p>
          <w:p w14:paraId="22AE3CC0" w14:textId="77777777" w:rsidR="002145A5" w:rsidRPr="00C1694E" w:rsidRDefault="002145A5" w:rsidP="002145A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 views from the SIWG on the draft work plan, and finalize the way forward.</w:t>
            </w:r>
          </w:p>
          <w:p w14:paraId="115D661F" w14:textId="77777777" w:rsidR="002145A5" w:rsidRPr="0068738E" w:rsidRDefault="002145A5" w:rsidP="002145A5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the potential for a face-to-face meeting in 2020</w:t>
            </w:r>
          </w:p>
        </w:tc>
        <w:tc>
          <w:tcPr>
            <w:tcW w:w="1417" w:type="dxa"/>
            <w:vAlign w:val="center"/>
          </w:tcPr>
          <w:p w14:paraId="47237AF8" w14:textId="77777777" w:rsidR="002145A5" w:rsidRDefault="002145A5" w:rsidP="000B1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min</w:t>
            </w:r>
          </w:p>
        </w:tc>
      </w:tr>
      <w:tr w:rsidR="002145A5" w14:paraId="65EB2E75" w14:textId="77777777" w:rsidTr="000B17FC">
        <w:trPr>
          <w:trHeight w:val="642"/>
        </w:trPr>
        <w:tc>
          <w:tcPr>
            <w:tcW w:w="846" w:type="dxa"/>
            <w:vAlign w:val="center"/>
          </w:tcPr>
          <w:p w14:paraId="79C06EBF" w14:textId="77777777" w:rsidR="002145A5" w:rsidRDefault="002145A5" w:rsidP="000B1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14:paraId="66657C09" w14:textId="77777777" w:rsidR="002145A5" w:rsidRDefault="002145A5" w:rsidP="000B17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Concluding remarks and next steps</w:t>
            </w:r>
          </w:p>
        </w:tc>
        <w:tc>
          <w:tcPr>
            <w:tcW w:w="1417" w:type="dxa"/>
            <w:vAlign w:val="center"/>
          </w:tcPr>
          <w:p w14:paraId="5E545FC7" w14:textId="77777777" w:rsidR="002145A5" w:rsidRDefault="002145A5" w:rsidP="000B1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min</w:t>
            </w:r>
          </w:p>
        </w:tc>
      </w:tr>
    </w:tbl>
    <w:p w14:paraId="0A621E31" w14:textId="77777777" w:rsidR="002145A5" w:rsidRDefault="002145A5" w:rsidP="002145A5">
      <w:pPr>
        <w:ind w:firstLine="284"/>
        <w:rPr>
          <w:rFonts w:ascii="Times New Roman" w:hAnsi="Times New Roman"/>
          <w:b/>
          <w:sz w:val="24"/>
          <w:szCs w:val="24"/>
        </w:rPr>
      </w:pPr>
    </w:p>
    <w:p w14:paraId="712CEF8D" w14:textId="77777777" w:rsidR="002145A5" w:rsidRPr="00E12062" w:rsidRDefault="002145A5" w:rsidP="002145A5">
      <w:pPr>
        <w:ind w:firstLine="284"/>
        <w:rPr>
          <w:rFonts w:ascii="Times New Roman" w:hAnsi="Times New Roman"/>
          <w:b/>
          <w:sz w:val="24"/>
          <w:szCs w:val="24"/>
        </w:rPr>
      </w:pPr>
    </w:p>
    <w:p w14:paraId="63EEE570" w14:textId="77777777" w:rsidR="002145A5" w:rsidRPr="00453D94" w:rsidRDefault="002145A5" w:rsidP="002145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documents</w:t>
      </w:r>
      <w:r w:rsidRPr="00453D94">
        <w:rPr>
          <w:rFonts w:ascii="Times New Roman" w:hAnsi="Times New Roman"/>
          <w:b/>
          <w:sz w:val="24"/>
          <w:szCs w:val="24"/>
        </w:rPr>
        <w:t>:</w:t>
      </w:r>
    </w:p>
    <w:p w14:paraId="5EE4E535" w14:textId="77777777" w:rsidR="002145A5" w:rsidRPr="00C1694E" w:rsidRDefault="002145A5" w:rsidP="002145A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 way forward to COP-15 for the SIWG</w:t>
      </w:r>
    </w:p>
    <w:p w14:paraId="0E3A1533" w14:textId="77777777" w:rsidR="002145A5" w:rsidRPr="00453D94" w:rsidRDefault="002145A5" w:rsidP="002145A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BC-14/6: Technical guidelines on incineration on land (D10) and on specially engineered landfill (D5)</w:t>
      </w:r>
    </w:p>
    <w:p w14:paraId="654BEB11" w14:textId="77777777" w:rsidR="002145A5" w:rsidRPr="00453D94" w:rsidRDefault="002145A5" w:rsidP="002145A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18FABA6" w14:textId="77777777" w:rsidR="002145A5" w:rsidRPr="002145A5" w:rsidRDefault="002145A5" w:rsidP="00D71028">
      <w:pPr>
        <w:spacing w:beforeLines="60" w:before="144" w:afterLines="60" w:after="144" w:line="240" w:lineRule="auto"/>
        <w:rPr>
          <w:rFonts w:ascii="Arial" w:hAnsi="Arial" w:cs="Arial"/>
          <w:b/>
          <w:u w:val="single"/>
        </w:rPr>
      </w:pPr>
    </w:p>
    <w:sectPr w:rsidR="002145A5" w:rsidRPr="002145A5" w:rsidSect="001B59D8">
      <w:footerReference w:type="default" r:id="rId8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84A6C" w14:textId="77777777" w:rsidR="00D84594" w:rsidRDefault="00D84594" w:rsidP="008C0BB5">
      <w:pPr>
        <w:spacing w:after="0" w:line="240" w:lineRule="auto"/>
      </w:pPr>
      <w:r>
        <w:separator/>
      </w:r>
    </w:p>
  </w:endnote>
  <w:endnote w:type="continuationSeparator" w:id="0">
    <w:p w14:paraId="6B22B193" w14:textId="77777777" w:rsidR="00D84594" w:rsidRDefault="00D84594" w:rsidP="008C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279557"/>
      <w:docPartObj>
        <w:docPartGallery w:val="Page Numbers (Bottom of Page)"/>
        <w:docPartUnique/>
      </w:docPartObj>
    </w:sdtPr>
    <w:sdtContent>
      <w:p w14:paraId="4A96BB32" w14:textId="118B25D7" w:rsidR="008C0BB5" w:rsidRDefault="008C0B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F2E" w:rsidRPr="008E0F2E">
          <w:rPr>
            <w:noProof/>
            <w:lang w:val="fr-FR"/>
          </w:rPr>
          <w:t>4</w:t>
        </w:r>
        <w:r>
          <w:fldChar w:fldCharType="end"/>
        </w:r>
      </w:p>
    </w:sdtContent>
  </w:sdt>
  <w:p w14:paraId="0B7AC15E" w14:textId="77777777" w:rsidR="008C0BB5" w:rsidRDefault="008C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E9788" w14:textId="77777777" w:rsidR="00D84594" w:rsidRDefault="00D84594" w:rsidP="008C0BB5">
      <w:pPr>
        <w:spacing w:after="0" w:line="240" w:lineRule="auto"/>
      </w:pPr>
      <w:r>
        <w:separator/>
      </w:r>
    </w:p>
  </w:footnote>
  <w:footnote w:type="continuationSeparator" w:id="0">
    <w:p w14:paraId="6B18A1CF" w14:textId="77777777" w:rsidR="00D84594" w:rsidRDefault="00D84594" w:rsidP="008C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EC"/>
    <w:multiLevelType w:val="hybridMultilevel"/>
    <w:tmpl w:val="E370BFF4"/>
    <w:lvl w:ilvl="0" w:tplc="CADE4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3050"/>
    <w:multiLevelType w:val="hybridMultilevel"/>
    <w:tmpl w:val="3F7E37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EA38C5"/>
    <w:multiLevelType w:val="hybridMultilevel"/>
    <w:tmpl w:val="1BF61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A56"/>
    <w:multiLevelType w:val="hybridMultilevel"/>
    <w:tmpl w:val="1DFCC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A6A1C"/>
    <w:multiLevelType w:val="hybridMultilevel"/>
    <w:tmpl w:val="ED24314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507F9"/>
    <w:multiLevelType w:val="hybridMultilevel"/>
    <w:tmpl w:val="356AB3F0"/>
    <w:lvl w:ilvl="0" w:tplc="0409000F">
      <w:start w:val="1"/>
      <w:numFmt w:val="decimal"/>
      <w:lvlText w:val="%1."/>
      <w:lvlJc w:val="left"/>
      <w:pPr>
        <w:ind w:left="419" w:hanging="360"/>
      </w:pPr>
    </w:lvl>
    <w:lvl w:ilvl="1" w:tplc="04090019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14D6103D"/>
    <w:multiLevelType w:val="hybridMultilevel"/>
    <w:tmpl w:val="55F895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452EA"/>
    <w:multiLevelType w:val="hybridMultilevel"/>
    <w:tmpl w:val="2284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32DE"/>
    <w:multiLevelType w:val="hybridMultilevel"/>
    <w:tmpl w:val="8DA6BEE2"/>
    <w:lvl w:ilvl="0" w:tplc="BB66C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910D8"/>
    <w:multiLevelType w:val="hybridMultilevel"/>
    <w:tmpl w:val="887EAAF6"/>
    <w:lvl w:ilvl="0" w:tplc="FD50AF04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479AB"/>
    <w:multiLevelType w:val="hybridMultilevel"/>
    <w:tmpl w:val="3FCCCA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56D2A"/>
    <w:multiLevelType w:val="hybridMultilevel"/>
    <w:tmpl w:val="C1741CC8"/>
    <w:lvl w:ilvl="0" w:tplc="6CE27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E0410"/>
    <w:multiLevelType w:val="hybridMultilevel"/>
    <w:tmpl w:val="846ED72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124029"/>
    <w:multiLevelType w:val="hybridMultilevel"/>
    <w:tmpl w:val="FCC6D7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71B82"/>
    <w:multiLevelType w:val="hybridMultilevel"/>
    <w:tmpl w:val="A3822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52F3E"/>
    <w:multiLevelType w:val="hybridMultilevel"/>
    <w:tmpl w:val="356AB3F0"/>
    <w:lvl w:ilvl="0" w:tplc="0409000F">
      <w:start w:val="1"/>
      <w:numFmt w:val="decimal"/>
      <w:lvlText w:val="%1."/>
      <w:lvlJc w:val="left"/>
      <w:pPr>
        <w:ind w:left="419" w:hanging="360"/>
      </w:pPr>
    </w:lvl>
    <w:lvl w:ilvl="1" w:tplc="04090019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6" w15:restartNumberingAfterBreak="0">
    <w:nsid w:val="3BC3727B"/>
    <w:multiLevelType w:val="hybridMultilevel"/>
    <w:tmpl w:val="37AC2820"/>
    <w:lvl w:ilvl="0" w:tplc="0F3A72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361B5"/>
    <w:multiLevelType w:val="hybridMultilevel"/>
    <w:tmpl w:val="7566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97497"/>
    <w:multiLevelType w:val="hybridMultilevel"/>
    <w:tmpl w:val="13A4E44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654660"/>
    <w:multiLevelType w:val="hybridMultilevel"/>
    <w:tmpl w:val="3FD2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0167C"/>
    <w:multiLevelType w:val="hybridMultilevel"/>
    <w:tmpl w:val="C36477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07E9B"/>
    <w:multiLevelType w:val="hybridMultilevel"/>
    <w:tmpl w:val="8DA6964A"/>
    <w:lvl w:ilvl="0" w:tplc="0F3A72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438A"/>
    <w:multiLevelType w:val="hybridMultilevel"/>
    <w:tmpl w:val="A96C3FCA"/>
    <w:lvl w:ilvl="0" w:tplc="CADE4B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60913"/>
    <w:multiLevelType w:val="hybridMultilevel"/>
    <w:tmpl w:val="B266879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D4795"/>
    <w:multiLevelType w:val="hybridMultilevel"/>
    <w:tmpl w:val="E41E00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A3C31"/>
    <w:multiLevelType w:val="hybridMultilevel"/>
    <w:tmpl w:val="9A5086BE"/>
    <w:lvl w:ilvl="0" w:tplc="0F3A72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F4AAE"/>
    <w:multiLevelType w:val="hybridMultilevel"/>
    <w:tmpl w:val="5D18C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D493D"/>
    <w:multiLevelType w:val="hybridMultilevel"/>
    <w:tmpl w:val="B5E836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1F744F"/>
    <w:multiLevelType w:val="hybridMultilevel"/>
    <w:tmpl w:val="3EB40F6C"/>
    <w:lvl w:ilvl="0" w:tplc="85824A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3311E3"/>
    <w:multiLevelType w:val="hybridMultilevel"/>
    <w:tmpl w:val="21840F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383143"/>
    <w:multiLevelType w:val="hybridMultilevel"/>
    <w:tmpl w:val="412C8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C18E6"/>
    <w:multiLevelType w:val="hybridMultilevel"/>
    <w:tmpl w:val="DBB8E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67831"/>
    <w:multiLevelType w:val="hybridMultilevel"/>
    <w:tmpl w:val="8ED8635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648AB"/>
    <w:multiLevelType w:val="hybridMultilevel"/>
    <w:tmpl w:val="24FC31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244694"/>
    <w:multiLevelType w:val="hybridMultilevel"/>
    <w:tmpl w:val="C67E7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4453B"/>
    <w:multiLevelType w:val="hybridMultilevel"/>
    <w:tmpl w:val="40B84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C35677"/>
    <w:multiLevelType w:val="hybridMultilevel"/>
    <w:tmpl w:val="CDD62C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B91994"/>
    <w:multiLevelType w:val="hybridMultilevel"/>
    <w:tmpl w:val="40B84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4D0E22"/>
    <w:multiLevelType w:val="hybridMultilevel"/>
    <w:tmpl w:val="8D961A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855F30"/>
    <w:multiLevelType w:val="hybridMultilevel"/>
    <w:tmpl w:val="14A8CF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8"/>
  </w:num>
  <w:num w:numId="5">
    <w:abstractNumId w:val="12"/>
  </w:num>
  <w:num w:numId="6">
    <w:abstractNumId w:val="14"/>
  </w:num>
  <w:num w:numId="7">
    <w:abstractNumId w:val="31"/>
  </w:num>
  <w:num w:numId="8">
    <w:abstractNumId w:val="13"/>
  </w:num>
  <w:num w:numId="9">
    <w:abstractNumId w:val="33"/>
  </w:num>
  <w:num w:numId="10">
    <w:abstractNumId w:val="6"/>
  </w:num>
  <w:num w:numId="11">
    <w:abstractNumId w:val="29"/>
  </w:num>
  <w:num w:numId="12">
    <w:abstractNumId w:val="38"/>
  </w:num>
  <w:num w:numId="13">
    <w:abstractNumId w:val="34"/>
  </w:num>
  <w:num w:numId="14">
    <w:abstractNumId w:val="26"/>
  </w:num>
  <w:num w:numId="15">
    <w:abstractNumId w:val="36"/>
  </w:num>
  <w:num w:numId="16">
    <w:abstractNumId w:val="30"/>
  </w:num>
  <w:num w:numId="17">
    <w:abstractNumId w:val="1"/>
  </w:num>
  <w:num w:numId="18">
    <w:abstractNumId w:val="15"/>
  </w:num>
  <w:num w:numId="19">
    <w:abstractNumId w:val="5"/>
  </w:num>
  <w:num w:numId="20">
    <w:abstractNumId w:val="11"/>
  </w:num>
  <w:num w:numId="21">
    <w:abstractNumId w:val="19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3"/>
  </w:num>
  <w:num w:numId="25">
    <w:abstractNumId w:val="28"/>
  </w:num>
  <w:num w:numId="26">
    <w:abstractNumId w:val="32"/>
  </w:num>
  <w:num w:numId="27">
    <w:abstractNumId w:val="23"/>
  </w:num>
  <w:num w:numId="28">
    <w:abstractNumId w:val="20"/>
  </w:num>
  <w:num w:numId="29">
    <w:abstractNumId w:val="22"/>
  </w:num>
  <w:num w:numId="30">
    <w:abstractNumId w:val="0"/>
  </w:num>
  <w:num w:numId="31">
    <w:abstractNumId w:val="35"/>
  </w:num>
  <w:num w:numId="32">
    <w:abstractNumId w:val="9"/>
  </w:num>
  <w:num w:numId="33">
    <w:abstractNumId w:val="17"/>
  </w:num>
  <w:num w:numId="34">
    <w:abstractNumId w:val="37"/>
  </w:num>
  <w:num w:numId="35">
    <w:abstractNumId w:val="10"/>
  </w:num>
  <w:num w:numId="36">
    <w:abstractNumId w:val="18"/>
  </w:num>
  <w:num w:numId="37">
    <w:abstractNumId w:val="4"/>
  </w:num>
  <w:num w:numId="38">
    <w:abstractNumId w:val="27"/>
  </w:num>
  <w:num w:numId="39">
    <w:abstractNumId w:val="39"/>
  </w:num>
  <w:num w:numId="40">
    <w:abstractNumId w:val="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D5"/>
    <w:rsid w:val="00007041"/>
    <w:rsid w:val="0000732F"/>
    <w:rsid w:val="0001160D"/>
    <w:rsid w:val="00023E00"/>
    <w:rsid w:val="00047AF4"/>
    <w:rsid w:val="0005038B"/>
    <w:rsid w:val="00062559"/>
    <w:rsid w:val="00071E49"/>
    <w:rsid w:val="00077E82"/>
    <w:rsid w:val="000A6DA3"/>
    <w:rsid w:val="000B17FC"/>
    <w:rsid w:val="000B4889"/>
    <w:rsid w:val="000C037F"/>
    <w:rsid w:val="000D2280"/>
    <w:rsid w:val="000F3E46"/>
    <w:rsid w:val="000F53CB"/>
    <w:rsid w:val="000F68ED"/>
    <w:rsid w:val="0010335A"/>
    <w:rsid w:val="00107E31"/>
    <w:rsid w:val="0011108D"/>
    <w:rsid w:val="0012085B"/>
    <w:rsid w:val="001343CD"/>
    <w:rsid w:val="00145571"/>
    <w:rsid w:val="001640D3"/>
    <w:rsid w:val="0016546B"/>
    <w:rsid w:val="001B59D8"/>
    <w:rsid w:val="001D3C9E"/>
    <w:rsid w:val="001E40AB"/>
    <w:rsid w:val="001F2F75"/>
    <w:rsid w:val="001F6BDF"/>
    <w:rsid w:val="002145A5"/>
    <w:rsid w:val="00223EAD"/>
    <w:rsid w:val="0025094C"/>
    <w:rsid w:val="0026093E"/>
    <w:rsid w:val="00261DB6"/>
    <w:rsid w:val="00272696"/>
    <w:rsid w:val="002836CC"/>
    <w:rsid w:val="002952CB"/>
    <w:rsid w:val="002973AC"/>
    <w:rsid w:val="002C7FA6"/>
    <w:rsid w:val="002D1F9A"/>
    <w:rsid w:val="002E0F56"/>
    <w:rsid w:val="002E59C2"/>
    <w:rsid w:val="002F3B2B"/>
    <w:rsid w:val="0030632F"/>
    <w:rsid w:val="00310806"/>
    <w:rsid w:val="00317D29"/>
    <w:rsid w:val="00326AC4"/>
    <w:rsid w:val="00335079"/>
    <w:rsid w:val="003531B4"/>
    <w:rsid w:val="00360B45"/>
    <w:rsid w:val="003822C2"/>
    <w:rsid w:val="00387929"/>
    <w:rsid w:val="0039129D"/>
    <w:rsid w:val="003A22A7"/>
    <w:rsid w:val="003A4838"/>
    <w:rsid w:val="003B2AC4"/>
    <w:rsid w:val="003B61EE"/>
    <w:rsid w:val="003C30BA"/>
    <w:rsid w:val="003D2EBB"/>
    <w:rsid w:val="003E23C0"/>
    <w:rsid w:val="003E3871"/>
    <w:rsid w:val="003E3EAE"/>
    <w:rsid w:val="003E476B"/>
    <w:rsid w:val="003F772A"/>
    <w:rsid w:val="00406956"/>
    <w:rsid w:val="0041643D"/>
    <w:rsid w:val="00420A21"/>
    <w:rsid w:val="004229C0"/>
    <w:rsid w:val="00424B27"/>
    <w:rsid w:val="00425DE4"/>
    <w:rsid w:val="00452561"/>
    <w:rsid w:val="00452E35"/>
    <w:rsid w:val="004531C9"/>
    <w:rsid w:val="004672A3"/>
    <w:rsid w:val="00471997"/>
    <w:rsid w:val="00475645"/>
    <w:rsid w:val="004A0E48"/>
    <w:rsid w:val="004A3F69"/>
    <w:rsid w:val="004A657E"/>
    <w:rsid w:val="004B50A7"/>
    <w:rsid w:val="004F2879"/>
    <w:rsid w:val="00511441"/>
    <w:rsid w:val="00520086"/>
    <w:rsid w:val="005322DE"/>
    <w:rsid w:val="00544D8D"/>
    <w:rsid w:val="0054630E"/>
    <w:rsid w:val="00562B51"/>
    <w:rsid w:val="0057060A"/>
    <w:rsid w:val="005756E6"/>
    <w:rsid w:val="00577A85"/>
    <w:rsid w:val="0059078B"/>
    <w:rsid w:val="00591CCD"/>
    <w:rsid w:val="005923D5"/>
    <w:rsid w:val="0059733C"/>
    <w:rsid w:val="005979F4"/>
    <w:rsid w:val="005A4BF8"/>
    <w:rsid w:val="005B73BA"/>
    <w:rsid w:val="005D0060"/>
    <w:rsid w:val="005D6B7C"/>
    <w:rsid w:val="005E17DD"/>
    <w:rsid w:val="005E3543"/>
    <w:rsid w:val="005E3B91"/>
    <w:rsid w:val="005E74E7"/>
    <w:rsid w:val="00636B20"/>
    <w:rsid w:val="006509F7"/>
    <w:rsid w:val="00660850"/>
    <w:rsid w:val="00660AE5"/>
    <w:rsid w:val="00673AAD"/>
    <w:rsid w:val="00674B93"/>
    <w:rsid w:val="00675386"/>
    <w:rsid w:val="00677177"/>
    <w:rsid w:val="0068515A"/>
    <w:rsid w:val="00690AA0"/>
    <w:rsid w:val="00694DE9"/>
    <w:rsid w:val="00694E1C"/>
    <w:rsid w:val="006950D5"/>
    <w:rsid w:val="006A1DB7"/>
    <w:rsid w:val="006B5607"/>
    <w:rsid w:val="006C1811"/>
    <w:rsid w:val="006D3447"/>
    <w:rsid w:val="006D4A6A"/>
    <w:rsid w:val="006D6946"/>
    <w:rsid w:val="006F44CA"/>
    <w:rsid w:val="00701689"/>
    <w:rsid w:val="007019DA"/>
    <w:rsid w:val="00701DC1"/>
    <w:rsid w:val="00711EA9"/>
    <w:rsid w:val="00714DBD"/>
    <w:rsid w:val="007153AB"/>
    <w:rsid w:val="00730E70"/>
    <w:rsid w:val="0073477A"/>
    <w:rsid w:val="00744150"/>
    <w:rsid w:val="00752B3E"/>
    <w:rsid w:val="00755F0A"/>
    <w:rsid w:val="00763F1A"/>
    <w:rsid w:val="00764AF9"/>
    <w:rsid w:val="007775B9"/>
    <w:rsid w:val="00781F81"/>
    <w:rsid w:val="007A0D69"/>
    <w:rsid w:val="007A3E35"/>
    <w:rsid w:val="007B3353"/>
    <w:rsid w:val="007C01A3"/>
    <w:rsid w:val="007E5908"/>
    <w:rsid w:val="007E6A28"/>
    <w:rsid w:val="007F5C06"/>
    <w:rsid w:val="007F60C9"/>
    <w:rsid w:val="008069B6"/>
    <w:rsid w:val="00812BE2"/>
    <w:rsid w:val="008156FB"/>
    <w:rsid w:val="0081613F"/>
    <w:rsid w:val="00825EF9"/>
    <w:rsid w:val="00826360"/>
    <w:rsid w:val="0083082C"/>
    <w:rsid w:val="00830CA2"/>
    <w:rsid w:val="0083270C"/>
    <w:rsid w:val="008454DD"/>
    <w:rsid w:val="008629C4"/>
    <w:rsid w:val="008642D1"/>
    <w:rsid w:val="008C0BB5"/>
    <w:rsid w:val="008E0F2E"/>
    <w:rsid w:val="008F3F25"/>
    <w:rsid w:val="00925BA3"/>
    <w:rsid w:val="009336D1"/>
    <w:rsid w:val="00936B05"/>
    <w:rsid w:val="00943FE0"/>
    <w:rsid w:val="009629BD"/>
    <w:rsid w:val="00965591"/>
    <w:rsid w:val="009772AA"/>
    <w:rsid w:val="00992A8A"/>
    <w:rsid w:val="009D26AD"/>
    <w:rsid w:val="009F2467"/>
    <w:rsid w:val="009F6A91"/>
    <w:rsid w:val="009F6F22"/>
    <w:rsid w:val="00A0052E"/>
    <w:rsid w:val="00A17469"/>
    <w:rsid w:val="00A3591F"/>
    <w:rsid w:val="00A40A53"/>
    <w:rsid w:val="00A415C9"/>
    <w:rsid w:val="00A50D26"/>
    <w:rsid w:val="00A612E5"/>
    <w:rsid w:val="00A7124D"/>
    <w:rsid w:val="00A72C96"/>
    <w:rsid w:val="00A8711D"/>
    <w:rsid w:val="00A90295"/>
    <w:rsid w:val="00AA42DE"/>
    <w:rsid w:val="00AA72E1"/>
    <w:rsid w:val="00AC7A69"/>
    <w:rsid w:val="00AD12CC"/>
    <w:rsid w:val="00AD7536"/>
    <w:rsid w:val="00AE2FA7"/>
    <w:rsid w:val="00B121D1"/>
    <w:rsid w:val="00B20031"/>
    <w:rsid w:val="00B33638"/>
    <w:rsid w:val="00B33A2A"/>
    <w:rsid w:val="00B52A80"/>
    <w:rsid w:val="00B57232"/>
    <w:rsid w:val="00B6215C"/>
    <w:rsid w:val="00B64C12"/>
    <w:rsid w:val="00B94AC9"/>
    <w:rsid w:val="00BA5609"/>
    <w:rsid w:val="00BB0312"/>
    <w:rsid w:val="00BB4E03"/>
    <w:rsid w:val="00BB7913"/>
    <w:rsid w:val="00BC48C9"/>
    <w:rsid w:val="00BD22F7"/>
    <w:rsid w:val="00BD260A"/>
    <w:rsid w:val="00BD55CE"/>
    <w:rsid w:val="00BE03C6"/>
    <w:rsid w:val="00BF1DF1"/>
    <w:rsid w:val="00C03142"/>
    <w:rsid w:val="00C05E21"/>
    <w:rsid w:val="00C06CF8"/>
    <w:rsid w:val="00C1250D"/>
    <w:rsid w:val="00C14A2C"/>
    <w:rsid w:val="00C27C9C"/>
    <w:rsid w:val="00C44925"/>
    <w:rsid w:val="00C95A56"/>
    <w:rsid w:val="00CA1345"/>
    <w:rsid w:val="00CB220D"/>
    <w:rsid w:val="00CB5A6A"/>
    <w:rsid w:val="00CD3BCA"/>
    <w:rsid w:val="00CF7895"/>
    <w:rsid w:val="00D109FB"/>
    <w:rsid w:val="00D11638"/>
    <w:rsid w:val="00D13D45"/>
    <w:rsid w:val="00D21602"/>
    <w:rsid w:val="00D32021"/>
    <w:rsid w:val="00D34F3E"/>
    <w:rsid w:val="00D473BA"/>
    <w:rsid w:val="00D51ADC"/>
    <w:rsid w:val="00D52C05"/>
    <w:rsid w:val="00D540F1"/>
    <w:rsid w:val="00D61A65"/>
    <w:rsid w:val="00D62771"/>
    <w:rsid w:val="00D705D7"/>
    <w:rsid w:val="00D71028"/>
    <w:rsid w:val="00D7169F"/>
    <w:rsid w:val="00D72592"/>
    <w:rsid w:val="00D82D22"/>
    <w:rsid w:val="00D8330E"/>
    <w:rsid w:val="00D84594"/>
    <w:rsid w:val="00D96FE9"/>
    <w:rsid w:val="00DB325B"/>
    <w:rsid w:val="00DC1D78"/>
    <w:rsid w:val="00DC500A"/>
    <w:rsid w:val="00DD27C2"/>
    <w:rsid w:val="00DE0630"/>
    <w:rsid w:val="00DE29EB"/>
    <w:rsid w:val="00DE586D"/>
    <w:rsid w:val="00DF053A"/>
    <w:rsid w:val="00E0091B"/>
    <w:rsid w:val="00E075DA"/>
    <w:rsid w:val="00E1697E"/>
    <w:rsid w:val="00E24DE2"/>
    <w:rsid w:val="00E2742C"/>
    <w:rsid w:val="00E51128"/>
    <w:rsid w:val="00E63745"/>
    <w:rsid w:val="00E64271"/>
    <w:rsid w:val="00E72045"/>
    <w:rsid w:val="00E76AA1"/>
    <w:rsid w:val="00E94698"/>
    <w:rsid w:val="00EA4AE4"/>
    <w:rsid w:val="00EA6DD7"/>
    <w:rsid w:val="00EB652B"/>
    <w:rsid w:val="00F017CA"/>
    <w:rsid w:val="00F04E44"/>
    <w:rsid w:val="00F050DF"/>
    <w:rsid w:val="00F12A8F"/>
    <w:rsid w:val="00F22A6E"/>
    <w:rsid w:val="00F22EB4"/>
    <w:rsid w:val="00F32140"/>
    <w:rsid w:val="00F549F6"/>
    <w:rsid w:val="00F54C60"/>
    <w:rsid w:val="00F56500"/>
    <w:rsid w:val="00F67937"/>
    <w:rsid w:val="00F71E84"/>
    <w:rsid w:val="00F910BE"/>
    <w:rsid w:val="00FB0044"/>
    <w:rsid w:val="00FB0F77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340914"/>
  <w15:chartTrackingRefBased/>
  <w15:docId w15:val="{E198CB8D-E434-4816-A61E-BB3EBA1D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2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B5"/>
  </w:style>
  <w:style w:type="paragraph" w:styleId="Footer">
    <w:name w:val="footer"/>
    <w:basedOn w:val="Normal"/>
    <w:link w:val="FooterChar"/>
    <w:uiPriority w:val="99"/>
    <w:unhideWhenUsed/>
    <w:rsid w:val="008C0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B5"/>
  </w:style>
  <w:style w:type="table" w:styleId="GridTable1Light">
    <w:name w:val="Grid Table 1 Light"/>
    <w:basedOn w:val="TableNormal"/>
    <w:uiPriority w:val="46"/>
    <w:rsid w:val="003E23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AA5E-7783-4CA8-B2F8-07105814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Valle-Klann</dc:creator>
  <cp:keywords/>
  <dc:description/>
  <cp:lastModifiedBy>Mariano,Christopher [NCR]</cp:lastModifiedBy>
  <cp:revision>2</cp:revision>
  <dcterms:created xsi:type="dcterms:W3CDTF">2019-10-25T14:44:00Z</dcterms:created>
  <dcterms:modified xsi:type="dcterms:W3CDTF">2019-11-21T14:30:00Z</dcterms:modified>
</cp:coreProperties>
</file>