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79" w:rsidRDefault="00F72765" w:rsidP="007E2279">
      <w:pPr>
        <w:spacing w:after="0" w:line="240" w:lineRule="auto"/>
        <w:jc w:val="center"/>
        <w:rPr>
          <w:b/>
          <w:lang w:val="en-US"/>
        </w:rPr>
      </w:pPr>
      <w:r w:rsidRPr="00F72765">
        <w:rPr>
          <w:b/>
          <w:lang w:val="en-US"/>
        </w:rPr>
        <w:t xml:space="preserve">Meeting of the Small Intersessional Working Group on </w:t>
      </w:r>
      <w:r w:rsidR="007E2279" w:rsidRPr="007E2279">
        <w:rPr>
          <w:b/>
          <w:lang w:val="en-US"/>
        </w:rPr>
        <w:t xml:space="preserve">the technical guidelines </w:t>
      </w:r>
    </w:p>
    <w:p w:rsidR="007E2279" w:rsidRPr="007E2279" w:rsidRDefault="007E2279" w:rsidP="007E2279">
      <w:pPr>
        <w:spacing w:after="0" w:line="240" w:lineRule="auto"/>
        <w:jc w:val="center"/>
        <w:rPr>
          <w:b/>
          <w:lang w:val="en-US"/>
        </w:rPr>
      </w:pPr>
      <w:proofErr w:type="gramStart"/>
      <w:r w:rsidRPr="007E2279">
        <w:rPr>
          <w:b/>
          <w:lang w:val="en-US"/>
        </w:rPr>
        <w:t>on</w:t>
      </w:r>
      <w:proofErr w:type="gramEnd"/>
      <w:r w:rsidRPr="007E2279">
        <w:rPr>
          <w:b/>
          <w:lang w:val="en-US"/>
        </w:rPr>
        <w:t xml:space="preserve"> specially engineered landfill (D5) and on incineration on land (D10) </w:t>
      </w:r>
    </w:p>
    <w:p w:rsidR="00F72765" w:rsidRPr="00F72765" w:rsidRDefault="007E2279" w:rsidP="007E2279">
      <w:pPr>
        <w:jc w:val="center"/>
        <w:rPr>
          <w:b/>
          <w:lang w:val="en-US"/>
        </w:rPr>
      </w:pPr>
      <w:r w:rsidRPr="00F72765">
        <w:rPr>
          <w:b/>
          <w:lang w:val="en-US"/>
        </w:rPr>
        <w:t xml:space="preserve"> </w:t>
      </w:r>
      <w:r w:rsidR="00F72765" w:rsidRPr="00F72765">
        <w:rPr>
          <w:b/>
          <w:lang w:val="en-US"/>
        </w:rPr>
        <w:t>(</w:t>
      </w:r>
      <w:proofErr w:type="gramStart"/>
      <w:r w:rsidR="00F72765" w:rsidRPr="00F72765">
        <w:rPr>
          <w:b/>
          <w:lang w:val="en-US"/>
        </w:rPr>
        <w:t>teleconference</w:t>
      </w:r>
      <w:proofErr w:type="gramEnd"/>
      <w:r w:rsidR="00F72765" w:rsidRPr="00F72765">
        <w:rPr>
          <w:b/>
          <w:lang w:val="en-US"/>
        </w:rPr>
        <w:t>)</w:t>
      </w:r>
    </w:p>
    <w:p w:rsidR="00F72765" w:rsidRPr="00F72765" w:rsidRDefault="00F72765" w:rsidP="00F72765">
      <w:pPr>
        <w:rPr>
          <w:lang w:val="en-US"/>
        </w:rPr>
      </w:pPr>
      <w:r w:rsidRPr="00F72765">
        <w:rPr>
          <w:lang w:val="en-US"/>
        </w:rPr>
        <w:t xml:space="preserve">Date: </w:t>
      </w:r>
      <w:r w:rsidR="00C9173B">
        <w:rPr>
          <w:lang w:val="en-US"/>
        </w:rPr>
        <w:t>21</w:t>
      </w:r>
      <w:r w:rsidRPr="00F72765">
        <w:rPr>
          <w:vertAlign w:val="superscript"/>
          <w:lang w:val="en-US"/>
        </w:rPr>
        <w:t xml:space="preserve">th </w:t>
      </w:r>
      <w:r w:rsidRPr="00F72765">
        <w:rPr>
          <w:lang w:val="en-US"/>
        </w:rPr>
        <w:t xml:space="preserve">of </w:t>
      </w:r>
      <w:r w:rsidR="00C9173B">
        <w:rPr>
          <w:lang w:val="en-US"/>
        </w:rPr>
        <w:t>February 2018</w:t>
      </w:r>
      <w:r w:rsidR="00FE2B5A">
        <w:rPr>
          <w:lang w:val="en-US"/>
        </w:rPr>
        <w:br/>
        <w:t>Time: 15:0</w:t>
      </w:r>
      <w:r w:rsidRPr="00F72765">
        <w:rPr>
          <w:lang w:val="en-US"/>
        </w:rPr>
        <w:t>0h (Geneva Time)</w:t>
      </w:r>
    </w:p>
    <w:p w:rsidR="00944BE6" w:rsidRPr="00F6117A" w:rsidRDefault="00E3123D" w:rsidP="00944BE6">
      <w:pPr>
        <w:rPr>
          <w:lang w:val="en-US"/>
        </w:rPr>
      </w:pPr>
      <w:r w:rsidRPr="00E3123D">
        <w:rPr>
          <w:lang w:val="en-US"/>
        </w:rPr>
        <w:t xml:space="preserve">For the </w:t>
      </w:r>
      <w:r w:rsidRPr="00E3123D">
        <w:rPr>
          <w:u w:val="single"/>
          <w:lang w:val="en-US"/>
        </w:rPr>
        <w:t xml:space="preserve">list of </w:t>
      </w:r>
      <w:r w:rsidRPr="007E2279">
        <w:rPr>
          <w:u w:val="single"/>
          <w:lang w:val="en-US"/>
        </w:rPr>
        <w:t>attendees</w:t>
      </w:r>
      <w:r w:rsidRPr="00E3123D">
        <w:rPr>
          <w:lang w:val="en-US"/>
        </w:rPr>
        <w:t xml:space="preserve">, please see </w:t>
      </w:r>
      <w:r w:rsidR="00884AAC">
        <w:rPr>
          <w:u w:val="single"/>
          <w:lang w:val="en-US"/>
        </w:rPr>
        <w:t>A</w:t>
      </w:r>
      <w:r w:rsidRPr="00E3123D">
        <w:rPr>
          <w:u w:val="single"/>
          <w:lang w:val="en-US"/>
        </w:rPr>
        <w:t>nnex</w:t>
      </w:r>
      <w:r w:rsidR="00884AAC">
        <w:rPr>
          <w:u w:val="single"/>
          <w:lang w:val="en-US"/>
        </w:rPr>
        <w:t xml:space="preserve"> </w:t>
      </w:r>
      <w:r w:rsidR="00CB1D83">
        <w:rPr>
          <w:u w:val="single"/>
          <w:lang w:val="en-US"/>
        </w:rPr>
        <w:t>I</w:t>
      </w:r>
      <w:r w:rsidRPr="00E3123D">
        <w:rPr>
          <w:lang w:val="en-US"/>
        </w:rPr>
        <w:t xml:space="preserve"> of this document. </w:t>
      </w:r>
    </w:p>
    <w:p w:rsidR="00F72765" w:rsidRDefault="00A51F34" w:rsidP="00F72765">
      <w:pPr>
        <w:rPr>
          <w:lang w:val="en-GB"/>
        </w:rPr>
      </w:pPr>
      <w:r>
        <w:rPr>
          <w:u w:val="single"/>
          <w:lang w:val="en-GB"/>
        </w:rPr>
        <w:t>S</w:t>
      </w:r>
      <w:r w:rsidR="00F72765" w:rsidRPr="00276285">
        <w:rPr>
          <w:u w:val="single"/>
          <w:lang w:val="en-GB"/>
        </w:rPr>
        <w:t>ummary of the discussion</w:t>
      </w:r>
      <w:r w:rsidR="00F72765" w:rsidRPr="00276285">
        <w:rPr>
          <w:lang w:val="en-GB"/>
        </w:rPr>
        <w:t>:</w:t>
      </w:r>
    </w:p>
    <w:p w:rsidR="009276A7" w:rsidRPr="00A70E30" w:rsidRDefault="009276A7" w:rsidP="00A70E30">
      <w:pPr>
        <w:pStyle w:val="ListParagraph"/>
        <w:numPr>
          <w:ilvl w:val="0"/>
          <w:numId w:val="37"/>
        </w:numPr>
        <w:rPr>
          <w:b/>
          <w:lang w:val="en-US"/>
        </w:rPr>
      </w:pPr>
      <w:r w:rsidRPr="00A70E30">
        <w:rPr>
          <w:b/>
          <w:lang w:val="en-US"/>
        </w:rPr>
        <w:t xml:space="preserve">Discussion </w:t>
      </w:r>
      <w:r w:rsidR="00A70E30">
        <w:rPr>
          <w:b/>
          <w:lang w:val="en-US"/>
        </w:rPr>
        <w:t>on the outlines of the two</w:t>
      </w:r>
      <w:r w:rsidRPr="00A70E30">
        <w:rPr>
          <w:b/>
          <w:lang w:val="en-US"/>
        </w:rPr>
        <w:t xml:space="preserve"> technical guidelines</w:t>
      </w:r>
    </w:p>
    <w:p w:rsidR="00C9173B" w:rsidRPr="009276A7" w:rsidRDefault="00C9173B" w:rsidP="00DB6C28">
      <w:pPr>
        <w:pStyle w:val="ListParagraph"/>
        <w:ind w:left="360"/>
        <w:rPr>
          <w:lang w:val="en-US"/>
        </w:rPr>
      </w:pPr>
    </w:p>
    <w:p w:rsidR="009276A7" w:rsidRPr="001F7C94" w:rsidRDefault="00A70E30" w:rsidP="00CC15C4">
      <w:pPr>
        <w:pStyle w:val="ListParagraph"/>
        <w:numPr>
          <w:ilvl w:val="0"/>
          <w:numId w:val="32"/>
        </w:numPr>
        <w:ind w:left="720"/>
        <w:rPr>
          <w:b/>
          <w:lang w:val="en-US"/>
        </w:rPr>
      </w:pPr>
      <w:r>
        <w:rPr>
          <w:b/>
          <w:lang w:val="en-US"/>
        </w:rPr>
        <w:t xml:space="preserve">D5 - </w:t>
      </w:r>
      <w:r w:rsidR="009276A7" w:rsidRPr="001F7C94">
        <w:rPr>
          <w:b/>
          <w:lang w:val="en-US"/>
        </w:rPr>
        <w:t>Landfilling</w:t>
      </w:r>
    </w:p>
    <w:p w:rsidR="00C9173B" w:rsidRDefault="006E04AE" w:rsidP="00CC15C4">
      <w:pPr>
        <w:pStyle w:val="ListParagraph"/>
        <w:numPr>
          <w:ilvl w:val="0"/>
          <w:numId w:val="36"/>
        </w:numPr>
        <w:ind w:left="1080"/>
        <w:rPr>
          <w:lang w:val="en-US"/>
        </w:rPr>
      </w:pPr>
      <w:r>
        <w:rPr>
          <w:lang w:val="en-US"/>
        </w:rPr>
        <w:t xml:space="preserve">The representative of Canada </w:t>
      </w:r>
      <w:r w:rsidR="00A70E30">
        <w:rPr>
          <w:lang w:val="en-US"/>
        </w:rPr>
        <w:t xml:space="preserve">thanked the group for the comments received on the outline circulated on 16 January 2018. </w:t>
      </w:r>
    </w:p>
    <w:p w:rsidR="006E04AE" w:rsidRDefault="00A70E30" w:rsidP="00CC15C4">
      <w:pPr>
        <w:pStyle w:val="ListParagraph"/>
        <w:numPr>
          <w:ilvl w:val="0"/>
          <w:numId w:val="36"/>
        </w:numPr>
        <w:ind w:left="1080"/>
        <w:rPr>
          <w:lang w:val="en-US"/>
        </w:rPr>
      </w:pPr>
      <w:r>
        <w:rPr>
          <w:lang w:val="en-US"/>
        </w:rPr>
        <w:t>The group discussed the linkages of D5 and D12</w:t>
      </w:r>
      <w:r w:rsidR="00E77379">
        <w:rPr>
          <w:lang w:val="en-US"/>
        </w:rPr>
        <w:t xml:space="preserve"> operations</w:t>
      </w:r>
      <w:r>
        <w:rPr>
          <w:lang w:val="en-US"/>
        </w:rPr>
        <w:t>, as it was proposed in a set of comments</w:t>
      </w:r>
      <w:r w:rsidR="006E04AE">
        <w:rPr>
          <w:lang w:val="en-US"/>
        </w:rPr>
        <w:t>. D12 was mentioned as relevant to some countries and related, from a technical point of view, to D5. The group suggested that a short section on D12</w:t>
      </w:r>
      <w:r w:rsidR="00187B15">
        <w:rPr>
          <w:lang w:val="en-US"/>
        </w:rPr>
        <w:t>, which would indicate the linkages with D5,</w:t>
      </w:r>
      <w:r w:rsidR="006E04AE">
        <w:rPr>
          <w:lang w:val="en-US"/>
        </w:rPr>
        <w:t xml:space="preserve"> could be added to the first revised draft of the guidelines. </w:t>
      </w:r>
    </w:p>
    <w:p w:rsidR="006E04AE" w:rsidRDefault="00E77379" w:rsidP="00CC15C4">
      <w:pPr>
        <w:pStyle w:val="ListParagraph"/>
        <w:numPr>
          <w:ilvl w:val="0"/>
          <w:numId w:val="36"/>
        </w:numPr>
        <w:ind w:left="1080"/>
        <w:rPr>
          <w:lang w:val="en-US"/>
        </w:rPr>
      </w:pPr>
      <w:r>
        <w:rPr>
          <w:lang w:val="en-US"/>
        </w:rPr>
        <w:t xml:space="preserve">The representative of Canada </w:t>
      </w:r>
      <w:r w:rsidR="00A70E30">
        <w:rPr>
          <w:lang w:val="en-US"/>
        </w:rPr>
        <w:t xml:space="preserve">suggested that they will look into it, </w:t>
      </w:r>
      <w:r>
        <w:rPr>
          <w:lang w:val="en-US"/>
        </w:rPr>
        <w:t>when</w:t>
      </w:r>
      <w:r w:rsidR="00A70E30">
        <w:rPr>
          <w:lang w:val="en-US"/>
        </w:rPr>
        <w:t xml:space="preserve"> developing the revised version of the guidelines. </w:t>
      </w:r>
    </w:p>
    <w:p w:rsidR="007E2279" w:rsidRDefault="007E2279" w:rsidP="007E2279">
      <w:pPr>
        <w:pStyle w:val="ListParagraph"/>
        <w:numPr>
          <w:ilvl w:val="0"/>
          <w:numId w:val="36"/>
        </w:numPr>
        <w:ind w:left="1080"/>
        <w:rPr>
          <w:lang w:val="en-US"/>
        </w:rPr>
      </w:pPr>
      <w:r>
        <w:rPr>
          <w:lang w:val="en-US"/>
        </w:rPr>
        <w:t xml:space="preserve">A member of the group </w:t>
      </w:r>
      <w:r w:rsidR="00B23CEF">
        <w:rPr>
          <w:lang w:val="en-US"/>
        </w:rPr>
        <w:t xml:space="preserve">offered </w:t>
      </w:r>
      <w:r>
        <w:rPr>
          <w:lang w:val="en-US"/>
        </w:rPr>
        <w:t xml:space="preserve">sharing a few related links and documents with the group, including on information regarding D12. </w:t>
      </w:r>
    </w:p>
    <w:p w:rsidR="00E77379" w:rsidRDefault="007E2279" w:rsidP="00CC15C4">
      <w:pPr>
        <w:pStyle w:val="ListParagraph"/>
        <w:numPr>
          <w:ilvl w:val="0"/>
          <w:numId w:val="36"/>
        </w:numPr>
        <w:ind w:left="1080"/>
        <w:rPr>
          <w:lang w:val="en-US"/>
        </w:rPr>
      </w:pPr>
      <w:r>
        <w:rPr>
          <w:lang w:val="en-US"/>
        </w:rPr>
        <w:t>The group discussed</w:t>
      </w:r>
      <w:r w:rsidR="00A70E30" w:rsidRPr="006E04AE">
        <w:rPr>
          <w:lang w:val="en-US"/>
        </w:rPr>
        <w:t xml:space="preserve"> that the main focus of the guidelines should be on the mandate received so far from COP-13, i.e. on D5. </w:t>
      </w:r>
    </w:p>
    <w:p w:rsidR="002367FC" w:rsidRDefault="00E77379" w:rsidP="00CC15C4">
      <w:pPr>
        <w:pStyle w:val="ListParagraph"/>
        <w:numPr>
          <w:ilvl w:val="0"/>
          <w:numId w:val="36"/>
        </w:numPr>
        <w:ind w:left="1080"/>
        <w:rPr>
          <w:lang w:val="en-US"/>
        </w:rPr>
      </w:pPr>
      <w:r>
        <w:rPr>
          <w:lang w:val="en-US"/>
        </w:rPr>
        <w:t>I</w:t>
      </w:r>
      <w:r w:rsidR="006E04AE" w:rsidRPr="006E04AE">
        <w:rPr>
          <w:lang w:val="en-US"/>
        </w:rPr>
        <w:t>t was highlighted that the group could</w:t>
      </w:r>
      <w:r w:rsidR="002367FC" w:rsidRPr="006E04AE">
        <w:rPr>
          <w:lang w:val="en-US"/>
        </w:rPr>
        <w:t xml:space="preserve"> have a discussion during the OEWG</w:t>
      </w:r>
      <w:r>
        <w:rPr>
          <w:lang w:val="en-US"/>
        </w:rPr>
        <w:t>-11</w:t>
      </w:r>
      <w:r w:rsidR="002367FC" w:rsidRPr="006E04AE">
        <w:rPr>
          <w:lang w:val="en-US"/>
        </w:rPr>
        <w:t xml:space="preserve"> on the possibility of expanding the mandate on these guidelines to include D12. </w:t>
      </w:r>
    </w:p>
    <w:p w:rsidR="006E04AE" w:rsidRDefault="006E04AE" w:rsidP="00CC15C4">
      <w:pPr>
        <w:pStyle w:val="ListParagraph"/>
        <w:numPr>
          <w:ilvl w:val="0"/>
          <w:numId w:val="36"/>
        </w:numPr>
        <w:ind w:left="1080"/>
        <w:rPr>
          <w:lang w:val="en-US"/>
        </w:rPr>
      </w:pPr>
      <w:r>
        <w:rPr>
          <w:lang w:val="en-US"/>
        </w:rPr>
        <w:t xml:space="preserve">The deadline agreed for the co-leading countries to send the draft revised version of these guidelines </w:t>
      </w:r>
      <w:r w:rsidR="00E77379">
        <w:rPr>
          <w:lang w:val="en-US"/>
        </w:rPr>
        <w:t xml:space="preserve">to the SIWG </w:t>
      </w:r>
      <w:r>
        <w:rPr>
          <w:lang w:val="en-US"/>
        </w:rPr>
        <w:t>is April 5</w:t>
      </w:r>
      <w:r w:rsidR="007E2279">
        <w:rPr>
          <w:lang w:val="en-US"/>
        </w:rPr>
        <w:t>, 2018</w:t>
      </w:r>
      <w:r>
        <w:rPr>
          <w:lang w:val="en-US"/>
        </w:rPr>
        <w:t xml:space="preserve">. </w:t>
      </w:r>
    </w:p>
    <w:p w:rsidR="007D793E" w:rsidRDefault="007D793E" w:rsidP="00CC15C4">
      <w:pPr>
        <w:pStyle w:val="ListParagraph"/>
        <w:numPr>
          <w:ilvl w:val="0"/>
          <w:numId w:val="36"/>
        </w:numPr>
        <w:ind w:left="1080"/>
        <w:rPr>
          <w:lang w:val="en-US"/>
        </w:rPr>
      </w:pPr>
      <w:r>
        <w:rPr>
          <w:lang w:val="en-US"/>
        </w:rPr>
        <w:t xml:space="preserve">The </w:t>
      </w:r>
      <w:r w:rsidR="00B23CEF">
        <w:rPr>
          <w:lang w:val="en-US"/>
        </w:rPr>
        <w:t>co-</w:t>
      </w:r>
      <w:r>
        <w:rPr>
          <w:lang w:val="en-US"/>
        </w:rPr>
        <w:t xml:space="preserve">leading countries </w:t>
      </w:r>
      <w:r w:rsidR="00B23CEF">
        <w:rPr>
          <w:lang w:val="en-US"/>
        </w:rPr>
        <w:t>indicated that they would use</w:t>
      </w:r>
      <w:r>
        <w:rPr>
          <w:lang w:val="en-US"/>
        </w:rPr>
        <w:t xml:space="preserve"> the outline, </w:t>
      </w:r>
      <w:r w:rsidR="00B23CEF">
        <w:rPr>
          <w:lang w:val="en-US"/>
        </w:rPr>
        <w:t xml:space="preserve">taking into account </w:t>
      </w:r>
      <w:r>
        <w:rPr>
          <w:lang w:val="en-US"/>
        </w:rPr>
        <w:t xml:space="preserve">the discussions and comments received, </w:t>
      </w:r>
      <w:r w:rsidR="00AF61B4">
        <w:rPr>
          <w:lang w:val="en-US"/>
        </w:rPr>
        <w:t xml:space="preserve">as a basis </w:t>
      </w:r>
      <w:r w:rsidR="00984FFE">
        <w:rPr>
          <w:lang w:val="en-US"/>
        </w:rPr>
        <w:t>for</w:t>
      </w:r>
      <w:r w:rsidR="00AF61B4">
        <w:rPr>
          <w:lang w:val="en-US"/>
        </w:rPr>
        <w:t xml:space="preserve"> preparing a first draft of the guidelines</w:t>
      </w:r>
      <w:r>
        <w:rPr>
          <w:lang w:val="en-US"/>
        </w:rPr>
        <w:t xml:space="preserve">. </w:t>
      </w:r>
    </w:p>
    <w:p w:rsidR="007E2279" w:rsidRPr="006E04AE" w:rsidRDefault="007E2279" w:rsidP="007E2279">
      <w:pPr>
        <w:pStyle w:val="ListParagraph"/>
        <w:ind w:left="1080"/>
        <w:rPr>
          <w:lang w:val="en-US"/>
        </w:rPr>
      </w:pPr>
    </w:p>
    <w:p w:rsidR="002168F2" w:rsidRPr="001F7C94" w:rsidRDefault="006E04AE" w:rsidP="00CC15C4">
      <w:pPr>
        <w:pStyle w:val="ListParagraph"/>
        <w:numPr>
          <w:ilvl w:val="0"/>
          <w:numId w:val="32"/>
        </w:numPr>
        <w:ind w:left="720"/>
        <w:rPr>
          <w:b/>
          <w:lang w:val="en-US"/>
        </w:rPr>
      </w:pPr>
      <w:r>
        <w:rPr>
          <w:b/>
          <w:lang w:val="en-US"/>
        </w:rPr>
        <w:t xml:space="preserve">D10 - </w:t>
      </w:r>
      <w:r w:rsidR="002168F2" w:rsidRPr="001F7C94">
        <w:rPr>
          <w:b/>
          <w:lang w:val="en-US"/>
        </w:rPr>
        <w:t>Incineration</w:t>
      </w:r>
    </w:p>
    <w:p w:rsidR="006E04AE" w:rsidRDefault="006E04AE" w:rsidP="00CC15C4">
      <w:pPr>
        <w:pStyle w:val="ListParagraph"/>
        <w:numPr>
          <w:ilvl w:val="0"/>
          <w:numId w:val="36"/>
        </w:numPr>
        <w:ind w:left="1080"/>
        <w:rPr>
          <w:lang w:val="en-US"/>
        </w:rPr>
      </w:pPr>
      <w:r>
        <w:rPr>
          <w:lang w:val="en-US"/>
        </w:rPr>
        <w:t xml:space="preserve">The representative of Argentina thanked the group for the comments received on the outline circulated on 16 January 2018. </w:t>
      </w:r>
    </w:p>
    <w:p w:rsidR="006E04AE" w:rsidRDefault="006E04AE" w:rsidP="00CC15C4">
      <w:pPr>
        <w:pStyle w:val="ListParagraph"/>
        <w:numPr>
          <w:ilvl w:val="0"/>
          <w:numId w:val="36"/>
        </w:numPr>
        <w:ind w:left="1080"/>
        <w:rPr>
          <w:lang w:val="en-US"/>
        </w:rPr>
      </w:pPr>
      <w:r>
        <w:rPr>
          <w:lang w:val="en-US"/>
        </w:rPr>
        <w:t>The group discussed the linkages of D10 and R1</w:t>
      </w:r>
      <w:r w:rsidR="00E77379">
        <w:rPr>
          <w:lang w:val="en-US"/>
        </w:rPr>
        <w:t xml:space="preserve"> operations</w:t>
      </w:r>
      <w:r>
        <w:rPr>
          <w:lang w:val="en-US"/>
        </w:rPr>
        <w:t>, as it was proposed in a set of comments. Similar to the situation of the D5 guidelines (as mentioned above), the group suggested that a short section on R1 could be added to the first revised draft of the guidelines</w:t>
      </w:r>
      <w:r w:rsidR="00D0488B">
        <w:rPr>
          <w:lang w:val="en-US"/>
        </w:rPr>
        <w:t>, and that a discussion could take place during the next OEWG</w:t>
      </w:r>
      <w:r w:rsidR="00E77379">
        <w:rPr>
          <w:lang w:val="en-US"/>
        </w:rPr>
        <w:t>-11</w:t>
      </w:r>
      <w:r w:rsidR="00D0488B">
        <w:rPr>
          <w:lang w:val="en-US"/>
        </w:rPr>
        <w:t xml:space="preserve"> meeting in order to assess whether the mandate on these guidelines could also include R1</w:t>
      </w:r>
      <w:r>
        <w:rPr>
          <w:lang w:val="en-US"/>
        </w:rPr>
        <w:t xml:space="preserve">. </w:t>
      </w:r>
    </w:p>
    <w:p w:rsidR="00D0488B" w:rsidRDefault="00E77379" w:rsidP="00CC15C4">
      <w:pPr>
        <w:pStyle w:val="ListParagraph"/>
        <w:numPr>
          <w:ilvl w:val="0"/>
          <w:numId w:val="36"/>
        </w:numPr>
        <w:ind w:left="1080"/>
        <w:rPr>
          <w:lang w:val="en-US"/>
        </w:rPr>
      </w:pPr>
      <w:r>
        <w:rPr>
          <w:lang w:val="en-US"/>
        </w:rPr>
        <w:t xml:space="preserve">The representative of Argentina </w:t>
      </w:r>
      <w:r w:rsidR="00D0488B">
        <w:rPr>
          <w:lang w:val="en-US"/>
        </w:rPr>
        <w:t>sugge</w:t>
      </w:r>
      <w:r w:rsidR="007E2279">
        <w:rPr>
          <w:lang w:val="en-US"/>
        </w:rPr>
        <w:t xml:space="preserve">sted that they will look into </w:t>
      </w:r>
      <w:r w:rsidR="00D0488B">
        <w:rPr>
          <w:lang w:val="en-US"/>
        </w:rPr>
        <w:t>adding information on R1, as a short section,</w:t>
      </w:r>
      <w:r w:rsidR="00B65B38">
        <w:rPr>
          <w:lang w:val="en-US"/>
        </w:rPr>
        <w:t xml:space="preserve"> when </w:t>
      </w:r>
      <w:r w:rsidR="00D0488B">
        <w:rPr>
          <w:lang w:val="en-US"/>
        </w:rPr>
        <w:t xml:space="preserve">developing the revised version of the guidelines. </w:t>
      </w:r>
    </w:p>
    <w:p w:rsidR="006E04AE" w:rsidRDefault="006E04AE" w:rsidP="00CC15C4">
      <w:pPr>
        <w:pStyle w:val="ListParagraph"/>
        <w:numPr>
          <w:ilvl w:val="0"/>
          <w:numId w:val="36"/>
        </w:numPr>
        <w:ind w:left="1080"/>
        <w:rPr>
          <w:lang w:val="en-US"/>
        </w:rPr>
      </w:pPr>
      <w:r>
        <w:rPr>
          <w:lang w:val="en-US"/>
        </w:rPr>
        <w:t>It was highlighted the importance of these guidelines to developing countries, since they may be used as the main standard to be followed</w:t>
      </w:r>
      <w:r w:rsidR="00B65B38">
        <w:rPr>
          <w:lang w:val="en-US"/>
        </w:rPr>
        <w:t xml:space="preserve"> in the area</w:t>
      </w:r>
      <w:r>
        <w:rPr>
          <w:lang w:val="en-US"/>
        </w:rPr>
        <w:t xml:space="preserve">. </w:t>
      </w:r>
    </w:p>
    <w:p w:rsidR="00D0488B" w:rsidRDefault="00D0488B" w:rsidP="00CC15C4">
      <w:pPr>
        <w:pStyle w:val="ListParagraph"/>
        <w:numPr>
          <w:ilvl w:val="0"/>
          <w:numId w:val="36"/>
        </w:numPr>
        <w:ind w:left="1080"/>
        <w:rPr>
          <w:lang w:val="en-US"/>
        </w:rPr>
      </w:pPr>
      <w:r>
        <w:rPr>
          <w:lang w:val="en-US"/>
        </w:rPr>
        <w:t xml:space="preserve">A member of the group </w:t>
      </w:r>
      <w:r w:rsidR="00B23CEF">
        <w:rPr>
          <w:lang w:val="en-US"/>
        </w:rPr>
        <w:t xml:space="preserve">offered </w:t>
      </w:r>
      <w:r>
        <w:rPr>
          <w:lang w:val="en-US"/>
        </w:rPr>
        <w:t xml:space="preserve">sharing a few related links and documents with the group, including on information regarding R1. </w:t>
      </w:r>
    </w:p>
    <w:p w:rsidR="00D0488B" w:rsidRDefault="00D0488B" w:rsidP="00CC15C4">
      <w:pPr>
        <w:pStyle w:val="ListParagraph"/>
        <w:numPr>
          <w:ilvl w:val="0"/>
          <w:numId w:val="36"/>
        </w:numPr>
        <w:ind w:left="1080"/>
        <w:rPr>
          <w:lang w:val="en-US"/>
        </w:rPr>
      </w:pPr>
      <w:r>
        <w:rPr>
          <w:lang w:val="en-US"/>
        </w:rPr>
        <w:lastRenderedPageBreak/>
        <w:t xml:space="preserve">The deadline agreed for the co-leading countries to send the draft revised version of these guidelines </w:t>
      </w:r>
      <w:r w:rsidR="00E77379">
        <w:rPr>
          <w:lang w:val="en-US"/>
        </w:rPr>
        <w:t xml:space="preserve">to the SIWG </w:t>
      </w:r>
      <w:r>
        <w:rPr>
          <w:lang w:val="en-US"/>
        </w:rPr>
        <w:t xml:space="preserve">is April 5. </w:t>
      </w:r>
    </w:p>
    <w:p w:rsidR="007D793E" w:rsidRDefault="007D793E" w:rsidP="00B23CEF">
      <w:pPr>
        <w:pStyle w:val="ListParagraph"/>
        <w:numPr>
          <w:ilvl w:val="0"/>
          <w:numId w:val="36"/>
        </w:numPr>
        <w:rPr>
          <w:lang w:val="en-US"/>
        </w:rPr>
      </w:pPr>
      <w:r>
        <w:rPr>
          <w:lang w:val="en-US"/>
        </w:rPr>
        <w:t xml:space="preserve">The </w:t>
      </w:r>
      <w:r w:rsidR="00B23CEF">
        <w:rPr>
          <w:lang w:val="en-US"/>
        </w:rPr>
        <w:t>co-</w:t>
      </w:r>
      <w:r>
        <w:rPr>
          <w:lang w:val="en-US"/>
        </w:rPr>
        <w:t xml:space="preserve">leading countries </w:t>
      </w:r>
      <w:r w:rsidR="00B23CEF">
        <w:rPr>
          <w:lang w:val="en-US"/>
        </w:rPr>
        <w:t>indicated that they would use</w:t>
      </w:r>
      <w:r>
        <w:rPr>
          <w:lang w:val="en-US"/>
        </w:rPr>
        <w:t xml:space="preserve"> the outline, </w:t>
      </w:r>
      <w:r w:rsidR="00B23CEF" w:rsidRPr="00B23CEF">
        <w:rPr>
          <w:lang w:val="en-US"/>
        </w:rPr>
        <w:t xml:space="preserve">taking into account </w:t>
      </w:r>
      <w:r>
        <w:rPr>
          <w:lang w:val="en-US"/>
        </w:rPr>
        <w:t xml:space="preserve">the discussions and comments received, </w:t>
      </w:r>
      <w:r w:rsidR="00B23CEF" w:rsidRPr="00B23CEF">
        <w:rPr>
          <w:lang w:val="en-US"/>
        </w:rPr>
        <w:t xml:space="preserve">as a basis </w:t>
      </w:r>
      <w:r w:rsidR="00984FFE">
        <w:rPr>
          <w:lang w:val="en-US"/>
        </w:rPr>
        <w:t>for</w:t>
      </w:r>
      <w:r w:rsidR="00B23CEF" w:rsidRPr="00B23CEF">
        <w:rPr>
          <w:lang w:val="en-US"/>
        </w:rPr>
        <w:t xml:space="preserve"> preparing a first draft of the guidelines</w:t>
      </w:r>
      <w:r>
        <w:rPr>
          <w:lang w:val="en-US"/>
        </w:rPr>
        <w:t xml:space="preserve">. </w:t>
      </w:r>
    </w:p>
    <w:p w:rsidR="00D0488B" w:rsidRDefault="00D0488B" w:rsidP="00D0488B">
      <w:pPr>
        <w:pStyle w:val="ListParagraph"/>
        <w:rPr>
          <w:lang w:val="en-US"/>
        </w:rPr>
      </w:pPr>
    </w:p>
    <w:p w:rsidR="00D0488B" w:rsidRPr="00A70E30" w:rsidRDefault="00D0488B" w:rsidP="00D0488B">
      <w:pPr>
        <w:pStyle w:val="ListParagraph"/>
        <w:numPr>
          <w:ilvl w:val="0"/>
          <w:numId w:val="37"/>
        </w:numPr>
        <w:rPr>
          <w:b/>
          <w:lang w:val="en-US"/>
        </w:rPr>
      </w:pPr>
      <w:r>
        <w:rPr>
          <w:b/>
          <w:lang w:val="en-US"/>
        </w:rPr>
        <w:t>Consultant to assist with D10 guidelines</w:t>
      </w:r>
    </w:p>
    <w:p w:rsidR="00D0488B" w:rsidRDefault="00D0488B" w:rsidP="00D0488B">
      <w:pPr>
        <w:pStyle w:val="ListParagraph"/>
        <w:numPr>
          <w:ilvl w:val="0"/>
          <w:numId w:val="36"/>
        </w:numPr>
        <w:rPr>
          <w:lang w:val="en-US"/>
        </w:rPr>
      </w:pPr>
      <w:r>
        <w:rPr>
          <w:lang w:val="en-US"/>
        </w:rPr>
        <w:t xml:space="preserve">The representative of the Secretariat explained the process of hiring a consultant to assist with the development of the D10 guidelines, as agreed with the co-leading countries and shared with the group in a communication on 11 January 2018. </w:t>
      </w:r>
    </w:p>
    <w:p w:rsidR="00D0488B" w:rsidRDefault="00D0488B" w:rsidP="00D0488B">
      <w:pPr>
        <w:pStyle w:val="ListParagraph"/>
        <w:numPr>
          <w:ilvl w:val="0"/>
          <w:numId w:val="36"/>
        </w:numPr>
        <w:rPr>
          <w:lang w:val="en-US"/>
        </w:rPr>
      </w:pPr>
      <w:r>
        <w:rPr>
          <w:lang w:val="en-US"/>
        </w:rPr>
        <w:t>The Secretariat thanked the group for the suggestions of experts provided</w:t>
      </w:r>
      <w:r w:rsidR="0078102D">
        <w:rPr>
          <w:lang w:val="en-US"/>
        </w:rPr>
        <w:t>, a</w:t>
      </w:r>
      <w:r>
        <w:rPr>
          <w:lang w:val="en-US"/>
        </w:rPr>
        <w:t xml:space="preserve">nd informed that a few experts are </w:t>
      </w:r>
      <w:r w:rsidR="0078102D">
        <w:rPr>
          <w:lang w:val="en-US"/>
        </w:rPr>
        <w:t>being</w:t>
      </w:r>
      <w:r>
        <w:rPr>
          <w:lang w:val="en-US"/>
        </w:rPr>
        <w:t xml:space="preserve"> considered in the hiring process. A decision on the specific expert should be reached in the next weeks and it will be informed to the group. </w:t>
      </w:r>
    </w:p>
    <w:p w:rsidR="00D0488B" w:rsidRDefault="00D0488B" w:rsidP="00D0488B">
      <w:pPr>
        <w:pStyle w:val="ListParagraph"/>
        <w:numPr>
          <w:ilvl w:val="0"/>
          <w:numId w:val="36"/>
        </w:numPr>
        <w:rPr>
          <w:lang w:val="en-US"/>
        </w:rPr>
      </w:pPr>
      <w:r>
        <w:rPr>
          <w:lang w:val="en-US"/>
        </w:rPr>
        <w:t>The group discussed that the revised outline of the D10 guidelines, based on</w:t>
      </w:r>
      <w:r w:rsidR="0078102D">
        <w:rPr>
          <w:lang w:val="en-US"/>
        </w:rPr>
        <w:t xml:space="preserve"> the</w:t>
      </w:r>
      <w:r>
        <w:rPr>
          <w:lang w:val="en-US"/>
        </w:rPr>
        <w:t xml:space="preserve"> comments provided, and </w:t>
      </w:r>
      <w:r w:rsidR="0078102D">
        <w:rPr>
          <w:lang w:val="en-US"/>
        </w:rPr>
        <w:t xml:space="preserve">on </w:t>
      </w:r>
      <w:r>
        <w:rPr>
          <w:lang w:val="en-US"/>
        </w:rPr>
        <w:t>the discussions of today’s meeting, should be the basis for the consul</w:t>
      </w:r>
      <w:r w:rsidR="00E77379">
        <w:rPr>
          <w:lang w:val="en-US"/>
        </w:rPr>
        <w:t>t</w:t>
      </w:r>
      <w:r>
        <w:rPr>
          <w:lang w:val="en-US"/>
        </w:rPr>
        <w:t>ant to work on the first revised draft</w:t>
      </w:r>
      <w:r w:rsidR="0078102D">
        <w:rPr>
          <w:lang w:val="en-US"/>
        </w:rPr>
        <w:t xml:space="preserve"> of the guidelines</w:t>
      </w:r>
      <w:r>
        <w:rPr>
          <w:lang w:val="en-US"/>
        </w:rPr>
        <w:t xml:space="preserve">. </w:t>
      </w:r>
    </w:p>
    <w:p w:rsidR="00D0488B" w:rsidRDefault="00D0488B" w:rsidP="00D0488B">
      <w:pPr>
        <w:pStyle w:val="ListParagraph"/>
        <w:numPr>
          <w:ilvl w:val="0"/>
          <w:numId w:val="36"/>
        </w:numPr>
        <w:rPr>
          <w:lang w:val="en-US"/>
        </w:rPr>
      </w:pPr>
      <w:r>
        <w:rPr>
          <w:lang w:val="en-US"/>
        </w:rPr>
        <w:t>Additionally, the group suggested that the consultant would need to look into the litera</w:t>
      </w:r>
      <w:r w:rsidR="0078102D">
        <w:rPr>
          <w:lang w:val="en-US"/>
        </w:rPr>
        <w:t>ture</w:t>
      </w:r>
      <w:r>
        <w:rPr>
          <w:lang w:val="en-US"/>
        </w:rPr>
        <w:t xml:space="preserve"> and in legislation from different countries</w:t>
      </w:r>
      <w:r w:rsidR="0078102D">
        <w:rPr>
          <w:lang w:val="en-US"/>
        </w:rPr>
        <w:t xml:space="preserve">. </w:t>
      </w:r>
    </w:p>
    <w:p w:rsidR="0078102D" w:rsidRDefault="0078102D" w:rsidP="0078102D">
      <w:pPr>
        <w:pStyle w:val="ListParagraph"/>
        <w:numPr>
          <w:ilvl w:val="0"/>
          <w:numId w:val="36"/>
        </w:numPr>
        <w:rPr>
          <w:lang w:val="en-US"/>
        </w:rPr>
      </w:pPr>
      <w:r w:rsidRPr="0078102D">
        <w:rPr>
          <w:lang w:val="en-US"/>
        </w:rPr>
        <w:t>The group agreed that, ideally, the drafts of the two guidelines should be shared about the same time (5 April</w:t>
      </w:r>
      <w:r w:rsidR="00E77379">
        <w:rPr>
          <w:lang w:val="en-US"/>
        </w:rPr>
        <w:t xml:space="preserve"> 2018</w:t>
      </w:r>
      <w:r w:rsidRPr="0078102D">
        <w:rPr>
          <w:lang w:val="en-US"/>
        </w:rPr>
        <w:t>). But the group is aware of the risks in case the Secretariat does not manage to hire an expert quickly enough for that. The conclusion was to wa</w:t>
      </w:r>
      <w:r w:rsidR="00CC15C4">
        <w:rPr>
          <w:lang w:val="en-US"/>
        </w:rPr>
        <w:t>it</w:t>
      </w:r>
      <w:r w:rsidRPr="0078102D">
        <w:rPr>
          <w:lang w:val="en-US"/>
        </w:rPr>
        <w:t xml:space="preserve"> for a few weeks to see if the hiring process will be successful. </w:t>
      </w:r>
      <w:r>
        <w:rPr>
          <w:lang w:val="en-US"/>
        </w:rPr>
        <w:t xml:space="preserve">If not, the group will have to re-assess the development of these guidelines. </w:t>
      </w:r>
    </w:p>
    <w:p w:rsidR="0078102D" w:rsidRPr="0078102D" w:rsidRDefault="0078102D" w:rsidP="0078102D">
      <w:pPr>
        <w:pStyle w:val="ListParagraph"/>
        <w:rPr>
          <w:lang w:val="en-US"/>
        </w:rPr>
      </w:pPr>
    </w:p>
    <w:p w:rsidR="0078102D" w:rsidRPr="0078102D" w:rsidRDefault="0078102D" w:rsidP="0078102D">
      <w:pPr>
        <w:pStyle w:val="ListParagraph"/>
        <w:numPr>
          <w:ilvl w:val="0"/>
          <w:numId w:val="37"/>
        </w:numPr>
        <w:rPr>
          <w:b/>
          <w:lang w:val="en-US"/>
        </w:rPr>
      </w:pPr>
      <w:r>
        <w:rPr>
          <w:b/>
          <w:lang w:val="en-US"/>
        </w:rPr>
        <w:t>Clarification on the role of co-leading countries</w:t>
      </w:r>
    </w:p>
    <w:p w:rsidR="0078102D" w:rsidRDefault="0078102D" w:rsidP="00746CF7">
      <w:pPr>
        <w:pStyle w:val="ListParagraph"/>
        <w:numPr>
          <w:ilvl w:val="0"/>
          <w:numId w:val="36"/>
        </w:numPr>
        <w:rPr>
          <w:lang w:val="en-US"/>
        </w:rPr>
      </w:pPr>
      <w:r>
        <w:rPr>
          <w:lang w:val="en-US"/>
        </w:rPr>
        <w:t>The group discussed the roles of Argentina and Canada as co-leading countries</w:t>
      </w:r>
      <w:r w:rsidR="00CC15C4">
        <w:rPr>
          <w:lang w:val="en-US"/>
        </w:rPr>
        <w:t xml:space="preserve"> in the revision of the two guidelines</w:t>
      </w:r>
      <w:r>
        <w:rPr>
          <w:lang w:val="en-US"/>
        </w:rPr>
        <w:t>.</w:t>
      </w:r>
    </w:p>
    <w:p w:rsidR="0078102D" w:rsidRDefault="0078102D" w:rsidP="00746CF7">
      <w:pPr>
        <w:pStyle w:val="ListParagraph"/>
        <w:numPr>
          <w:ilvl w:val="0"/>
          <w:numId w:val="36"/>
        </w:numPr>
        <w:rPr>
          <w:lang w:val="en-US"/>
        </w:rPr>
      </w:pPr>
      <w:r>
        <w:rPr>
          <w:lang w:val="en-US"/>
        </w:rPr>
        <w:t xml:space="preserve">It was clarified and agreed that the two countries will continue to lead the development of the two revised guidelines. </w:t>
      </w:r>
    </w:p>
    <w:p w:rsidR="0078102D" w:rsidRDefault="0078102D" w:rsidP="00746CF7">
      <w:pPr>
        <w:pStyle w:val="ListParagraph"/>
        <w:numPr>
          <w:ilvl w:val="0"/>
          <w:numId w:val="36"/>
        </w:numPr>
        <w:rPr>
          <w:lang w:val="en-US"/>
        </w:rPr>
      </w:pPr>
      <w:r>
        <w:rPr>
          <w:lang w:val="en-US"/>
        </w:rPr>
        <w:t>Specifically on the D10 guidelines,</w:t>
      </w:r>
      <w:r w:rsidR="00CC15C4">
        <w:rPr>
          <w:lang w:val="en-US"/>
        </w:rPr>
        <w:t xml:space="preserve"> the Secretariat will hire</w:t>
      </w:r>
      <w:r>
        <w:rPr>
          <w:lang w:val="en-US"/>
        </w:rPr>
        <w:t xml:space="preserve"> a consultant to help with the </w:t>
      </w:r>
      <w:r w:rsidR="00CC15C4">
        <w:rPr>
          <w:lang w:val="en-US"/>
        </w:rPr>
        <w:t>drafting</w:t>
      </w:r>
      <w:r>
        <w:rPr>
          <w:lang w:val="en-US"/>
        </w:rPr>
        <w:t xml:space="preserve">, but the two countries will continue to lead the process. Thus, the two countries will revise the drafts developed by each other and by the consultant before sharing them with the group. </w:t>
      </w:r>
    </w:p>
    <w:p w:rsidR="0078102D" w:rsidRDefault="0078102D" w:rsidP="00746CF7">
      <w:pPr>
        <w:pStyle w:val="ListParagraph"/>
        <w:numPr>
          <w:ilvl w:val="0"/>
          <w:numId w:val="36"/>
        </w:numPr>
        <w:rPr>
          <w:lang w:val="en-US"/>
        </w:rPr>
      </w:pPr>
      <w:r>
        <w:rPr>
          <w:lang w:val="en-US"/>
        </w:rPr>
        <w:t>Additionally, it was mentioned that as co-leading countries, the representatives of these countries should be at the podium of the OEWG</w:t>
      </w:r>
      <w:r w:rsidR="00E77379">
        <w:rPr>
          <w:lang w:val="en-US"/>
        </w:rPr>
        <w:t>-11</w:t>
      </w:r>
      <w:r>
        <w:rPr>
          <w:lang w:val="en-US"/>
        </w:rPr>
        <w:t xml:space="preserve"> and </w:t>
      </w:r>
      <w:r w:rsidR="00CC15C4">
        <w:rPr>
          <w:lang w:val="en-US"/>
        </w:rPr>
        <w:t xml:space="preserve">of </w:t>
      </w:r>
      <w:r>
        <w:rPr>
          <w:lang w:val="en-US"/>
        </w:rPr>
        <w:t>the COP</w:t>
      </w:r>
      <w:r w:rsidR="00E77379">
        <w:rPr>
          <w:lang w:val="en-US"/>
        </w:rPr>
        <w:t>-14</w:t>
      </w:r>
      <w:r>
        <w:rPr>
          <w:lang w:val="en-US"/>
        </w:rPr>
        <w:t xml:space="preserve"> to help with the negotiations on the two guidelines. The consultant </w:t>
      </w:r>
      <w:r w:rsidR="00E77379">
        <w:rPr>
          <w:lang w:val="en-US"/>
        </w:rPr>
        <w:t>should</w:t>
      </w:r>
      <w:r>
        <w:rPr>
          <w:lang w:val="en-US"/>
        </w:rPr>
        <w:t xml:space="preserve"> also </w:t>
      </w:r>
      <w:r w:rsidR="00E77379">
        <w:rPr>
          <w:lang w:val="en-US"/>
        </w:rPr>
        <w:t xml:space="preserve">be </w:t>
      </w:r>
      <w:r>
        <w:rPr>
          <w:lang w:val="en-US"/>
        </w:rPr>
        <w:t>present, but the leading role remain</w:t>
      </w:r>
      <w:r w:rsidR="00E77379">
        <w:rPr>
          <w:lang w:val="en-US"/>
        </w:rPr>
        <w:t>s</w:t>
      </w:r>
      <w:r>
        <w:rPr>
          <w:lang w:val="en-US"/>
        </w:rPr>
        <w:t xml:space="preserve"> with the two countries. </w:t>
      </w:r>
      <w:bookmarkStart w:id="0" w:name="_GoBack"/>
      <w:bookmarkEnd w:id="0"/>
    </w:p>
    <w:p w:rsidR="0078102D" w:rsidRDefault="0078102D" w:rsidP="00746CF7">
      <w:pPr>
        <w:pStyle w:val="ListParagraph"/>
        <w:numPr>
          <w:ilvl w:val="0"/>
          <w:numId w:val="36"/>
        </w:numPr>
        <w:rPr>
          <w:lang w:val="en-US"/>
        </w:rPr>
      </w:pPr>
      <w:r>
        <w:rPr>
          <w:lang w:val="en-US"/>
        </w:rPr>
        <w:t xml:space="preserve">The group was very supportive of this approach. </w:t>
      </w:r>
    </w:p>
    <w:p w:rsidR="00CC15C4" w:rsidRDefault="00CC15C4" w:rsidP="00AF2007">
      <w:pPr>
        <w:pStyle w:val="ListParagraph"/>
        <w:ind w:left="360"/>
        <w:rPr>
          <w:b/>
          <w:lang w:val="en-US"/>
        </w:rPr>
      </w:pPr>
    </w:p>
    <w:p w:rsidR="00CC15C4" w:rsidRPr="0078102D" w:rsidRDefault="004F157A" w:rsidP="00CC15C4">
      <w:pPr>
        <w:pStyle w:val="ListParagraph"/>
        <w:numPr>
          <w:ilvl w:val="0"/>
          <w:numId w:val="37"/>
        </w:numPr>
        <w:rPr>
          <w:b/>
          <w:lang w:val="en-US"/>
        </w:rPr>
      </w:pPr>
      <w:r>
        <w:rPr>
          <w:b/>
          <w:lang w:val="en-US"/>
        </w:rPr>
        <w:t>Review of the programme of work</w:t>
      </w:r>
    </w:p>
    <w:p w:rsidR="00CC15C4" w:rsidRDefault="00CC15C4" w:rsidP="00CC15C4">
      <w:pPr>
        <w:pStyle w:val="ListParagraph"/>
        <w:numPr>
          <w:ilvl w:val="0"/>
          <w:numId w:val="36"/>
        </w:numPr>
        <w:rPr>
          <w:lang w:val="en-US"/>
        </w:rPr>
      </w:pPr>
      <w:r>
        <w:rPr>
          <w:lang w:val="en-US"/>
        </w:rPr>
        <w:t xml:space="preserve">The group agreed with the proposed timeline that was circulated on </w:t>
      </w:r>
      <w:r w:rsidR="007E2279">
        <w:rPr>
          <w:lang w:val="en-US"/>
        </w:rPr>
        <w:t>30</w:t>
      </w:r>
      <w:r>
        <w:rPr>
          <w:lang w:val="en-US"/>
        </w:rPr>
        <w:t xml:space="preserve"> January 2018, which includes a deadline of April 5 for the first draft of the revised guidelines on D5.</w:t>
      </w:r>
    </w:p>
    <w:p w:rsidR="00CC15C4" w:rsidRDefault="00CC15C4" w:rsidP="00CC15C4">
      <w:pPr>
        <w:pStyle w:val="ListParagraph"/>
        <w:numPr>
          <w:ilvl w:val="0"/>
          <w:numId w:val="36"/>
        </w:numPr>
        <w:rPr>
          <w:lang w:val="en-US"/>
        </w:rPr>
      </w:pPr>
      <w:r>
        <w:rPr>
          <w:lang w:val="en-US"/>
        </w:rPr>
        <w:t xml:space="preserve">Regarding the D10 guidelines, the process is dependent on the hiring of a consultant and therefore will need to be reassessed soon. See item 3 above.  </w:t>
      </w:r>
    </w:p>
    <w:p w:rsidR="00CC15C4" w:rsidRDefault="00CC15C4" w:rsidP="00AF2007">
      <w:pPr>
        <w:pStyle w:val="ListParagraph"/>
        <w:ind w:left="360"/>
        <w:rPr>
          <w:b/>
          <w:lang w:val="en-US"/>
        </w:rPr>
      </w:pPr>
    </w:p>
    <w:p w:rsidR="00CC15C4" w:rsidRPr="0078102D" w:rsidRDefault="00CC15C4" w:rsidP="00CC15C4">
      <w:pPr>
        <w:pStyle w:val="ListParagraph"/>
        <w:numPr>
          <w:ilvl w:val="0"/>
          <w:numId w:val="37"/>
        </w:numPr>
        <w:rPr>
          <w:b/>
          <w:lang w:val="en-US"/>
        </w:rPr>
      </w:pPr>
      <w:r>
        <w:rPr>
          <w:b/>
          <w:lang w:val="en-US"/>
        </w:rPr>
        <w:t>Other matters</w:t>
      </w:r>
    </w:p>
    <w:p w:rsidR="00CC15C4" w:rsidRDefault="00CC15C4" w:rsidP="00CC15C4">
      <w:pPr>
        <w:pStyle w:val="ListParagraph"/>
        <w:numPr>
          <w:ilvl w:val="0"/>
          <w:numId w:val="36"/>
        </w:numPr>
        <w:rPr>
          <w:lang w:val="en-US"/>
        </w:rPr>
      </w:pPr>
      <w:r>
        <w:rPr>
          <w:lang w:val="en-US"/>
        </w:rPr>
        <w:t>The group discussed the option of using the Sunday before the OEWG</w:t>
      </w:r>
      <w:r w:rsidR="007E2279">
        <w:rPr>
          <w:lang w:val="en-US"/>
        </w:rPr>
        <w:t>-11</w:t>
      </w:r>
      <w:r>
        <w:rPr>
          <w:lang w:val="en-US"/>
        </w:rPr>
        <w:t xml:space="preserve"> to have a face-to-face discussion</w:t>
      </w:r>
      <w:r w:rsidR="00DB3528">
        <w:rPr>
          <w:lang w:val="en-US"/>
        </w:rPr>
        <w:t xml:space="preserve"> on the two guidelines</w:t>
      </w:r>
      <w:r>
        <w:rPr>
          <w:lang w:val="en-US"/>
        </w:rPr>
        <w:t>.</w:t>
      </w:r>
      <w:r w:rsidR="00DB3528">
        <w:rPr>
          <w:lang w:val="en-US"/>
        </w:rPr>
        <w:t xml:space="preserve"> But s</w:t>
      </w:r>
      <w:r>
        <w:rPr>
          <w:lang w:val="en-US"/>
        </w:rPr>
        <w:t>ince the drafts of the guidelines are not yet ready, the group agreed that i</w:t>
      </w:r>
      <w:r w:rsidR="007E2279">
        <w:rPr>
          <w:lang w:val="en-US"/>
        </w:rPr>
        <w:t>t i</w:t>
      </w:r>
      <w:r>
        <w:rPr>
          <w:lang w:val="en-US"/>
        </w:rPr>
        <w:t xml:space="preserve">s premature to define if a meeting should take place or not before the OEWG. The decision is postponed for the time being. </w:t>
      </w:r>
    </w:p>
    <w:p w:rsidR="00CC15C4" w:rsidRPr="00DB3528" w:rsidRDefault="00CC15C4" w:rsidP="00CC15C4">
      <w:pPr>
        <w:pStyle w:val="ListParagraph"/>
        <w:numPr>
          <w:ilvl w:val="0"/>
          <w:numId w:val="36"/>
        </w:numPr>
        <w:rPr>
          <w:lang w:val="en-US"/>
        </w:rPr>
      </w:pPr>
      <w:r w:rsidRPr="00DB3528">
        <w:rPr>
          <w:lang w:val="en-US"/>
        </w:rPr>
        <w:lastRenderedPageBreak/>
        <w:t xml:space="preserve">The group discussed </w:t>
      </w:r>
      <w:r w:rsidR="007E2279" w:rsidRPr="00DB3528">
        <w:rPr>
          <w:lang w:val="en-US"/>
        </w:rPr>
        <w:t>which</w:t>
      </w:r>
      <w:r w:rsidRPr="00DB3528">
        <w:rPr>
          <w:lang w:val="en-US"/>
        </w:rPr>
        <w:t xml:space="preserve"> document</w:t>
      </w:r>
      <w:r w:rsidR="007E2279" w:rsidRPr="00DB3528">
        <w:rPr>
          <w:lang w:val="en-US"/>
        </w:rPr>
        <w:t>s should be made available</w:t>
      </w:r>
      <w:r w:rsidRPr="00DB3528">
        <w:rPr>
          <w:lang w:val="en-US"/>
        </w:rPr>
        <w:t xml:space="preserve"> on the BC website. It was decided that the Secretariat should arrange the following: </w:t>
      </w:r>
    </w:p>
    <w:p w:rsidR="00CC15C4" w:rsidRDefault="00CC15C4" w:rsidP="007E2279">
      <w:pPr>
        <w:pStyle w:val="ListParagraph"/>
        <w:numPr>
          <w:ilvl w:val="1"/>
          <w:numId w:val="36"/>
        </w:numPr>
        <w:rPr>
          <w:lang w:val="en-US"/>
        </w:rPr>
      </w:pPr>
      <w:r>
        <w:rPr>
          <w:lang w:val="en-US"/>
        </w:rPr>
        <w:t>Internal outlines are not required to be on the website</w:t>
      </w:r>
      <w:r w:rsidR="007E2279">
        <w:rPr>
          <w:lang w:val="en-US"/>
        </w:rPr>
        <w:t>.</w:t>
      </w:r>
    </w:p>
    <w:p w:rsidR="00CC15C4" w:rsidRDefault="00CC15C4" w:rsidP="007E2279">
      <w:pPr>
        <w:pStyle w:val="ListParagraph"/>
        <w:numPr>
          <w:ilvl w:val="1"/>
          <w:numId w:val="36"/>
        </w:numPr>
        <w:rPr>
          <w:lang w:val="en-US"/>
        </w:rPr>
      </w:pPr>
      <w:r>
        <w:rPr>
          <w:lang w:val="en-US"/>
        </w:rPr>
        <w:t>First revised drafts of both guidelines</w:t>
      </w:r>
      <w:r w:rsidR="007E2279">
        <w:rPr>
          <w:lang w:val="en-US"/>
        </w:rPr>
        <w:t>,</w:t>
      </w:r>
      <w:r>
        <w:rPr>
          <w:lang w:val="en-US"/>
        </w:rPr>
        <w:t xml:space="preserve"> as well as the set of comments provided on them should be made available on the website</w:t>
      </w:r>
      <w:r w:rsidR="007E2279">
        <w:rPr>
          <w:lang w:val="en-US"/>
        </w:rPr>
        <w:t>.</w:t>
      </w:r>
    </w:p>
    <w:p w:rsidR="00CC15C4" w:rsidRDefault="007E2279" w:rsidP="007E2279">
      <w:pPr>
        <w:pStyle w:val="ListParagraph"/>
        <w:numPr>
          <w:ilvl w:val="1"/>
          <w:numId w:val="36"/>
        </w:numPr>
        <w:rPr>
          <w:lang w:val="en-US"/>
        </w:rPr>
      </w:pPr>
      <w:r>
        <w:rPr>
          <w:lang w:val="en-US"/>
        </w:rPr>
        <w:t>All</w:t>
      </w:r>
      <w:r w:rsidR="00CC15C4">
        <w:rPr>
          <w:lang w:val="en-US"/>
        </w:rPr>
        <w:t xml:space="preserve"> meeting minutes should be made available on the website.</w:t>
      </w:r>
    </w:p>
    <w:p w:rsidR="00CC15C4" w:rsidRDefault="00CC15C4" w:rsidP="007E2279">
      <w:pPr>
        <w:pStyle w:val="ListParagraph"/>
        <w:numPr>
          <w:ilvl w:val="1"/>
          <w:numId w:val="36"/>
        </w:numPr>
        <w:rPr>
          <w:lang w:val="en-US"/>
        </w:rPr>
      </w:pPr>
      <w:r>
        <w:rPr>
          <w:lang w:val="en-US"/>
        </w:rPr>
        <w:t>The workplan should be added as an Annex to the meeting minutes, and not put separate</w:t>
      </w:r>
      <w:r w:rsidR="007E2279">
        <w:rPr>
          <w:lang w:val="en-US"/>
        </w:rPr>
        <w:t>ly</w:t>
      </w:r>
      <w:r>
        <w:rPr>
          <w:lang w:val="en-US"/>
        </w:rPr>
        <w:t xml:space="preserve"> on the website</w:t>
      </w:r>
      <w:r w:rsidR="007E2279">
        <w:rPr>
          <w:lang w:val="en-US"/>
        </w:rPr>
        <w:t xml:space="preserve"> (please see Annex II)</w:t>
      </w:r>
      <w:r>
        <w:rPr>
          <w:lang w:val="en-US"/>
        </w:rPr>
        <w:t xml:space="preserve">. </w:t>
      </w:r>
    </w:p>
    <w:p w:rsidR="00C2019E" w:rsidRPr="007E2279" w:rsidRDefault="00C2019E">
      <w:pPr>
        <w:rPr>
          <w:rFonts w:ascii="Calibri" w:hAnsi="Calibri" w:cs="Times New Roman"/>
          <w:b/>
          <w:lang w:val="en-US"/>
        </w:rPr>
      </w:pPr>
    </w:p>
    <w:p w:rsidR="007E2279" w:rsidRDefault="007E2279">
      <w:pPr>
        <w:rPr>
          <w:rFonts w:ascii="Calibri" w:hAnsi="Calibri" w:cs="Times New Roman"/>
          <w:b/>
          <w:lang w:val="en-GB"/>
        </w:rPr>
      </w:pPr>
      <w:r>
        <w:rPr>
          <w:b/>
          <w:lang w:val="en-GB"/>
        </w:rPr>
        <w:br w:type="page"/>
      </w:r>
    </w:p>
    <w:p w:rsidR="00754B37" w:rsidRPr="00446645" w:rsidRDefault="00754B37" w:rsidP="00754B37">
      <w:pPr>
        <w:pStyle w:val="ListParagraph"/>
        <w:ind w:left="360"/>
        <w:rPr>
          <w:b/>
          <w:lang w:val="en-GB"/>
        </w:rPr>
      </w:pPr>
      <w:r w:rsidRPr="005A5350">
        <w:rPr>
          <w:b/>
          <w:lang w:val="en-GB"/>
        </w:rPr>
        <w:lastRenderedPageBreak/>
        <w:t xml:space="preserve">Annex </w:t>
      </w:r>
      <w:proofErr w:type="gramStart"/>
      <w:r w:rsidR="00B777F8">
        <w:rPr>
          <w:b/>
          <w:lang w:val="en-GB"/>
        </w:rPr>
        <w:t>I</w:t>
      </w:r>
      <w:proofErr w:type="gramEnd"/>
      <w:r w:rsidR="00CB1D83">
        <w:rPr>
          <w:b/>
          <w:lang w:val="en-GB"/>
        </w:rPr>
        <w:t xml:space="preserve"> </w:t>
      </w:r>
      <w:r w:rsidRPr="005A5350">
        <w:rPr>
          <w:b/>
          <w:lang w:val="en-GB"/>
        </w:rPr>
        <w:t>– List of attendees</w:t>
      </w:r>
    </w:p>
    <w:p w:rsidR="00754B37" w:rsidRDefault="00754B37" w:rsidP="00754B37">
      <w:pPr>
        <w:pStyle w:val="ListParagraph"/>
        <w:ind w:left="360"/>
        <w:rPr>
          <w:lang w:val="en-GB"/>
        </w:rPr>
      </w:pPr>
    </w:p>
    <w:tbl>
      <w:tblPr>
        <w:tblW w:w="5475"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13"/>
        <w:gridCol w:w="2268"/>
        <w:gridCol w:w="2694"/>
      </w:tblGrid>
      <w:tr w:rsidR="007E2279" w:rsidRPr="00AC6CD1" w:rsidTr="007E2279">
        <w:trPr>
          <w:trHeight w:val="340"/>
        </w:trPr>
        <w:tc>
          <w:tcPr>
            <w:tcW w:w="2781" w:type="dxa"/>
            <w:gridSpan w:val="2"/>
            <w:shd w:val="clear" w:color="auto" w:fill="F2F2F2"/>
            <w:vAlign w:val="center"/>
          </w:tcPr>
          <w:p w:rsidR="007E2279" w:rsidRPr="00AC6CD1" w:rsidRDefault="007E2279" w:rsidP="00992AC4">
            <w:pPr>
              <w:jc w:val="center"/>
              <w:rPr>
                <w:rFonts w:ascii="Calibri" w:hAnsi="Calibri"/>
                <w:b/>
                <w:bCs/>
                <w:sz w:val="20"/>
                <w:szCs w:val="20"/>
                <w:lang w:val="en-US"/>
              </w:rPr>
            </w:pPr>
            <w:r w:rsidRPr="00AC6CD1">
              <w:rPr>
                <w:rFonts w:ascii="Calibri" w:hAnsi="Calibri"/>
                <w:b/>
                <w:bCs/>
                <w:sz w:val="20"/>
                <w:szCs w:val="20"/>
                <w:lang w:val="en-US"/>
              </w:rPr>
              <w:t>NAME</w:t>
            </w:r>
          </w:p>
        </w:tc>
        <w:tc>
          <w:tcPr>
            <w:tcW w:w="2694" w:type="dxa"/>
            <w:shd w:val="clear" w:color="auto" w:fill="F2F2F2"/>
            <w:vAlign w:val="center"/>
          </w:tcPr>
          <w:p w:rsidR="007E2279" w:rsidRPr="00AC6CD1" w:rsidRDefault="007E2279" w:rsidP="00992AC4">
            <w:pPr>
              <w:jc w:val="center"/>
              <w:rPr>
                <w:rFonts w:ascii="Calibri" w:hAnsi="Calibri"/>
                <w:b/>
                <w:bCs/>
                <w:sz w:val="20"/>
                <w:szCs w:val="20"/>
                <w:lang w:val="en-US"/>
              </w:rPr>
            </w:pPr>
            <w:r w:rsidRPr="00AC6CD1">
              <w:rPr>
                <w:rFonts w:ascii="Calibri" w:hAnsi="Calibri"/>
                <w:b/>
                <w:bCs/>
                <w:sz w:val="20"/>
                <w:szCs w:val="20"/>
                <w:lang w:val="en-US"/>
              </w:rPr>
              <w:t>REPRESENTING</w:t>
            </w:r>
          </w:p>
        </w:tc>
      </w:tr>
      <w:tr w:rsidR="007E2279" w:rsidRPr="008C37E4" w:rsidTr="007E2279">
        <w:trPr>
          <w:trHeight w:val="340"/>
        </w:trPr>
        <w:tc>
          <w:tcPr>
            <w:tcW w:w="513" w:type="dxa"/>
            <w:vAlign w:val="center"/>
          </w:tcPr>
          <w:p w:rsidR="007E2279" w:rsidRPr="00AC6CD1" w:rsidRDefault="007E2279" w:rsidP="00B04A57">
            <w:pPr>
              <w:numPr>
                <w:ilvl w:val="0"/>
                <w:numId w:val="34"/>
              </w:numPr>
              <w:tabs>
                <w:tab w:val="left" w:pos="59"/>
                <w:tab w:val="left" w:pos="564"/>
              </w:tabs>
              <w:spacing w:after="0" w:line="360" w:lineRule="auto"/>
              <w:rPr>
                <w:rFonts w:ascii="Calibri" w:hAnsi="Calibri"/>
                <w:sz w:val="20"/>
                <w:szCs w:val="20"/>
                <w:lang w:val="en-US"/>
              </w:rPr>
            </w:pPr>
          </w:p>
        </w:tc>
        <w:tc>
          <w:tcPr>
            <w:tcW w:w="2268" w:type="dxa"/>
            <w:vAlign w:val="center"/>
          </w:tcPr>
          <w:p w:rsidR="007E2279" w:rsidRPr="008C37E4" w:rsidRDefault="007E2279" w:rsidP="00992AC4">
            <w:pPr>
              <w:rPr>
                <w:rFonts w:ascii="Calibri" w:hAnsi="Calibri"/>
                <w:sz w:val="20"/>
                <w:szCs w:val="20"/>
                <w:lang w:val="en-CA"/>
              </w:rPr>
            </w:pPr>
            <w:r w:rsidRPr="00AC6CD1">
              <w:rPr>
                <w:rFonts w:ascii="Calibri" w:hAnsi="Calibri"/>
                <w:color w:val="000000"/>
                <w:sz w:val="20"/>
                <w:szCs w:val="20"/>
                <w:lang w:val="en-US"/>
              </w:rPr>
              <w:t>Ms. Irina Talamoni</w:t>
            </w:r>
          </w:p>
        </w:tc>
        <w:tc>
          <w:tcPr>
            <w:tcW w:w="2694" w:type="dxa"/>
            <w:vAlign w:val="center"/>
          </w:tcPr>
          <w:p w:rsidR="007E2279" w:rsidRPr="00AC6CD1" w:rsidRDefault="007E2279" w:rsidP="00992AC4">
            <w:pPr>
              <w:ind w:left="114"/>
              <w:rPr>
                <w:rFonts w:ascii="Calibri" w:hAnsi="Calibri"/>
                <w:sz w:val="20"/>
                <w:szCs w:val="20"/>
                <w:lang w:val="en-US"/>
              </w:rPr>
            </w:pPr>
            <w:r w:rsidRPr="00AC6CD1">
              <w:rPr>
                <w:rFonts w:ascii="Calibri" w:hAnsi="Calibri"/>
                <w:sz w:val="20"/>
                <w:szCs w:val="20"/>
                <w:lang w:val="en-US"/>
              </w:rPr>
              <w:t>Argentina</w:t>
            </w:r>
          </w:p>
        </w:tc>
      </w:tr>
      <w:tr w:rsidR="007E2279" w:rsidRPr="008C37E4" w:rsidTr="007E2279">
        <w:trPr>
          <w:trHeight w:val="340"/>
        </w:trPr>
        <w:tc>
          <w:tcPr>
            <w:tcW w:w="513" w:type="dxa"/>
            <w:vAlign w:val="center"/>
          </w:tcPr>
          <w:p w:rsidR="007E2279" w:rsidRPr="008C37E4" w:rsidRDefault="007E2279" w:rsidP="00B04A57">
            <w:pPr>
              <w:numPr>
                <w:ilvl w:val="0"/>
                <w:numId w:val="34"/>
              </w:numPr>
              <w:tabs>
                <w:tab w:val="left" w:pos="59"/>
                <w:tab w:val="left" w:pos="564"/>
              </w:tabs>
              <w:spacing w:after="0" w:line="360" w:lineRule="auto"/>
              <w:rPr>
                <w:rFonts w:ascii="Calibri" w:hAnsi="Calibri"/>
                <w:sz w:val="20"/>
                <w:szCs w:val="20"/>
                <w:lang w:val="en-US"/>
              </w:rPr>
            </w:pPr>
          </w:p>
        </w:tc>
        <w:tc>
          <w:tcPr>
            <w:tcW w:w="2268" w:type="dxa"/>
            <w:vAlign w:val="center"/>
          </w:tcPr>
          <w:p w:rsidR="007E2279" w:rsidRPr="0068129B" w:rsidRDefault="007E2279" w:rsidP="00992AC4">
            <w:pPr>
              <w:rPr>
                <w:rFonts w:ascii="Calibri" w:hAnsi="Calibri"/>
                <w:sz w:val="20"/>
                <w:szCs w:val="20"/>
              </w:rPr>
            </w:pPr>
            <w:r w:rsidRPr="008C37E4">
              <w:rPr>
                <w:rFonts w:ascii="Calibri" w:hAnsi="Calibri"/>
                <w:sz w:val="20"/>
                <w:szCs w:val="20"/>
              </w:rPr>
              <w:t>Mr. Agustin Harte</w:t>
            </w:r>
          </w:p>
        </w:tc>
        <w:tc>
          <w:tcPr>
            <w:tcW w:w="2694" w:type="dxa"/>
            <w:vAlign w:val="center"/>
          </w:tcPr>
          <w:p w:rsidR="007E2279" w:rsidRPr="008C37E4" w:rsidRDefault="007E2279" w:rsidP="00992AC4">
            <w:pPr>
              <w:ind w:left="114"/>
              <w:rPr>
                <w:rFonts w:ascii="Calibri" w:hAnsi="Calibri"/>
                <w:sz w:val="20"/>
                <w:szCs w:val="20"/>
              </w:rPr>
            </w:pPr>
            <w:r w:rsidRPr="008C37E4">
              <w:rPr>
                <w:rFonts w:ascii="Calibri" w:hAnsi="Calibri"/>
                <w:sz w:val="20"/>
                <w:szCs w:val="20"/>
              </w:rPr>
              <w:t>Argentina</w:t>
            </w:r>
          </w:p>
        </w:tc>
      </w:tr>
      <w:tr w:rsidR="007E2279" w:rsidRPr="008C37E4" w:rsidTr="007E2279">
        <w:trPr>
          <w:trHeight w:val="340"/>
        </w:trPr>
        <w:tc>
          <w:tcPr>
            <w:tcW w:w="513" w:type="dxa"/>
            <w:vAlign w:val="center"/>
          </w:tcPr>
          <w:p w:rsidR="007E2279" w:rsidRPr="008C37E4" w:rsidRDefault="007E2279" w:rsidP="00B04A57">
            <w:pPr>
              <w:numPr>
                <w:ilvl w:val="0"/>
                <w:numId w:val="34"/>
              </w:numPr>
              <w:tabs>
                <w:tab w:val="left" w:pos="59"/>
                <w:tab w:val="left" w:pos="564"/>
              </w:tabs>
              <w:spacing w:after="0" w:line="360" w:lineRule="auto"/>
              <w:rPr>
                <w:rFonts w:ascii="Calibri" w:hAnsi="Calibri"/>
                <w:sz w:val="20"/>
                <w:szCs w:val="20"/>
              </w:rPr>
            </w:pPr>
          </w:p>
        </w:tc>
        <w:tc>
          <w:tcPr>
            <w:tcW w:w="2268" w:type="dxa"/>
            <w:vAlign w:val="center"/>
          </w:tcPr>
          <w:p w:rsidR="007E2279" w:rsidRPr="008C37E4" w:rsidRDefault="007E2279" w:rsidP="00992AC4">
            <w:pPr>
              <w:rPr>
                <w:rFonts w:ascii="Calibri" w:hAnsi="Calibri"/>
                <w:sz w:val="20"/>
                <w:szCs w:val="20"/>
                <w:lang w:val="en-CA"/>
              </w:rPr>
            </w:pPr>
            <w:r w:rsidRPr="008C37E4">
              <w:rPr>
                <w:rFonts w:ascii="Calibri" w:hAnsi="Calibri"/>
                <w:sz w:val="20"/>
                <w:szCs w:val="20"/>
                <w:lang w:val="en-CA"/>
              </w:rPr>
              <w:t>Ms. Julie Croteau</w:t>
            </w:r>
          </w:p>
        </w:tc>
        <w:tc>
          <w:tcPr>
            <w:tcW w:w="2694" w:type="dxa"/>
            <w:vAlign w:val="center"/>
          </w:tcPr>
          <w:p w:rsidR="007E2279" w:rsidRPr="008C37E4" w:rsidRDefault="007E2279" w:rsidP="00992AC4">
            <w:pPr>
              <w:ind w:left="114"/>
              <w:rPr>
                <w:rFonts w:ascii="Calibri" w:hAnsi="Calibri"/>
                <w:sz w:val="20"/>
                <w:szCs w:val="20"/>
              </w:rPr>
            </w:pPr>
            <w:r w:rsidRPr="008C37E4">
              <w:rPr>
                <w:rFonts w:ascii="Calibri" w:hAnsi="Calibri"/>
                <w:sz w:val="20"/>
                <w:szCs w:val="20"/>
              </w:rPr>
              <w:t>Canada</w:t>
            </w:r>
          </w:p>
        </w:tc>
      </w:tr>
      <w:tr w:rsidR="007E2279" w:rsidRPr="00AF1989" w:rsidTr="007E2279">
        <w:trPr>
          <w:trHeight w:val="340"/>
        </w:trPr>
        <w:tc>
          <w:tcPr>
            <w:tcW w:w="513" w:type="dxa"/>
            <w:vAlign w:val="center"/>
          </w:tcPr>
          <w:p w:rsidR="007E2279" w:rsidRPr="00AF1989" w:rsidRDefault="007E2279" w:rsidP="00992AC4">
            <w:pPr>
              <w:numPr>
                <w:ilvl w:val="0"/>
                <w:numId w:val="34"/>
              </w:numPr>
              <w:tabs>
                <w:tab w:val="left" w:pos="59"/>
                <w:tab w:val="left" w:pos="564"/>
              </w:tabs>
              <w:spacing w:after="0" w:line="360" w:lineRule="auto"/>
              <w:rPr>
                <w:rFonts w:ascii="Calibri" w:hAnsi="Calibri"/>
                <w:sz w:val="20"/>
                <w:szCs w:val="20"/>
                <w:lang w:val="en-US"/>
              </w:rPr>
            </w:pPr>
          </w:p>
        </w:tc>
        <w:tc>
          <w:tcPr>
            <w:tcW w:w="2268" w:type="dxa"/>
            <w:vAlign w:val="center"/>
          </w:tcPr>
          <w:p w:rsidR="007E2279" w:rsidRPr="00AF1989" w:rsidRDefault="007E2279" w:rsidP="00992AC4">
            <w:pPr>
              <w:rPr>
                <w:rFonts w:ascii="Calibri" w:hAnsi="Calibri"/>
                <w:sz w:val="20"/>
                <w:szCs w:val="20"/>
                <w:lang w:val="en-US"/>
              </w:rPr>
            </w:pPr>
            <w:r>
              <w:rPr>
                <w:rFonts w:ascii="Calibri" w:hAnsi="Calibri"/>
                <w:sz w:val="20"/>
                <w:szCs w:val="20"/>
                <w:lang w:val="en-US"/>
              </w:rPr>
              <w:t xml:space="preserve">Mr. </w:t>
            </w:r>
            <w:r w:rsidRPr="00AF1989">
              <w:rPr>
                <w:rFonts w:ascii="Calibri" w:hAnsi="Calibri"/>
                <w:sz w:val="20"/>
                <w:szCs w:val="20"/>
                <w:lang w:val="en-US"/>
              </w:rPr>
              <w:t>Jorge Diaz</w:t>
            </w:r>
          </w:p>
        </w:tc>
        <w:tc>
          <w:tcPr>
            <w:tcW w:w="2694" w:type="dxa"/>
            <w:vAlign w:val="center"/>
          </w:tcPr>
          <w:p w:rsidR="007E2279" w:rsidRPr="00AF1989" w:rsidRDefault="007E2279" w:rsidP="00992AC4">
            <w:pPr>
              <w:ind w:left="114"/>
              <w:rPr>
                <w:rFonts w:ascii="Calibri" w:hAnsi="Calibri"/>
                <w:sz w:val="20"/>
                <w:szCs w:val="20"/>
                <w:lang w:val="en-US"/>
              </w:rPr>
            </w:pPr>
            <w:r>
              <w:rPr>
                <w:rFonts w:ascii="Calibri" w:hAnsi="Calibri"/>
                <w:sz w:val="20"/>
                <w:szCs w:val="20"/>
                <w:lang w:val="en-US"/>
              </w:rPr>
              <w:t>European Commission</w:t>
            </w:r>
          </w:p>
        </w:tc>
      </w:tr>
      <w:tr w:rsidR="007E2279" w:rsidRPr="008C37E4" w:rsidTr="007E2279">
        <w:trPr>
          <w:trHeight w:val="340"/>
        </w:trPr>
        <w:tc>
          <w:tcPr>
            <w:tcW w:w="513" w:type="dxa"/>
            <w:vAlign w:val="center"/>
          </w:tcPr>
          <w:p w:rsidR="007E2279" w:rsidRPr="008C37E4" w:rsidRDefault="007E2279" w:rsidP="00B04A57">
            <w:pPr>
              <w:numPr>
                <w:ilvl w:val="0"/>
                <w:numId w:val="34"/>
              </w:numPr>
              <w:tabs>
                <w:tab w:val="left" w:pos="59"/>
                <w:tab w:val="left" w:pos="564"/>
              </w:tabs>
              <w:spacing w:after="0" w:line="360" w:lineRule="auto"/>
              <w:rPr>
                <w:rFonts w:ascii="Calibri" w:hAnsi="Calibri"/>
                <w:sz w:val="20"/>
                <w:szCs w:val="20"/>
              </w:rPr>
            </w:pPr>
          </w:p>
        </w:tc>
        <w:tc>
          <w:tcPr>
            <w:tcW w:w="2268" w:type="dxa"/>
            <w:vAlign w:val="center"/>
          </w:tcPr>
          <w:p w:rsidR="007E2279" w:rsidRPr="008C37E4" w:rsidRDefault="007E2279" w:rsidP="00992AC4">
            <w:pPr>
              <w:rPr>
                <w:rFonts w:ascii="Calibri" w:hAnsi="Calibri"/>
                <w:sz w:val="20"/>
                <w:szCs w:val="20"/>
              </w:rPr>
            </w:pPr>
            <w:r w:rsidRPr="008C37E4">
              <w:rPr>
                <w:rFonts w:ascii="Calibri" w:hAnsi="Calibri"/>
                <w:sz w:val="20"/>
                <w:szCs w:val="20"/>
              </w:rPr>
              <w:t>Mr. Michael Ernst</w:t>
            </w:r>
          </w:p>
        </w:tc>
        <w:tc>
          <w:tcPr>
            <w:tcW w:w="2694" w:type="dxa"/>
            <w:vAlign w:val="center"/>
          </w:tcPr>
          <w:p w:rsidR="007E2279" w:rsidRPr="008C37E4" w:rsidRDefault="007E2279" w:rsidP="00992AC4">
            <w:pPr>
              <w:ind w:left="114"/>
              <w:rPr>
                <w:rFonts w:ascii="Calibri" w:hAnsi="Calibri"/>
                <w:sz w:val="20"/>
                <w:szCs w:val="20"/>
              </w:rPr>
            </w:pPr>
            <w:r w:rsidRPr="008C37E4">
              <w:rPr>
                <w:rFonts w:ascii="Calibri" w:hAnsi="Calibri"/>
                <w:sz w:val="20"/>
                <w:szCs w:val="20"/>
              </w:rPr>
              <w:t>Germany</w:t>
            </w:r>
          </w:p>
        </w:tc>
      </w:tr>
      <w:tr w:rsidR="007E2279" w:rsidRPr="00AF1989" w:rsidTr="007E2279">
        <w:trPr>
          <w:trHeight w:val="340"/>
        </w:trPr>
        <w:tc>
          <w:tcPr>
            <w:tcW w:w="513" w:type="dxa"/>
            <w:vAlign w:val="center"/>
          </w:tcPr>
          <w:p w:rsidR="007E2279" w:rsidRPr="008C37E4" w:rsidRDefault="007E2279" w:rsidP="00B04A57">
            <w:pPr>
              <w:numPr>
                <w:ilvl w:val="0"/>
                <w:numId w:val="34"/>
              </w:numPr>
              <w:tabs>
                <w:tab w:val="left" w:pos="59"/>
                <w:tab w:val="left" w:pos="564"/>
              </w:tabs>
              <w:spacing w:after="0" w:line="360" w:lineRule="auto"/>
              <w:rPr>
                <w:rFonts w:ascii="Calibri" w:hAnsi="Calibri"/>
                <w:sz w:val="20"/>
                <w:szCs w:val="20"/>
              </w:rPr>
            </w:pPr>
          </w:p>
        </w:tc>
        <w:tc>
          <w:tcPr>
            <w:tcW w:w="2268" w:type="dxa"/>
            <w:vAlign w:val="center"/>
          </w:tcPr>
          <w:p w:rsidR="007E2279" w:rsidRPr="00AF1989" w:rsidRDefault="007E2279" w:rsidP="00992AC4">
            <w:pPr>
              <w:rPr>
                <w:rFonts w:ascii="Calibri" w:hAnsi="Calibri"/>
                <w:sz w:val="20"/>
                <w:szCs w:val="20"/>
                <w:lang w:val="en-US"/>
              </w:rPr>
            </w:pPr>
            <w:r w:rsidRPr="00AF1989">
              <w:rPr>
                <w:rFonts w:ascii="Calibri" w:hAnsi="Calibri"/>
                <w:sz w:val="20"/>
                <w:szCs w:val="20"/>
                <w:lang w:val="en-US"/>
              </w:rPr>
              <w:t>Ms. Reem</w:t>
            </w:r>
            <w:r>
              <w:rPr>
                <w:rFonts w:ascii="Calibri" w:hAnsi="Calibri"/>
                <w:sz w:val="20"/>
                <w:szCs w:val="20"/>
                <w:lang w:val="en-US"/>
              </w:rPr>
              <w:t xml:space="preserve"> Musleh</w:t>
            </w:r>
          </w:p>
        </w:tc>
        <w:tc>
          <w:tcPr>
            <w:tcW w:w="2694" w:type="dxa"/>
            <w:vAlign w:val="center"/>
          </w:tcPr>
          <w:p w:rsidR="007E2279" w:rsidRPr="00AF1989" w:rsidRDefault="007E2279" w:rsidP="00992AC4">
            <w:pPr>
              <w:ind w:left="114"/>
              <w:rPr>
                <w:rFonts w:ascii="Calibri" w:hAnsi="Calibri"/>
                <w:sz w:val="20"/>
                <w:szCs w:val="20"/>
                <w:lang w:val="en-US"/>
              </w:rPr>
            </w:pPr>
            <w:r>
              <w:rPr>
                <w:rFonts w:ascii="Calibri" w:hAnsi="Calibri"/>
                <w:sz w:val="20"/>
                <w:szCs w:val="20"/>
                <w:lang w:val="en-US"/>
              </w:rPr>
              <w:t>State of Palestine</w:t>
            </w:r>
          </w:p>
        </w:tc>
      </w:tr>
      <w:tr w:rsidR="007E2279" w:rsidRPr="00AF1989" w:rsidTr="007E2279">
        <w:trPr>
          <w:trHeight w:val="340"/>
        </w:trPr>
        <w:tc>
          <w:tcPr>
            <w:tcW w:w="5475" w:type="dxa"/>
            <w:gridSpan w:val="3"/>
            <w:shd w:val="clear" w:color="auto" w:fill="F2F2F2"/>
            <w:vAlign w:val="center"/>
          </w:tcPr>
          <w:p w:rsidR="007E2279" w:rsidRPr="008C37E4" w:rsidRDefault="007E2279" w:rsidP="00992AC4">
            <w:pPr>
              <w:rPr>
                <w:rFonts w:ascii="Calibri" w:hAnsi="Calibri"/>
                <w:b/>
                <w:sz w:val="20"/>
                <w:szCs w:val="20"/>
                <w:lang w:val="en-US"/>
              </w:rPr>
            </w:pPr>
            <w:r w:rsidRPr="008C37E4">
              <w:rPr>
                <w:rFonts w:ascii="Calibri" w:hAnsi="Calibri"/>
                <w:b/>
                <w:color w:val="000000"/>
                <w:sz w:val="20"/>
                <w:szCs w:val="20"/>
                <w:lang w:val="en-US"/>
              </w:rPr>
              <w:t>BRS Secretariat</w:t>
            </w:r>
          </w:p>
        </w:tc>
      </w:tr>
      <w:tr w:rsidR="007E2279" w:rsidRPr="008C37E4" w:rsidTr="007E2279">
        <w:trPr>
          <w:trHeight w:val="340"/>
        </w:trPr>
        <w:tc>
          <w:tcPr>
            <w:tcW w:w="513" w:type="dxa"/>
            <w:vAlign w:val="center"/>
          </w:tcPr>
          <w:p w:rsidR="007E2279" w:rsidRPr="008C37E4" w:rsidRDefault="007E2279" w:rsidP="007E2279">
            <w:pPr>
              <w:numPr>
                <w:ilvl w:val="0"/>
                <w:numId w:val="38"/>
              </w:numPr>
              <w:tabs>
                <w:tab w:val="left" w:pos="59"/>
                <w:tab w:val="left" w:pos="564"/>
              </w:tabs>
              <w:spacing w:after="0" w:line="360" w:lineRule="auto"/>
              <w:rPr>
                <w:rFonts w:ascii="Calibri" w:hAnsi="Calibri"/>
                <w:sz w:val="20"/>
                <w:szCs w:val="20"/>
              </w:rPr>
            </w:pPr>
          </w:p>
        </w:tc>
        <w:tc>
          <w:tcPr>
            <w:tcW w:w="2268" w:type="dxa"/>
          </w:tcPr>
          <w:p w:rsidR="007E2279" w:rsidRPr="008C37E4" w:rsidRDefault="007E2279" w:rsidP="00992AC4">
            <w:pPr>
              <w:rPr>
                <w:rFonts w:ascii="Calibri" w:hAnsi="Calibri"/>
                <w:color w:val="000000"/>
                <w:sz w:val="20"/>
                <w:szCs w:val="20"/>
                <w:lang w:val="fr-CH"/>
              </w:rPr>
            </w:pPr>
            <w:r w:rsidRPr="008C37E4">
              <w:rPr>
                <w:rFonts w:ascii="Calibri" w:hAnsi="Calibri"/>
                <w:color w:val="000000"/>
                <w:sz w:val="20"/>
                <w:szCs w:val="20"/>
                <w:lang w:val="fr-CH"/>
              </w:rPr>
              <w:t>Ms. Carla Valle-Klann</w:t>
            </w:r>
          </w:p>
        </w:tc>
        <w:tc>
          <w:tcPr>
            <w:tcW w:w="2694" w:type="dxa"/>
          </w:tcPr>
          <w:p w:rsidR="007E2279" w:rsidRPr="008C37E4" w:rsidRDefault="007E2279" w:rsidP="00992AC4">
            <w:pPr>
              <w:ind w:left="114"/>
              <w:rPr>
                <w:rFonts w:ascii="Calibri" w:hAnsi="Calibri"/>
                <w:sz w:val="20"/>
                <w:szCs w:val="20"/>
                <w:lang w:val="en-US"/>
              </w:rPr>
            </w:pPr>
            <w:r w:rsidRPr="008C37E4">
              <w:rPr>
                <w:rFonts w:ascii="Calibri" w:hAnsi="Calibri"/>
                <w:sz w:val="20"/>
                <w:szCs w:val="20"/>
                <w:lang w:val="en-US"/>
              </w:rPr>
              <w:t>BRS Secretariat</w:t>
            </w:r>
          </w:p>
        </w:tc>
      </w:tr>
      <w:tr w:rsidR="007E2279" w:rsidRPr="008C37E4" w:rsidTr="007E2279">
        <w:trPr>
          <w:trHeight w:val="340"/>
        </w:trPr>
        <w:tc>
          <w:tcPr>
            <w:tcW w:w="513" w:type="dxa"/>
            <w:vAlign w:val="center"/>
          </w:tcPr>
          <w:p w:rsidR="007E2279" w:rsidRPr="008C37E4" w:rsidRDefault="007E2279" w:rsidP="007E2279">
            <w:pPr>
              <w:numPr>
                <w:ilvl w:val="0"/>
                <w:numId w:val="38"/>
              </w:numPr>
              <w:tabs>
                <w:tab w:val="left" w:pos="59"/>
                <w:tab w:val="left" w:pos="564"/>
              </w:tabs>
              <w:spacing w:after="0" w:line="360" w:lineRule="auto"/>
              <w:rPr>
                <w:rFonts w:ascii="Calibri" w:hAnsi="Calibri"/>
                <w:sz w:val="20"/>
                <w:szCs w:val="20"/>
              </w:rPr>
            </w:pPr>
          </w:p>
        </w:tc>
        <w:tc>
          <w:tcPr>
            <w:tcW w:w="2268" w:type="dxa"/>
          </w:tcPr>
          <w:p w:rsidR="007E2279" w:rsidRPr="008C37E4" w:rsidRDefault="007E2279" w:rsidP="00992AC4">
            <w:pPr>
              <w:rPr>
                <w:rFonts w:ascii="Calibri" w:hAnsi="Calibri"/>
                <w:color w:val="000000"/>
                <w:sz w:val="20"/>
                <w:szCs w:val="20"/>
                <w:lang w:val="fr-CH"/>
              </w:rPr>
            </w:pPr>
            <w:r w:rsidRPr="008C37E4">
              <w:rPr>
                <w:rFonts w:ascii="Calibri" w:hAnsi="Calibri"/>
                <w:color w:val="000000"/>
                <w:sz w:val="20"/>
                <w:szCs w:val="20"/>
                <w:lang w:val="fr-CH"/>
              </w:rPr>
              <w:t>Ms. Francesca Cenni</w:t>
            </w:r>
          </w:p>
        </w:tc>
        <w:tc>
          <w:tcPr>
            <w:tcW w:w="2694" w:type="dxa"/>
          </w:tcPr>
          <w:p w:rsidR="007E2279" w:rsidRPr="008C37E4" w:rsidRDefault="007E2279" w:rsidP="00992AC4">
            <w:pPr>
              <w:ind w:left="114"/>
              <w:rPr>
                <w:rFonts w:ascii="Calibri" w:hAnsi="Calibri"/>
                <w:sz w:val="20"/>
                <w:szCs w:val="20"/>
                <w:lang w:val="en-US"/>
              </w:rPr>
            </w:pPr>
            <w:r w:rsidRPr="008C37E4">
              <w:rPr>
                <w:rFonts w:ascii="Calibri" w:hAnsi="Calibri"/>
                <w:sz w:val="20"/>
                <w:szCs w:val="20"/>
                <w:lang w:val="en-US"/>
              </w:rPr>
              <w:t>BRS Secretariat</w:t>
            </w:r>
          </w:p>
        </w:tc>
      </w:tr>
    </w:tbl>
    <w:p w:rsidR="007E2279" w:rsidRDefault="007E2279" w:rsidP="000E77D4">
      <w:pPr>
        <w:pStyle w:val="ListParagraph"/>
        <w:rPr>
          <w:b/>
          <w:lang w:val="en-US"/>
        </w:rPr>
      </w:pPr>
    </w:p>
    <w:p w:rsidR="007E2279" w:rsidRDefault="007E2279">
      <w:pPr>
        <w:rPr>
          <w:rFonts w:ascii="Calibri" w:hAnsi="Calibri" w:cs="Times New Roman"/>
          <w:b/>
          <w:lang w:val="en-US"/>
        </w:rPr>
      </w:pPr>
      <w:r>
        <w:rPr>
          <w:b/>
          <w:lang w:val="en-US"/>
        </w:rPr>
        <w:br w:type="page"/>
      </w:r>
    </w:p>
    <w:p w:rsidR="007E2279" w:rsidRPr="00446645" w:rsidRDefault="007E2279" w:rsidP="007E2279">
      <w:pPr>
        <w:pStyle w:val="ListParagraph"/>
        <w:ind w:left="360"/>
        <w:rPr>
          <w:b/>
          <w:lang w:val="en-GB"/>
        </w:rPr>
      </w:pPr>
      <w:r w:rsidRPr="005A5350">
        <w:rPr>
          <w:b/>
          <w:lang w:val="en-GB"/>
        </w:rPr>
        <w:lastRenderedPageBreak/>
        <w:t xml:space="preserve">Annex </w:t>
      </w:r>
      <w:r>
        <w:rPr>
          <w:b/>
          <w:lang w:val="en-GB"/>
        </w:rPr>
        <w:t xml:space="preserve">II </w:t>
      </w:r>
      <w:r w:rsidRPr="005A5350">
        <w:rPr>
          <w:b/>
          <w:lang w:val="en-GB"/>
        </w:rPr>
        <w:t xml:space="preserve">– </w:t>
      </w:r>
      <w:r w:rsidR="00452510">
        <w:rPr>
          <w:b/>
          <w:lang w:val="en-GB"/>
        </w:rPr>
        <w:t>Revised programme of work</w:t>
      </w:r>
    </w:p>
    <w:p w:rsidR="007E2279" w:rsidRDefault="007E2279" w:rsidP="000E77D4">
      <w:pPr>
        <w:pStyle w:val="ListParagraph"/>
        <w:rPr>
          <w:b/>
          <w:lang w:val="en-US"/>
        </w:rPr>
      </w:pPr>
    </w:p>
    <w:p w:rsidR="007E2279" w:rsidRPr="007E2279" w:rsidRDefault="007E2279" w:rsidP="007E2279">
      <w:pPr>
        <w:jc w:val="right"/>
        <w:rPr>
          <w:rFonts w:ascii="Times New Roman" w:hAnsi="Times New Roman" w:cs="Times New Roman"/>
          <w:b/>
          <w:i/>
          <w:sz w:val="24"/>
          <w:szCs w:val="20"/>
          <w:lang w:val="en-US"/>
        </w:rPr>
      </w:pPr>
      <w:r w:rsidRPr="007E2279">
        <w:rPr>
          <w:rFonts w:ascii="Times New Roman" w:hAnsi="Times New Roman" w:cs="Times New Roman"/>
          <w:b/>
          <w:i/>
          <w:sz w:val="24"/>
          <w:szCs w:val="20"/>
          <w:lang w:val="en-US"/>
        </w:rPr>
        <w:t>January 30, 2018</w:t>
      </w:r>
    </w:p>
    <w:p w:rsidR="007E2279" w:rsidRPr="007E2279" w:rsidRDefault="007E2279" w:rsidP="007E2279">
      <w:pPr>
        <w:spacing w:after="0" w:line="240" w:lineRule="auto"/>
        <w:jc w:val="center"/>
        <w:rPr>
          <w:rFonts w:ascii="Times New Roman" w:hAnsi="Times New Roman" w:cs="Times New Roman"/>
          <w:b/>
          <w:sz w:val="28"/>
          <w:szCs w:val="28"/>
          <w:lang w:val="en-US"/>
        </w:rPr>
      </w:pPr>
      <w:r w:rsidRPr="007E2279">
        <w:rPr>
          <w:rFonts w:ascii="Times New Roman" w:hAnsi="Times New Roman" w:cs="Times New Roman"/>
          <w:b/>
          <w:sz w:val="28"/>
          <w:szCs w:val="28"/>
          <w:lang w:val="en-US"/>
        </w:rPr>
        <w:t xml:space="preserve">Revised Programme of Work </w:t>
      </w:r>
    </w:p>
    <w:p w:rsidR="007E2279" w:rsidRPr="007E2279" w:rsidRDefault="007E2279" w:rsidP="007E2279">
      <w:pPr>
        <w:spacing w:after="0" w:line="240" w:lineRule="auto"/>
        <w:jc w:val="center"/>
        <w:rPr>
          <w:rFonts w:ascii="Times New Roman" w:hAnsi="Times New Roman" w:cs="Times New Roman"/>
          <w:b/>
          <w:sz w:val="28"/>
          <w:szCs w:val="28"/>
          <w:lang w:val="en-US"/>
        </w:rPr>
      </w:pPr>
      <w:r w:rsidRPr="007E2279">
        <w:rPr>
          <w:rFonts w:ascii="Times New Roman" w:hAnsi="Times New Roman" w:cs="Times New Roman"/>
          <w:b/>
          <w:sz w:val="28"/>
          <w:szCs w:val="28"/>
          <w:lang w:val="en-US"/>
        </w:rPr>
        <w:t xml:space="preserve">Basel Convention Small Intersessional Working Group (SIWG) on the technical guidelines on specially engineered landfill (D5) and on incineration on land (D10) </w:t>
      </w:r>
    </w:p>
    <w:p w:rsidR="007E2279" w:rsidRPr="007E2279" w:rsidRDefault="007E2279" w:rsidP="007E2279">
      <w:pPr>
        <w:rPr>
          <w:rFonts w:ascii="Times New Roman" w:hAnsi="Times New Roman" w:cs="Times New Roman"/>
          <w:b/>
          <w:sz w:val="24"/>
          <w:szCs w:val="24"/>
          <w:lang w:val="en-US"/>
        </w:rPr>
      </w:pPr>
    </w:p>
    <w:p w:rsidR="007E2279" w:rsidRPr="007E2279" w:rsidRDefault="007E2279" w:rsidP="007E2279">
      <w:pPr>
        <w:ind w:left="-142"/>
        <w:rPr>
          <w:rFonts w:ascii="Times New Roman" w:hAnsi="Times New Roman" w:cs="Times New Roman"/>
          <w:b/>
          <w:smallCaps/>
          <w:color w:val="002060"/>
          <w:sz w:val="28"/>
          <w:szCs w:val="28"/>
          <w:lang w:val="en-US"/>
        </w:rPr>
      </w:pPr>
      <w:r w:rsidRPr="007E2279">
        <w:rPr>
          <w:rFonts w:ascii="Times New Roman" w:hAnsi="Times New Roman" w:cs="Times New Roman"/>
          <w:b/>
          <w:smallCaps/>
          <w:color w:val="002060"/>
          <w:sz w:val="28"/>
          <w:szCs w:val="28"/>
          <w:lang w:val="en-US"/>
        </w:rPr>
        <w:t>Development of the table of content</w:t>
      </w:r>
    </w:p>
    <w:tbl>
      <w:tblPr>
        <w:tblStyle w:val="TableGrid"/>
        <w:tblW w:w="10598" w:type="dxa"/>
        <w:tblLook w:val="04A0" w:firstRow="1" w:lastRow="0" w:firstColumn="1" w:lastColumn="0" w:noHBand="0" w:noVBand="1"/>
      </w:tblPr>
      <w:tblGrid>
        <w:gridCol w:w="3085"/>
        <w:gridCol w:w="7513"/>
      </w:tblGrid>
      <w:tr w:rsidR="007E2279" w:rsidRPr="00936581" w:rsidTr="00992AC4">
        <w:tc>
          <w:tcPr>
            <w:tcW w:w="3085" w:type="dxa"/>
            <w:tcBorders>
              <w:bottom w:val="single" w:sz="4" w:space="0" w:color="auto"/>
            </w:tcBorders>
            <w:shd w:val="clear" w:color="auto" w:fill="E5DFEC" w:themeFill="accent4" w:themeFillTint="33"/>
          </w:tcPr>
          <w:p w:rsidR="007E2279" w:rsidRPr="00936581" w:rsidRDefault="007E2279" w:rsidP="00992AC4">
            <w:pPr>
              <w:jc w:val="center"/>
              <w:rPr>
                <w:rFonts w:ascii="Times New Roman" w:hAnsi="Times New Roman" w:cs="Times New Roman"/>
                <w:b/>
                <w:lang w:val="fr-CA"/>
              </w:rPr>
            </w:pPr>
            <w:r>
              <w:rPr>
                <w:rFonts w:ascii="Times New Roman" w:hAnsi="Times New Roman" w:cs="Times New Roman"/>
                <w:b/>
                <w:lang w:val="fr-CA"/>
              </w:rPr>
              <w:t>DATE</w:t>
            </w:r>
          </w:p>
        </w:tc>
        <w:tc>
          <w:tcPr>
            <w:tcW w:w="7513" w:type="dxa"/>
            <w:tcBorders>
              <w:bottom w:val="single" w:sz="4" w:space="0" w:color="auto"/>
            </w:tcBorders>
            <w:shd w:val="clear" w:color="auto" w:fill="E5DFEC" w:themeFill="accent4" w:themeFillTint="33"/>
          </w:tcPr>
          <w:p w:rsidR="007E2279" w:rsidRPr="00936581" w:rsidRDefault="007E2279" w:rsidP="00992AC4">
            <w:pPr>
              <w:jc w:val="center"/>
              <w:rPr>
                <w:rFonts w:ascii="Times New Roman" w:hAnsi="Times New Roman" w:cs="Times New Roman"/>
                <w:b/>
                <w:lang w:val="fr-CA"/>
              </w:rPr>
            </w:pPr>
            <w:r>
              <w:rPr>
                <w:rFonts w:ascii="Times New Roman" w:hAnsi="Times New Roman" w:cs="Times New Roman"/>
                <w:b/>
                <w:lang w:val="fr-CA"/>
              </w:rPr>
              <w:t>ACTIVITY</w:t>
            </w:r>
          </w:p>
        </w:tc>
      </w:tr>
      <w:tr w:rsidR="007E2279" w:rsidRPr="00936581" w:rsidTr="00992AC4">
        <w:trPr>
          <w:trHeight w:val="433"/>
        </w:trPr>
        <w:tc>
          <w:tcPr>
            <w:tcW w:w="3085" w:type="dxa"/>
            <w:tcBorders>
              <w:bottom w:val="single" w:sz="4" w:space="0" w:color="auto"/>
            </w:tcBorders>
            <w:shd w:val="clear" w:color="auto" w:fill="FFFFFF" w:themeFill="background1"/>
          </w:tcPr>
          <w:p w:rsidR="007E2279" w:rsidRPr="00936581" w:rsidRDefault="007E2279" w:rsidP="00992AC4">
            <w:pPr>
              <w:rPr>
                <w:rFonts w:ascii="Times New Roman" w:hAnsi="Times New Roman" w:cs="Times New Roman"/>
                <w:lang w:val="fr-CA"/>
              </w:rPr>
            </w:pPr>
            <w:r w:rsidRPr="00936581">
              <w:rPr>
                <w:rFonts w:ascii="Times New Roman" w:hAnsi="Times New Roman" w:cs="Times New Roman"/>
                <w:lang w:val="fr-CA"/>
              </w:rPr>
              <w:t>August 31, 2017</w:t>
            </w:r>
          </w:p>
        </w:tc>
        <w:tc>
          <w:tcPr>
            <w:tcW w:w="7513" w:type="dxa"/>
            <w:tcBorders>
              <w:bottom w:val="single" w:sz="4" w:space="0" w:color="auto"/>
            </w:tcBorders>
            <w:shd w:val="clear" w:color="auto" w:fill="FFFFFF" w:themeFill="background1"/>
          </w:tcPr>
          <w:p w:rsidR="007E2279" w:rsidRPr="00936581" w:rsidRDefault="007E2279" w:rsidP="00992AC4">
            <w:pPr>
              <w:rPr>
                <w:rFonts w:ascii="Times New Roman" w:hAnsi="Times New Roman" w:cs="Times New Roman"/>
                <w:lang w:val="fr-CA"/>
              </w:rPr>
            </w:pPr>
            <w:r w:rsidRPr="00936581">
              <w:rPr>
                <w:rFonts w:ascii="Times New Roman" w:hAnsi="Times New Roman" w:cs="Times New Roman"/>
                <w:lang w:val="fr-CA"/>
              </w:rPr>
              <w:t>Nomination to SIWG</w:t>
            </w:r>
          </w:p>
        </w:tc>
      </w:tr>
      <w:tr w:rsidR="007E2279" w:rsidRPr="00984FFE" w:rsidTr="00992AC4">
        <w:trPr>
          <w:trHeight w:val="425"/>
        </w:trPr>
        <w:tc>
          <w:tcPr>
            <w:tcW w:w="3085" w:type="dxa"/>
            <w:shd w:val="clear" w:color="auto" w:fill="D6E3BC" w:themeFill="accent3" w:themeFillTint="66"/>
          </w:tcPr>
          <w:p w:rsidR="007E2279" w:rsidRPr="0050364B" w:rsidRDefault="007E2279" w:rsidP="00992AC4">
            <w:pPr>
              <w:rPr>
                <w:rFonts w:ascii="Times New Roman" w:hAnsi="Times New Roman" w:cs="Times New Roman"/>
                <w:b/>
                <w:lang w:val="fr-CA"/>
              </w:rPr>
            </w:pPr>
            <w:r w:rsidRPr="0050364B">
              <w:rPr>
                <w:rFonts w:ascii="Times New Roman" w:hAnsi="Times New Roman" w:cs="Times New Roman"/>
                <w:b/>
                <w:lang w:val="fr-CA"/>
              </w:rPr>
              <w:t>October 9, 2017</w:t>
            </w:r>
          </w:p>
        </w:tc>
        <w:tc>
          <w:tcPr>
            <w:tcW w:w="7513" w:type="dxa"/>
            <w:shd w:val="clear" w:color="auto" w:fill="D6E3BC" w:themeFill="accent3" w:themeFillTint="66"/>
          </w:tcPr>
          <w:p w:rsidR="007E2279" w:rsidRPr="007E2279" w:rsidRDefault="007E2279" w:rsidP="00992AC4">
            <w:pPr>
              <w:rPr>
                <w:rFonts w:ascii="Times New Roman" w:hAnsi="Times New Roman" w:cs="Times New Roman"/>
                <w:b/>
                <w:lang w:val="en-US"/>
              </w:rPr>
            </w:pPr>
            <w:r w:rsidRPr="007E2279">
              <w:rPr>
                <w:rFonts w:ascii="Times New Roman" w:hAnsi="Times New Roman" w:cs="Times New Roman"/>
                <w:b/>
                <w:lang w:val="en-US"/>
              </w:rPr>
              <w:t>Conference call of the SIWG</w:t>
            </w:r>
          </w:p>
        </w:tc>
      </w:tr>
      <w:tr w:rsidR="007E2279" w:rsidRPr="00984FFE" w:rsidTr="00992AC4">
        <w:trPr>
          <w:trHeight w:val="329"/>
        </w:trPr>
        <w:tc>
          <w:tcPr>
            <w:tcW w:w="3085" w:type="dxa"/>
            <w:vMerge w:val="restart"/>
            <w:shd w:val="clear" w:color="auto" w:fill="FFFFFF" w:themeFill="background1"/>
          </w:tcPr>
          <w:p w:rsidR="007E2279" w:rsidRPr="00936581" w:rsidRDefault="007E2279" w:rsidP="00992AC4">
            <w:pPr>
              <w:rPr>
                <w:rFonts w:ascii="Times New Roman" w:hAnsi="Times New Roman" w:cs="Times New Roman"/>
              </w:rPr>
            </w:pPr>
            <w:r w:rsidRPr="00936581">
              <w:rPr>
                <w:rFonts w:ascii="Times New Roman" w:hAnsi="Times New Roman" w:cs="Times New Roman"/>
              </w:rPr>
              <w:t>October  2017</w:t>
            </w:r>
          </w:p>
          <w:p w:rsidR="007E2279" w:rsidRPr="00936581" w:rsidRDefault="007E2279" w:rsidP="00992AC4">
            <w:pPr>
              <w:rPr>
                <w:rFonts w:ascii="Times New Roman" w:hAnsi="Times New Roman" w:cs="Times New Roman"/>
              </w:rPr>
            </w:pPr>
            <w:r w:rsidRPr="00936581">
              <w:rPr>
                <w:rFonts w:ascii="Times New Roman" w:hAnsi="Times New Roman" w:cs="Times New Roman"/>
              </w:rPr>
              <w:t xml:space="preserve">November 2017 </w:t>
            </w:r>
          </w:p>
          <w:p w:rsidR="007E2279" w:rsidRPr="00936581" w:rsidRDefault="007E2279" w:rsidP="00992AC4">
            <w:pPr>
              <w:rPr>
                <w:rFonts w:ascii="Times New Roman" w:hAnsi="Times New Roman" w:cs="Times New Roman"/>
              </w:rPr>
            </w:pPr>
            <w:r w:rsidRPr="00936581">
              <w:rPr>
                <w:rFonts w:ascii="Times New Roman" w:hAnsi="Times New Roman" w:cs="Times New Roman"/>
              </w:rPr>
              <w:t>December 2017</w:t>
            </w:r>
          </w:p>
          <w:p w:rsidR="007E2279" w:rsidRPr="00936581" w:rsidRDefault="007E2279" w:rsidP="00992AC4">
            <w:pPr>
              <w:rPr>
                <w:rFonts w:ascii="Times New Roman" w:hAnsi="Times New Roman" w:cs="Times New Roman"/>
              </w:rPr>
            </w:pPr>
          </w:p>
        </w:tc>
        <w:tc>
          <w:tcPr>
            <w:tcW w:w="7513" w:type="dxa"/>
            <w:vMerge w:val="restart"/>
            <w:shd w:val="clear" w:color="auto" w:fill="FFFFFF" w:themeFill="background1"/>
          </w:tcPr>
          <w:p w:rsidR="007E2279" w:rsidRPr="007E2279" w:rsidRDefault="007E2279" w:rsidP="007E2279">
            <w:pPr>
              <w:pStyle w:val="ListParagraph"/>
              <w:numPr>
                <w:ilvl w:val="0"/>
                <w:numId w:val="39"/>
              </w:numPr>
              <w:ind w:left="459" w:hanging="284"/>
              <w:contextualSpacing/>
              <w:rPr>
                <w:rFonts w:ascii="Times New Roman" w:hAnsi="Times New Roman"/>
                <w:lang w:val="en-US"/>
              </w:rPr>
            </w:pPr>
            <w:r w:rsidRPr="007E2279">
              <w:rPr>
                <w:rFonts w:ascii="Times New Roman" w:hAnsi="Times New Roman"/>
                <w:lang w:val="en-US"/>
              </w:rPr>
              <w:t xml:space="preserve">Prepare an outline of both technical guidelines </w:t>
            </w:r>
          </w:p>
          <w:p w:rsidR="007E2279" w:rsidRPr="007E2279" w:rsidRDefault="007E2279" w:rsidP="007E2279">
            <w:pPr>
              <w:pStyle w:val="ListParagraph"/>
              <w:numPr>
                <w:ilvl w:val="0"/>
                <w:numId w:val="39"/>
              </w:numPr>
              <w:ind w:left="459" w:hanging="284"/>
              <w:contextualSpacing/>
              <w:rPr>
                <w:rFonts w:ascii="Times New Roman" w:hAnsi="Times New Roman"/>
                <w:lang w:val="en-US"/>
              </w:rPr>
            </w:pPr>
            <w:r w:rsidRPr="007E2279">
              <w:rPr>
                <w:rFonts w:ascii="Times New Roman" w:hAnsi="Times New Roman"/>
                <w:lang w:val="en-US"/>
              </w:rPr>
              <w:t xml:space="preserve">October 27, 2017: SIWG members to send lead countries information on landfilling &amp; incineration and proposed additions to update the guidelines </w:t>
            </w:r>
          </w:p>
        </w:tc>
      </w:tr>
      <w:tr w:rsidR="007E2279" w:rsidRPr="00984FFE" w:rsidTr="00992AC4">
        <w:trPr>
          <w:trHeight w:val="276"/>
        </w:trPr>
        <w:tc>
          <w:tcPr>
            <w:tcW w:w="3085" w:type="dxa"/>
            <w:vMerge/>
            <w:shd w:val="clear" w:color="auto" w:fill="FFFFFF" w:themeFill="background1"/>
          </w:tcPr>
          <w:p w:rsidR="007E2279" w:rsidRPr="007E2279" w:rsidRDefault="007E2279" w:rsidP="00992AC4">
            <w:pPr>
              <w:rPr>
                <w:rFonts w:ascii="Times New Roman" w:hAnsi="Times New Roman" w:cs="Times New Roman"/>
                <w:lang w:val="en-US"/>
              </w:rPr>
            </w:pPr>
          </w:p>
        </w:tc>
        <w:tc>
          <w:tcPr>
            <w:tcW w:w="7513" w:type="dxa"/>
            <w:vMerge/>
            <w:shd w:val="clear" w:color="auto" w:fill="FFFFFF" w:themeFill="background1"/>
          </w:tcPr>
          <w:p w:rsidR="007E2279" w:rsidRPr="007E2279" w:rsidRDefault="007E2279" w:rsidP="00992AC4">
            <w:pPr>
              <w:rPr>
                <w:rFonts w:ascii="Times New Roman" w:hAnsi="Times New Roman" w:cs="Times New Roman"/>
                <w:lang w:val="en-US"/>
              </w:rPr>
            </w:pPr>
          </w:p>
        </w:tc>
      </w:tr>
      <w:tr w:rsidR="007E2279" w:rsidRPr="00984FFE" w:rsidTr="00992AC4">
        <w:trPr>
          <w:trHeight w:val="540"/>
        </w:trPr>
        <w:tc>
          <w:tcPr>
            <w:tcW w:w="3085" w:type="dxa"/>
            <w:tcBorders>
              <w:bottom w:val="single" w:sz="4" w:space="0" w:color="auto"/>
            </w:tcBorders>
            <w:shd w:val="clear" w:color="auto" w:fill="FFFFFF" w:themeFill="background1"/>
          </w:tcPr>
          <w:p w:rsidR="007E2279" w:rsidRPr="00936581" w:rsidRDefault="007E2279" w:rsidP="00992AC4">
            <w:pPr>
              <w:rPr>
                <w:rFonts w:ascii="Times New Roman" w:hAnsi="Times New Roman" w:cs="Times New Roman"/>
              </w:rPr>
            </w:pPr>
            <w:r w:rsidRPr="00936581">
              <w:rPr>
                <w:rFonts w:ascii="Times New Roman" w:hAnsi="Times New Roman" w:cs="Times New Roman"/>
              </w:rPr>
              <w:t>January 16, 2018</w:t>
            </w:r>
          </w:p>
        </w:tc>
        <w:tc>
          <w:tcPr>
            <w:tcW w:w="7513" w:type="dxa"/>
            <w:tcBorders>
              <w:bottom w:val="single" w:sz="4" w:space="0" w:color="auto"/>
            </w:tcBorders>
            <w:shd w:val="clear" w:color="auto" w:fill="FFFFFF" w:themeFill="background1"/>
          </w:tcPr>
          <w:p w:rsidR="007E2279" w:rsidRPr="007E2279" w:rsidRDefault="007E2279" w:rsidP="00992AC4">
            <w:pPr>
              <w:spacing w:before="60" w:after="60"/>
              <w:rPr>
                <w:rFonts w:ascii="Times New Roman" w:hAnsi="Times New Roman" w:cs="Times New Roman"/>
                <w:lang w:val="en-US"/>
              </w:rPr>
            </w:pPr>
            <w:r w:rsidRPr="007E2279">
              <w:rPr>
                <w:rFonts w:ascii="Times New Roman" w:hAnsi="Times New Roman" w:cs="Times New Roman"/>
                <w:lang w:val="en-US"/>
              </w:rPr>
              <w:t>Submit outline of both technical guidelines to SIWG members</w:t>
            </w:r>
          </w:p>
        </w:tc>
      </w:tr>
      <w:tr w:rsidR="007E2279" w:rsidRPr="00984FFE" w:rsidTr="00992AC4">
        <w:trPr>
          <w:trHeight w:val="276"/>
        </w:trPr>
        <w:tc>
          <w:tcPr>
            <w:tcW w:w="3085" w:type="dxa"/>
            <w:tcBorders>
              <w:bottom w:val="single" w:sz="4" w:space="0" w:color="auto"/>
            </w:tcBorders>
            <w:shd w:val="clear" w:color="auto" w:fill="FFFFFF" w:themeFill="background1"/>
          </w:tcPr>
          <w:p w:rsidR="007E2279" w:rsidRPr="007E2279" w:rsidRDefault="007E2279" w:rsidP="00992AC4">
            <w:pPr>
              <w:rPr>
                <w:rFonts w:ascii="Times New Roman" w:hAnsi="Times New Roman" w:cs="Times New Roman"/>
                <w:lang w:val="en-US"/>
              </w:rPr>
            </w:pPr>
            <w:r w:rsidRPr="007E2279">
              <w:rPr>
                <w:rFonts w:ascii="Times New Roman" w:hAnsi="Times New Roman" w:cs="Times New Roman"/>
                <w:lang w:val="en-US"/>
              </w:rPr>
              <w:t>February 2, 2018 (or February 6, 2018 at the latest)</w:t>
            </w:r>
          </w:p>
        </w:tc>
        <w:tc>
          <w:tcPr>
            <w:tcW w:w="7513" w:type="dxa"/>
            <w:tcBorders>
              <w:bottom w:val="single" w:sz="4" w:space="0" w:color="auto"/>
            </w:tcBorders>
            <w:shd w:val="clear" w:color="auto" w:fill="FFFFFF" w:themeFill="background1"/>
          </w:tcPr>
          <w:p w:rsidR="007E2279" w:rsidRPr="007E2279" w:rsidRDefault="007E2279" w:rsidP="00992AC4">
            <w:pPr>
              <w:rPr>
                <w:rFonts w:ascii="Times New Roman" w:hAnsi="Times New Roman" w:cs="Times New Roman"/>
                <w:lang w:val="en-US"/>
              </w:rPr>
            </w:pPr>
            <w:r w:rsidRPr="007E2279">
              <w:rPr>
                <w:rFonts w:ascii="Times New Roman" w:hAnsi="Times New Roman" w:cs="Times New Roman"/>
                <w:lang w:val="en-US"/>
              </w:rPr>
              <w:t>SIWG members to submit comments on TOC</w:t>
            </w:r>
          </w:p>
          <w:p w:rsidR="007E2279" w:rsidRPr="007E2279" w:rsidRDefault="007E2279" w:rsidP="00992AC4">
            <w:pPr>
              <w:rPr>
                <w:rFonts w:ascii="Times New Roman" w:hAnsi="Times New Roman" w:cs="Times New Roman"/>
                <w:b/>
                <w:lang w:val="en-US"/>
              </w:rPr>
            </w:pPr>
          </w:p>
        </w:tc>
      </w:tr>
      <w:tr w:rsidR="007E2279" w:rsidRPr="00984FFE" w:rsidTr="00992AC4">
        <w:trPr>
          <w:trHeight w:val="333"/>
        </w:trPr>
        <w:tc>
          <w:tcPr>
            <w:tcW w:w="3085" w:type="dxa"/>
            <w:shd w:val="clear" w:color="auto" w:fill="D6E3BC" w:themeFill="accent3" w:themeFillTint="66"/>
          </w:tcPr>
          <w:p w:rsidR="007E2279" w:rsidRPr="0050364B" w:rsidRDefault="007E2279" w:rsidP="00992AC4">
            <w:pPr>
              <w:rPr>
                <w:rFonts w:ascii="Times New Roman" w:hAnsi="Times New Roman" w:cs="Times New Roman"/>
                <w:b/>
              </w:rPr>
            </w:pPr>
            <w:r w:rsidRPr="0050364B">
              <w:rPr>
                <w:rFonts w:ascii="Times New Roman" w:hAnsi="Times New Roman" w:cs="Times New Roman"/>
                <w:b/>
              </w:rPr>
              <w:t>Week of February 12, 2018</w:t>
            </w:r>
          </w:p>
        </w:tc>
        <w:tc>
          <w:tcPr>
            <w:tcW w:w="7513" w:type="dxa"/>
            <w:shd w:val="clear" w:color="auto" w:fill="D6E3BC" w:themeFill="accent3" w:themeFillTint="66"/>
          </w:tcPr>
          <w:p w:rsidR="007E2279" w:rsidRPr="007E2279" w:rsidRDefault="007E2279" w:rsidP="00992AC4">
            <w:pPr>
              <w:rPr>
                <w:rFonts w:ascii="Times New Roman" w:hAnsi="Times New Roman" w:cs="Times New Roman"/>
                <w:b/>
                <w:lang w:val="en-US"/>
              </w:rPr>
            </w:pPr>
            <w:r w:rsidRPr="007E2279">
              <w:rPr>
                <w:rFonts w:ascii="Times New Roman" w:hAnsi="Times New Roman" w:cs="Times New Roman"/>
                <w:b/>
                <w:lang w:val="en-US"/>
              </w:rPr>
              <w:t>Conference call of the SIWG (</w:t>
            </w:r>
            <w:r w:rsidRPr="007E2279">
              <w:rPr>
                <w:rFonts w:ascii="Times New Roman" w:hAnsi="Times New Roman" w:cs="Times New Roman"/>
                <w:b/>
                <w:i/>
                <w:lang w:val="en-US"/>
              </w:rPr>
              <w:t>1 hour</w:t>
            </w:r>
            <w:r w:rsidRPr="007E2279">
              <w:rPr>
                <w:rFonts w:ascii="Times New Roman" w:hAnsi="Times New Roman" w:cs="Times New Roman"/>
                <w:b/>
                <w:lang w:val="en-US"/>
              </w:rPr>
              <w:t>)</w:t>
            </w:r>
          </w:p>
          <w:p w:rsidR="007E2279" w:rsidRPr="007E2279" w:rsidRDefault="007E2279" w:rsidP="00992AC4">
            <w:pPr>
              <w:rPr>
                <w:rFonts w:ascii="Times New Roman" w:hAnsi="Times New Roman" w:cs="Times New Roman"/>
                <w:b/>
                <w:lang w:val="en-US"/>
              </w:rPr>
            </w:pPr>
          </w:p>
        </w:tc>
      </w:tr>
    </w:tbl>
    <w:p w:rsidR="007E2279" w:rsidRPr="007E2279" w:rsidRDefault="007E2279" w:rsidP="007E2279">
      <w:pPr>
        <w:rPr>
          <w:rFonts w:ascii="Times New Roman" w:hAnsi="Times New Roman" w:cs="Times New Roman"/>
          <w:b/>
          <w:sz w:val="24"/>
          <w:szCs w:val="24"/>
          <w:lang w:val="en-US"/>
        </w:rPr>
      </w:pPr>
    </w:p>
    <w:p w:rsidR="007E2279" w:rsidRPr="007E2279" w:rsidRDefault="007E2279" w:rsidP="007E2279">
      <w:pPr>
        <w:ind w:left="-142"/>
        <w:rPr>
          <w:rFonts w:ascii="Times New Roman" w:hAnsi="Times New Roman" w:cs="Times New Roman"/>
          <w:b/>
          <w:sz w:val="28"/>
          <w:szCs w:val="28"/>
          <w:lang w:val="en-US"/>
        </w:rPr>
      </w:pPr>
      <w:r w:rsidRPr="007E2279">
        <w:rPr>
          <w:rFonts w:ascii="Times New Roman" w:hAnsi="Times New Roman" w:cs="Times New Roman"/>
          <w:b/>
          <w:smallCaps/>
          <w:color w:val="002060"/>
          <w:sz w:val="28"/>
          <w:szCs w:val="28"/>
          <w:lang w:val="en-US"/>
        </w:rPr>
        <w:t xml:space="preserve">Development of the technical guidelines and consultations </w:t>
      </w:r>
    </w:p>
    <w:tbl>
      <w:tblPr>
        <w:tblpPr w:leftFromText="180" w:rightFromText="180" w:vertAnchor="text" w:horzAnchor="margin" w:tblpX="-34" w:tblpY="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843"/>
        <w:gridCol w:w="567"/>
        <w:gridCol w:w="1984"/>
        <w:gridCol w:w="1843"/>
        <w:gridCol w:w="709"/>
      </w:tblGrid>
      <w:tr w:rsidR="007E2279" w:rsidRPr="00984FFE" w:rsidTr="00992AC4">
        <w:trPr>
          <w:cantSplit/>
          <w:trHeight w:val="423"/>
        </w:trPr>
        <w:tc>
          <w:tcPr>
            <w:tcW w:w="1809" w:type="dxa"/>
            <w:vMerge w:val="restart"/>
            <w:shd w:val="clear" w:color="auto" w:fill="D9D9D9" w:themeFill="background1" w:themeFillShade="D9"/>
          </w:tcPr>
          <w:p w:rsidR="007E2279" w:rsidRPr="007E2279" w:rsidRDefault="007E2279" w:rsidP="00992AC4">
            <w:pPr>
              <w:rPr>
                <w:rFonts w:ascii="Times New Roman" w:hAnsi="Times New Roman"/>
                <w:b/>
                <w:lang w:val="en-US"/>
              </w:rPr>
            </w:pPr>
          </w:p>
          <w:p w:rsidR="007E2279" w:rsidRPr="000C1827" w:rsidRDefault="007E2279" w:rsidP="00992AC4">
            <w:pPr>
              <w:jc w:val="center"/>
              <w:rPr>
                <w:rFonts w:ascii="Times New Roman" w:hAnsi="Times New Roman"/>
                <w:b/>
              </w:rPr>
            </w:pPr>
            <w:r w:rsidRPr="000C1827">
              <w:rPr>
                <w:rFonts w:ascii="Times New Roman" w:hAnsi="Times New Roman"/>
                <w:b/>
              </w:rPr>
              <w:t>GUIDELINES</w:t>
            </w:r>
          </w:p>
        </w:tc>
        <w:tc>
          <w:tcPr>
            <w:tcW w:w="3686" w:type="dxa"/>
            <w:gridSpan w:val="2"/>
            <w:tcBorders>
              <w:left w:val="single" w:sz="12" w:space="0" w:color="auto"/>
              <w:bottom w:val="single" w:sz="4" w:space="0" w:color="auto"/>
              <w:right w:val="single" w:sz="4" w:space="0" w:color="auto"/>
            </w:tcBorders>
            <w:shd w:val="clear" w:color="auto" w:fill="DAEEF3" w:themeFill="accent5" w:themeFillTint="33"/>
          </w:tcPr>
          <w:p w:rsidR="007E2279" w:rsidRPr="000C1827" w:rsidRDefault="007E2279" w:rsidP="00992AC4">
            <w:pPr>
              <w:jc w:val="center"/>
              <w:rPr>
                <w:rFonts w:ascii="Times New Roman" w:hAnsi="Times New Roman"/>
                <w:b/>
              </w:rPr>
            </w:pPr>
            <w:r>
              <w:rPr>
                <w:rFonts w:ascii="Times New Roman" w:hAnsi="Times New Roman"/>
                <w:b/>
              </w:rPr>
              <w:t>ACTIVITY</w:t>
            </w:r>
          </w:p>
        </w:tc>
        <w:tc>
          <w:tcPr>
            <w:tcW w:w="567" w:type="dxa"/>
            <w:vMerge w:val="restart"/>
            <w:tcBorders>
              <w:left w:val="single" w:sz="4" w:space="0" w:color="auto"/>
              <w:right w:val="single" w:sz="4" w:space="0" w:color="auto"/>
            </w:tcBorders>
            <w:shd w:val="clear" w:color="auto" w:fill="D6E3BC" w:themeFill="accent3" w:themeFillTint="66"/>
            <w:textDirection w:val="btLr"/>
          </w:tcPr>
          <w:p w:rsidR="007E2279" w:rsidRPr="000C1827" w:rsidRDefault="007E2279" w:rsidP="00992AC4">
            <w:pPr>
              <w:ind w:left="113" w:right="113"/>
              <w:jc w:val="center"/>
              <w:rPr>
                <w:rFonts w:ascii="Times New Roman" w:hAnsi="Times New Roman"/>
                <w:b/>
              </w:rPr>
            </w:pPr>
            <w:r>
              <w:rPr>
                <w:rFonts w:ascii="Times New Roman" w:hAnsi="Times New Roman"/>
                <w:b/>
              </w:rPr>
              <w:t>Conference call (May 23</w:t>
            </w:r>
            <w:r w:rsidRPr="00592318">
              <w:rPr>
                <w:rFonts w:ascii="Times New Roman" w:hAnsi="Times New Roman"/>
                <w:b/>
              </w:rPr>
              <w:t>, 2018)</w:t>
            </w:r>
          </w:p>
        </w:tc>
        <w:tc>
          <w:tcPr>
            <w:tcW w:w="3827" w:type="dxa"/>
            <w:gridSpan w:val="2"/>
            <w:tcBorders>
              <w:left w:val="single" w:sz="4" w:space="0" w:color="auto"/>
              <w:bottom w:val="single" w:sz="4" w:space="0" w:color="auto"/>
            </w:tcBorders>
            <w:shd w:val="clear" w:color="auto" w:fill="DAEEF3" w:themeFill="accent5" w:themeFillTint="33"/>
          </w:tcPr>
          <w:p w:rsidR="007E2279" w:rsidRPr="000C1827" w:rsidRDefault="007E2279" w:rsidP="00992AC4">
            <w:pPr>
              <w:jc w:val="center"/>
              <w:rPr>
                <w:rFonts w:ascii="Times New Roman" w:hAnsi="Times New Roman"/>
                <w:b/>
              </w:rPr>
            </w:pPr>
            <w:r>
              <w:rPr>
                <w:rFonts w:ascii="Times New Roman" w:hAnsi="Times New Roman"/>
                <w:b/>
              </w:rPr>
              <w:t>ACTIVITY</w:t>
            </w:r>
          </w:p>
        </w:tc>
        <w:tc>
          <w:tcPr>
            <w:tcW w:w="709" w:type="dxa"/>
            <w:vMerge w:val="restart"/>
            <w:tcBorders>
              <w:left w:val="single" w:sz="4" w:space="0" w:color="auto"/>
            </w:tcBorders>
            <w:shd w:val="clear" w:color="auto" w:fill="D6E3BC" w:themeFill="accent3" w:themeFillTint="66"/>
            <w:textDirection w:val="btLr"/>
          </w:tcPr>
          <w:p w:rsidR="007E2279" w:rsidRPr="007E2279" w:rsidRDefault="007E2279" w:rsidP="00992AC4">
            <w:pPr>
              <w:spacing w:after="0" w:line="240" w:lineRule="auto"/>
              <w:ind w:left="113" w:right="113"/>
              <w:jc w:val="center"/>
              <w:rPr>
                <w:rFonts w:ascii="Times New Roman" w:hAnsi="Times New Roman"/>
                <w:b/>
                <w:lang w:val="en-US"/>
              </w:rPr>
            </w:pPr>
            <w:r w:rsidRPr="007E2279">
              <w:rPr>
                <w:rFonts w:ascii="Times New Roman" w:hAnsi="Times New Roman"/>
                <w:b/>
                <w:lang w:val="en-US"/>
              </w:rPr>
              <w:t xml:space="preserve">Conference call prior OEWG-11  </w:t>
            </w:r>
          </w:p>
          <w:p w:rsidR="007E2279" w:rsidRPr="007E2279" w:rsidRDefault="007E2279" w:rsidP="00992AC4">
            <w:pPr>
              <w:spacing w:after="0" w:line="240" w:lineRule="auto"/>
              <w:ind w:left="113" w:right="113"/>
              <w:jc w:val="center"/>
              <w:rPr>
                <w:rFonts w:ascii="Times New Roman" w:hAnsi="Times New Roman"/>
                <w:b/>
                <w:lang w:val="en-US"/>
              </w:rPr>
            </w:pPr>
            <w:r w:rsidRPr="007E2279">
              <w:rPr>
                <w:rFonts w:ascii="Times New Roman" w:hAnsi="Times New Roman"/>
                <w:b/>
                <w:lang w:val="en-US"/>
              </w:rPr>
              <w:t>(</w:t>
            </w:r>
            <w:r w:rsidRPr="007E2279">
              <w:rPr>
                <w:rFonts w:ascii="Times New Roman" w:hAnsi="Times New Roman"/>
                <w:b/>
                <w:i/>
                <w:lang w:val="en-US"/>
              </w:rPr>
              <w:t>If needed</w:t>
            </w:r>
            <w:r w:rsidRPr="007E2279">
              <w:rPr>
                <w:rFonts w:ascii="Times New Roman" w:hAnsi="Times New Roman"/>
                <w:b/>
                <w:lang w:val="en-US"/>
              </w:rPr>
              <w:t>)</w:t>
            </w:r>
          </w:p>
        </w:tc>
      </w:tr>
      <w:tr w:rsidR="007E2279" w:rsidRPr="00B23CEF" w:rsidTr="00992AC4">
        <w:trPr>
          <w:cantSplit/>
          <w:trHeight w:val="383"/>
        </w:trPr>
        <w:tc>
          <w:tcPr>
            <w:tcW w:w="1809" w:type="dxa"/>
            <w:vMerge/>
            <w:tcBorders>
              <w:bottom w:val="single" w:sz="4" w:space="0" w:color="auto"/>
            </w:tcBorders>
            <w:shd w:val="clear" w:color="auto" w:fill="D9D9D9" w:themeFill="background1" w:themeFillShade="D9"/>
          </w:tcPr>
          <w:p w:rsidR="007E2279" w:rsidRPr="007E2279" w:rsidRDefault="007E2279" w:rsidP="00992AC4">
            <w:pPr>
              <w:rPr>
                <w:rFonts w:ascii="Times New Roman" w:hAnsi="Times New Roman"/>
                <w:b/>
                <w:lang w:val="en-US"/>
              </w:rPr>
            </w:pPr>
          </w:p>
        </w:tc>
        <w:tc>
          <w:tcPr>
            <w:tcW w:w="1843" w:type="dxa"/>
            <w:tcBorders>
              <w:left w:val="single" w:sz="12" w:space="0" w:color="auto"/>
              <w:right w:val="single" w:sz="4" w:space="0" w:color="auto"/>
            </w:tcBorders>
            <w:shd w:val="clear" w:color="auto" w:fill="DAEEF3" w:themeFill="accent5" w:themeFillTint="33"/>
          </w:tcPr>
          <w:p w:rsidR="007E2279" w:rsidRPr="000C1827" w:rsidRDefault="007E2279" w:rsidP="00992AC4">
            <w:pPr>
              <w:spacing w:after="0" w:line="240" w:lineRule="auto"/>
              <w:jc w:val="center"/>
              <w:rPr>
                <w:rFonts w:ascii="Times New Roman" w:hAnsi="Times New Roman"/>
                <w:b/>
              </w:rPr>
            </w:pPr>
            <w:r w:rsidRPr="000C1827">
              <w:rPr>
                <w:rFonts w:ascii="Times New Roman" w:hAnsi="Times New Roman"/>
                <w:b/>
              </w:rPr>
              <w:t>Send draft to SIWG</w:t>
            </w:r>
          </w:p>
        </w:tc>
        <w:tc>
          <w:tcPr>
            <w:tcW w:w="1843" w:type="dxa"/>
            <w:tcBorders>
              <w:left w:val="single" w:sz="4" w:space="0" w:color="auto"/>
              <w:right w:val="single" w:sz="4" w:space="0" w:color="auto"/>
            </w:tcBorders>
            <w:shd w:val="clear" w:color="auto" w:fill="DAEEF3" w:themeFill="accent5" w:themeFillTint="33"/>
          </w:tcPr>
          <w:p w:rsidR="007E2279" w:rsidRDefault="007E2279" w:rsidP="00992AC4">
            <w:pPr>
              <w:spacing w:after="0" w:line="240" w:lineRule="auto"/>
              <w:jc w:val="center"/>
              <w:rPr>
                <w:rFonts w:ascii="Times New Roman" w:hAnsi="Times New Roman"/>
                <w:b/>
              </w:rPr>
            </w:pPr>
            <w:r w:rsidRPr="000C1827">
              <w:rPr>
                <w:rFonts w:ascii="Times New Roman" w:hAnsi="Times New Roman"/>
                <w:b/>
              </w:rPr>
              <w:t xml:space="preserve">SIWG </w:t>
            </w:r>
          </w:p>
          <w:p w:rsidR="007E2279" w:rsidRPr="000C1827" w:rsidRDefault="007E2279" w:rsidP="00992AC4">
            <w:pPr>
              <w:spacing w:after="0" w:line="240" w:lineRule="auto"/>
              <w:jc w:val="center"/>
              <w:rPr>
                <w:rFonts w:ascii="Times New Roman" w:hAnsi="Times New Roman"/>
                <w:b/>
              </w:rPr>
            </w:pPr>
            <w:r w:rsidRPr="000C1827">
              <w:rPr>
                <w:rFonts w:ascii="Times New Roman" w:hAnsi="Times New Roman"/>
                <w:b/>
              </w:rPr>
              <w:t>comments</w:t>
            </w:r>
          </w:p>
        </w:tc>
        <w:tc>
          <w:tcPr>
            <w:tcW w:w="567" w:type="dxa"/>
            <w:vMerge/>
            <w:tcBorders>
              <w:left w:val="single" w:sz="4" w:space="0" w:color="auto"/>
              <w:right w:val="single" w:sz="4" w:space="0" w:color="auto"/>
            </w:tcBorders>
            <w:shd w:val="clear" w:color="auto" w:fill="D6E3BC" w:themeFill="accent3" w:themeFillTint="66"/>
          </w:tcPr>
          <w:p w:rsidR="007E2279" w:rsidRPr="000C1827" w:rsidRDefault="007E2279" w:rsidP="00992AC4">
            <w:pPr>
              <w:spacing w:after="0" w:line="240" w:lineRule="auto"/>
              <w:jc w:val="center"/>
              <w:rPr>
                <w:rFonts w:ascii="Times New Roman" w:hAnsi="Times New Roman"/>
                <w:b/>
              </w:rPr>
            </w:pPr>
          </w:p>
        </w:tc>
        <w:tc>
          <w:tcPr>
            <w:tcW w:w="1984" w:type="dxa"/>
            <w:tcBorders>
              <w:left w:val="single" w:sz="4" w:space="0" w:color="auto"/>
              <w:right w:val="single" w:sz="4" w:space="0" w:color="auto"/>
            </w:tcBorders>
            <w:shd w:val="clear" w:color="auto" w:fill="DAEEF3" w:themeFill="accent5" w:themeFillTint="33"/>
          </w:tcPr>
          <w:p w:rsidR="007E2279" w:rsidRPr="007E2279" w:rsidRDefault="007E2279" w:rsidP="00992AC4">
            <w:pPr>
              <w:spacing w:after="0" w:line="240" w:lineRule="auto"/>
              <w:jc w:val="center"/>
              <w:rPr>
                <w:rFonts w:ascii="Times New Roman" w:hAnsi="Times New Roman"/>
                <w:b/>
                <w:lang w:val="en-US"/>
              </w:rPr>
            </w:pPr>
            <w:r w:rsidRPr="007E2279">
              <w:rPr>
                <w:rFonts w:ascii="Times New Roman" w:hAnsi="Times New Roman"/>
                <w:b/>
                <w:lang w:val="en-US"/>
              </w:rPr>
              <w:t>Guidelines posted on website (INF for OEWG-11)</w:t>
            </w:r>
          </w:p>
        </w:tc>
        <w:tc>
          <w:tcPr>
            <w:tcW w:w="1843" w:type="dxa"/>
            <w:tcBorders>
              <w:left w:val="single" w:sz="4" w:space="0" w:color="auto"/>
              <w:right w:val="single" w:sz="12" w:space="0" w:color="auto"/>
            </w:tcBorders>
            <w:shd w:val="clear" w:color="auto" w:fill="DAEEF3" w:themeFill="accent5" w:themeFillTint="33"/>
          </w:tcPr>
          <w:p w:rsidR="007E2279" w:rsidRPr="00B23CEF" w:rsidRDefault="007E2279" w:rsidP="00992AC4">
            <w:pPr>
              <w:spacing w:after="0" w:line="240" w:lineRule="auto"/>
              <w:jc w:val="center"/>
              <w:rPr>
                <w:rFonts w:ascii="Times New Roman" w:hAnsi="Times New Roman"/>
                <w:b/>
                <w:lang w:val="en-US"/>
              </w:rPr>
            </w:pPr>
            <w:r w:rsidRPr="00B23CEF">
              <w:rPr>
                <w:rFonts w:ascii="Times New Roman" w:hAnsi="Times New Roman"/>
                <w:b/>
                <w:lang w:val="en-US"/>
              </w:rPr>
              <w:t>Reception of Basel Parties’ comments</w:t>
            </w:r>
          </w:p>
        </w:tc>
        <w:tc>
          <w:tcPr>
            <w:tcW w:w="709" w:type="dxa"/>
            <w:vMerge/>
            <w:tcBorders>
              <w:left w:val="single" w:sz="4" w:space="0" w:color="auto"/>
            </w:tcBorders>
            <w:shd w:val="clear" w:color="auto" w:fill="D6E3BC" w:themeFill="accent3" w:themeFillTint="66"/>
          </w:tcPr>
          <w:p w:rsidR="007E2279" w:rsidRPr="00B23CEF" w:rsidRDefault="007E2279" w:rsidP="00992AC4">
            <w:pPr>
              <w:spacing w:after="0" w:line="240" w:lineRule="auto"/>
              <w:jc w:val="center"/>
              <w:rPr>
                <w:rFonts w:ascii="Times New Roman" w:hAnsi="Times New Roman"/>
                <w:b/>
                <w:lang w:val="en-US"/>
              </w:rPr>
            </w:pPr>
          </w:p>
        </w:tc>
      </w:tr>
      <w:tr w:rsidR="007E2279" w:rsidRPr="000C1827" w:rsidTr="00992AC4">
        <w:trPr>
          <w:trHeight w:val="342"/>
        </w:trPr>
        <w:tc>
          <w:tcPr>
            <w:tcW w:w="1809" w:type="dxa"/>
            <w:tcBorders>
              <w:bottom w:val="single" w:sz="18" w:space="0" w:color="1F497D" w:themeColor="text2"/>
            </w:tcBorders>
            <w:shd w:val="clear" w:color="auto" w:fill="FFFFFF" w:themeFill="background1"/>
          </w:tcPr>
          <w:p w:rsidR="007E2279" w:rsidRPr="000C1827" w:rsidRDefault="007E2279" w:rsidP="00992AC4">
            <w:pPr>
              <w:rPr>
                <w:rFonts w:ascii="Times New Roman" w:hAnsi="Times New Roman"/>
                <w:b/>
              </w:rPr>
            </w:pPr>
            <w:r w:rsidRPr="000C1827">
              <w:rPr>
                <w:rFonts w:ascii="Times New Roman" w:hAnsi="Times New Roman"/>
                <w:b/>
              </w:rPr>
              <w:t>Specially Engineered Landfill (D5)</w:t>
            </w:r>
          </w:p>
        </w:tc>
        <w:tc>
          <w:tcPr>
            <w:tcW w:w="1843" w:type="dxa"/>
            <w:tcBorders>
              <w:left w:val="single" w:sz="12" w:space="0" w:color="auto"/>
              <w:bottom w:val="single" w:sz="18" w:space="0" w:color="1F497D" w:themeColor="text2"/>
              <w:right w:val="single" w:sz="4" w:space="0" w:color="auto"/>
            </w:tcBorders>
            <w:shd w:val="clear" w:color="auto" w:fill="auto"/>
          </w:tcPr>
          <w:p w:rsidR="007E2279" w:rsidRPr="000C1827" w:rsidRDefault="007E2279" w:rsidP="00992AC4">
            <w:pPr>
              <w:rPr>
                <w:rFonts w:ascii="Times New Roman" w:hAnsi="Times New Roman"/>
              </w:rPr>
            </w:pPr>
            <w:r>
              <w:rPr>
                <w:rFonts w:ascii="Times New Roman" w:hAnsi="Times New Roman"/>
              </w:rPr>
              <w:t>April 5</w:t>
            </w:r>
            <w:r w:rsidRPr="000C1827">
              <w:rPr>
                <w:rFonts w:ascii="Times New Roman" w:hAnsi="Times New Roman"/>
              </w:rPr>
              <w:t>, 2018</w:t>
            </w:r>
          </w:p>
        </w:tc>
        <w:tc>
          <w:tcPr>
            <w:tcW w:w="1843" w:type="dxa"/>
            <w:tcBorders>
              <w:left w:val="single" w:sz="4" w:space="0" w:color="auto"/>
              <w:bottom w:val="single" w:sz="18" w:space="0" w:color="1F497D" w:themeColor="text2"/>
              <w:right w:val="single" w:sz="4" w:space="0" w:color="auto"/>
            </w:tcBorders>
            <w:shd w:val="clear" w:color="auto" w:fill="auto"/>
          </w:tcPr>
          <w:p w:rsidR="007E2279" w:rsidRPr="000C1827" w:rsidRDefault="007E2279" w:rsidP="00992AC4">
            <w:pPr>
              <w:rPr>
                <w:rFonts w:ascii="Times New Roman" w:hAnsi="Times New Roman"/>
              </w:rPr>
            </w:pPr>
            <w:r w:rsidRPr="000C1827">
              <w:rPr>
                <w:rFonts w:ascii="Times New Roman" w:hAnsi="Times New Roman" w:cs="Times New Roman"/>
              </w:rPr>
              <w:t xml:space="preserve">May </w:t>
            </w:r>
            <w:r>
              <w:rPr>
                <w:rFonts w:ascii="Times New Roman" w:hAnsi="Times New Roman" w:cs="Times New Roman"/>
              </w:rPr>
              <w:t>8</w:t>
            </w:r>
            <w:r w:rsidRPr="000C1827">
              <w:rPr>
                <w:rFonts w:ascii="Times New Roman" w:hAnsi="Times New Roman" w:cs="Times New Roman"/>
              </w:rPr>
              <w:t>, 2018</w:t>
            </w:r>
          </w:p>
        </w:tc>
        <w:tc>
          <w:tcPr>
            <w:tcW w:w="567" w:type="dxa"/>
            <w:vMerge/>
            <w:tcBorders>
              <w:left w:val="single" w:sz="4" w:space="0" w:color="auto"/>
              <w:right w:val="single" w:sz="4" w:space="0" w:color="auto"/>
            </w:tcBorders>
            <w:shd w:val="clear" w:color="auto" w:fill="D6E3BC" w:themeFill="accent3" w:themeFillTint="66"/>
          </w:tcPr>
          <w:p w:rsidR="007E2279" w:rsidRPr="000C1827" w:rsidRDefault="007E2279" w:rsidP="00992AC4">
            <w:pPr>
              <w:rPr>
                <w:rFonts w:ascii="Times New Roman" w:hAnsi="Times New Roman"/>
              </w:rPr>
            </w:pPr>
          </w:p>
        </w:tc>
        <w:tc>
          <w:tcPr>
            <w:tcW w:w="1984" w:type="dxa"/>
            <w:tcBorders>
              <w:left w:val="single" w:sz="4" w:space="0" w:color="auto"/>
              <w:bottom w:val="single" w:sz="18" w:space="0" w:color="1F497D" w:themeColor="text2"/>
              <w:right w:val="single" w:sz="12" w:space="0" w:color="548DD4"/>
            </w:tcBorders>
            <w:shd w:val="clear" w:color="auto" w:fill="auto"/>
          </w:tcPr>
          <w:p w:rsidR="007E2279" w:rsidRPr="000C1827" w:rsidRDefault="007E2279" w:rsidP="00992AC4">
            <w:pPr>
              <w:rPr>
                <w:rFonts w:ascii="Times New Roman" w:hAnsi="Times New Roman"/>
              </w:rPr>
            </w:pPr>
            <w:r w:rsidRPr="000C1827">
              <w:rPr>
                <w:rFonts w:ascii="Times New Roman" w:hAnsi="Times New Roman"/>
              </w:rPr>
              <w:t xml:space="preserve">June </w:t>
            </w:r>
            <w:r>
              <w:rPr>
                <w:rFonts w:ascii="Times New Roman" w:hAnsi="Times New Roman"/>
              </w:rPr>
              <w:t>7</w:t>
            </w:r>
            <w:r w:rsidRPr="000C1827">
              <w:rPr>
                <w:rFonts w:ascii="Times New Roman" w:hAnsi="Times New Roman"/>
              </w:rPr>
              <w:t>, 2018</w:t>
            </w:r>
          </w:p>
        </w:tc>
        <w:tc>
          <w:tcPr>
            <w:tcW w:w="1843" w:type="dxa"/>
            <w:tcBorders>
              <w:left w:val="single" w:sz="12" w:space="0" w:color="548DD4"/>
              <w:bottom w:val="single" w:sz="18" w:space="0" w:color="1F497D" w:themeColor="text2"/>
              <w:right w:val="single" w:sz="4" w:space="0" w:color="auto"/>
            </w:tcBorders>
            <w:shd w:val="clear" w:color="auto" w:fill="auto"/>
          </w:tcPr>
          <w:p w:rsidR="007E2279" w:rsidRPr="000C1827" w:rsidRDefault="007E2279" w:rsidP="00992AC4">
            <w:pPr>
              <w:rPr>
                <w:rFonts w:ascii="Times New Roman" w:hAnsi="Times New Roman"/>
              </w:rPr>
            </w:pPr>
            <w:r w:rsidRPr="000C1827">
              <w:rPr>
                <w:rFonts w:ascii="Times New Roman" w:hAnsi="Times New Roman"/>
              </w:rPr>
              <w:t xml:space="preserve">July </w:t>
            </w:r>
            <w:r>
              <w:rPr>
                <w:rFonts w:ascii="Times New Roman" w:hAnsi="Times New Roman"/>
              </w:rPr>
              <w:t>12</w:t>
            </w:r>
            <w:r w:rsidRPr="000C1827">
              <w:rPr>
                <w:rFonts w:ascii="Times New Roman" w:hAnsi="Times New Roman"/>
              </w:rPr>
              <w:t>, 2018</w:t>
            </w:r>
          </w:p>
        </w:tc>
        <w:tc>
          <w:tcPr>
            <w:tcW w:w="709" w:type="dxa"/>
            <w:vMerge/>
            <w:tcBorders>
              <w:left w:val="single" w:sz="4" w:space="0" w:color="auto"/>
            </w:tcBorders>
            <w:shd w:val="clear" w:color="auto" w:fill="D6E3BC" w:themeFill="accent3" w:themeFillTint="66"/>
          </w:tcPr>
          <w:p w:rsidR="007E2279" w:rsidRPr="000C1827" w:rsidRDefault="007E2279" w:rsidP="00992AC4">
            <w:pPr>
              <w:spacing w:after="0" w:line="240" w:lineRule="auto"/>
              <w:rPr>
                <w:rFonts w:ascii="Times New Roman" w:hAnsi="Times New Roman"/>
              </w:rPr>
            </w:pPr>
          </w:p>
        </w:tc>
      </w:tr>
      <w:tr w:rsidR="007E2279" w:rsidRPr="000C1827" w:rsidTr="00992AC4">
        <w:trPr>
          <w:trHeight w:val="365"/>
        </w:trPr>
        <w:tc>
          <w:tcPr>
            <w:tcW w:w="1809" w:type="dxa"/>
            <w:tcBorders>
              <w:top w:val="single" w:sz="18" w:space="0" w:color="1F497D" w:themeColor="text2"/>
            </w:tcBorders>
            <w:shd w:val="clear" w:color="auto" w:fill="FFFFFF" w:themeFill="background1"/>
          </w:tcPr>
          <w:p w:rsidR="007E2279" w:rsidRPr="000C1827" w:rsidRDefault="007E2279" w:rsidP="00992AC4">
            <w:pPr>
              <w:spacing w:after="0" w:line="240" w:lineRule="auto"/>
              <w:rPr>
                <w:rFonts w:ascii="Times New Roman" w:hAnsi="Times New Roman"/>
                <w:b/>
              </w:rPr>
            </w:pPr>
            <w:r w:rsidRPr="000C1827">
              <w:rPr>
                <w:rFonts w:ascii="Times New Roman" w:hAnsi="Times New Roman"/>
                <w:b/>
              </w:rPr>
              <w:t>Incineration on land</w:t>
            </w:r>
            <w:r>
              <w:rPr>
                <w:rFonts w:ascii="Times New Roman" w:hAnsi="Times New Roman"/>
                <w:b/>
              </w:rPr>
              <w:t xml:space="preserve"> </w:t>
            </w:r>
            <w:r w:rsidRPr="000C1827">
              <w:rPr>
                <w:rFonts w:ascii="Times New Roman" w:hAnsi="Times New Roman"/>
                <w:b/>
              </w:rPr>
              <w:t>(D10)</w:t>
            </w:r>
          </w:p>
        </w:tc>
        <w:tc>
          <w:tcPr>
            <w:tcW w:w="1843" w:type="dxa"/>
            <w:tcBorders>
              <w:top w:val="single" w:sz="18" w:space="0" w:color="1F497D" w:themeColor="text2"/>
              <w:left w:val="single" w:sz="12" w:space="0" w:color="auto"/>
              <w:right w:val="single" w:sz="4" w:space="0" w:color="auto"/>
            </w:tcBorders>
            <w:shd w:val="clear" w:color="auto" w:fill="auto"/>
          </w:tcPr>
          <w:p w:rsidR="007E2279" w:rsidRPr="00592318" w:rsidRDefault="007E2279" w:rsidP="00992AC4">
            <w:pPr>
              <w:rPr>
                <w:rFonts w:ascii="Times New Roman" w:hAnsi="Times New Roman"/>
                <w:i/>
              </w:rPr>
            </w:pPr>
            <w:r w:rsidRPr="00592318">
              <w:rPr>
                <w:rFonts w:ascii="Times New Roman" w:hAnsi="Times New Roman"/>
                <w:i/>
              </w:rPr>
              <w:t>To be determined</w:t>
            </w:r>
          </w:p>
          <w:p w:rsidR="007E2279" w:rsidRPr="000C1827" w:rsidRDefault="007E2279" w:rsidP="00992AC4">
            <w:pPr>
              <w:jc w:val="center"/>
              <w:rPr>
                <w:rFonts w:ascii="Times New Roman" w:hAnsi="Times New Roman"/>
              </w:rPr>
            </w:pPr>
          </w:p>
        </w:tc>
        <w:tc>
          <w:tcPr>
            <w:tcW w:w="1843" w:type="dxa"/>
            <w:tcBorders>
              <w:top w:val="single" w:sz="18" w:space="0" w:color="1F497D" w:themeColor="text2"/>
              <w:left w:val="single" w:sz="4" w:space="0" w:color="auto"/>
              <w:right w:val="single" w:sz="4" w:space="0" w:color="auto"/>
            </w:tcBorders>
            <w:shd w:val="clear" w:color="auto" w:fill="auto"/>
          </w:tcPr>
          <w:p w:rsidR="007E2279" w:rsidRPr="00592318" w:rsidRDefault="007E2279" w:rsidP="00992AC4">
            <w:pPr>
              <w:rPr>
                <w:rFonts w:ascii="Times New Roman" w:hAnsi="Times New Roman"/>
                <w:i/>
              </w:rPr>
            </w:pPr>
            <w:r w:rsidRPr="00592318">
              <w:rPr>
                <w:rFonts w:ascii="Times New Roman" w:hAnsi="Times New Roman"/>
                <w:i/>
              </w:rPr>
              <w:t>To be determined</w:t>
            </w:r>
          </w:p>
          <w:p w:rsidR="007E2279" w:rsidRPr="000C1827" w:rsidRDefault="007E2279" w:rsidP="00992AC4">
            <w:pPr>
              <w:rPr>
                <w:rFonts w:ascii="Times New Roman" w:hAnsi="Times New Roman"/>
              </w:rPr>
            </w:pPr>
          </w:p>
          <w:p w:rsidR="007E2279" w:rsidRPr="000C1827" w:rsidRDefault="007E2279" w:rsidP="00992AC4">
            <w:pPr>
              <w:jc w:val="center"/>
              <w:rPr>
                <w:rFonts w:ascii="Times New Roman" w:hAnsi="Times New Roman"/>
              </w:rPr>
            </w:pPr>
          </w:p>
        </w:tc>
        <w:tc>
          <w:tcPr>
            <w:tcW w:w="567" w:type="dxa"/>
            <w:vMerge/>
            <w:tcBorders>
              <w:left w:val="single" w:sz="4" w:space="0" w:color="auto"/>
              <w:right w:val="single" w:sz="4" w:space="0" w:color="auto"/>
            </w:tcBorders>
            <w:shd w:val="clear" w:color="auto" w:fill="D6E3BC" w:themeFill="accent3" w:themeFillTint="66"/>
          </w:tcPr>
          <w:p w:rsidR="007E2279" w:rsidRPr="000C1827" w:rsidRDefault="007E2279" w:rsidP="00992AC4">
            <w:pPr>
              <w:rPr>
                <w:rFonts w:ascii="Times New Roman" w:hAnsi="Times New Roman"/>
              </w:rPr>
            </w:pPr>
          </w:p>
        </w:tc>
        <w:tc>
          <w:tcPr>
            <w:tcW w:w="1984" w:type="dxa"/>
            <w:tcBorders>
              <w:top w:val="single" w:sz="18" w:space="0" w:color="1F497D" w:themeColor="text2"/>
              <w:left w:val="single" w:sz="4" w:space="0" w:color="auto"/>
              <w:right w:val="single" w:sz="12" w:space="0" w:color="548DD4"/>
            </w:tcBorders>
            <w:shd w:val="clear" w:color="auto" w:fill="auto"/>
          </w:tcPr>
          <w:p w:rsidR="007E2279" w:rsidRPr="00592318" w:rsidRDefault="007E2279" w:rsidP="00992AC4">
            <w:pPr>
              <w:rPr>
                <w:rFonts w:ascii="Times New Roman" w:hAnsi="Times New Roman"/>
                <w:i/>
              </w:rPr>
            </w:pPr>
            <w:r w:rsidRPr="00592318">
              <w:rPr>
                <w:rFonts w:ascii="Times New Roman" w:hAnsi="Times New Roman"/>
                <w:i/>
              </w:rPr>
              <w:t>To be determined</w:t>
            </w:r>
          </w:p>
          <w:p w:rsidR="007E2279" w:rsidRPr="000C1827" w:rsidRDefault="007E2279" w:rsidP="00992AC4">
            <w:pPr>
              <w:rPr>
                <w:rFonts w:ascii="Times New Roman" w:hAnsi="Times New Roman"/>
              </w:rPr>
            </w:pPr>
          </w:p>
        </w:tc>
        <w:tc>
          <w:tcPr>
            <w:tcW w:w="1843" w:type="dxa"/>
            <w:tcBorders>
              <w:top w:val="single" w:sz="18" w:space="0" w:color="1F497D" w:themeColor="text2"/>
              <w:left w:val="single" w:sz="12" w:space="0" w:color="548DD4"/>
              <w:right w:val="single" w:sz="4" w:space="0" w:color="auto"/>
            </w:tcBorders>
            <w:shd w:val="clear" w:color="auto" w:fill="auto"/>
          </w:tcPr>
          <w:p w:rsidR="007E2279" w:rsidRPr="00592318" w:rsidRDefault="007E2279" w:rsidP="00992AC4">
            <w:pPr>
              <w:rPr>
                <w:rFonts w:ascii="Times New Roman" w:hAnsi="Times New Roman"/>
                <w:i/>
              </w:rPr>
            </w:pPr>
            <w:r w:rsidRPr="00592318">
              <w:rPr>
                <w:rFonts w:ascii="Times New Roman" w:hAnsi="Times New Roman"/>
                <w:i/>
              </w:rPr>
              <w:t>To be determined</w:t>
            </w:r>
          </w:p>
          <w:p w:rsidR="007E2279" w:rsidRPr="000C1827" w:rsidRDefault="007E2279" w:rsidP="00992AC4">
            <w:pPr>
              <w:rPr>
                <w:rFonts w:ascii="Times New Roman" w:hAnsi="Times New Roman"/>
              </w:rPr>
            </w:pPr>
          </w:p>
        </w:tc>
        <w:tc>
          <w:tcPr>
            <w:tcW w:w="709" w:type="dxa"/>
            <w:vMerge/>
            <w:tcBorders>
              <w:left w:val="single" w:sz="4" w:space="0" w:color="auto"/>
            </w:tcBorders>
            <w:shd w:val="clear" w:color="auto" w:fill="D6E3BC" w:themeFill="accent3" w:themeFillTint="66"/>
          </w:tcPr>
          <w:p w:rsidR="007E2279" w:rsidRPr="000C1827" w:rsidRDefault="007E2279" w:rsidP="00992AC4">
            <w:pPr>
              <w:spacing w:after="0" w:line="240" w:lineRule="auto"/>
              <w:rPr>
                <w:rFonts w:ascii="Times New Roman" w:hAnsi="Times New Roman"/>
              </w:rPr>
            </w:pPr>
          </w:p>
        </w:tc>
      </w:tr>
    </w:tbl>
    <w:p w:rsidR="007E2279" w:rsidRPr="000C3031" w:rsidRDefault="007E2279" w:rsidP="007E2279">
      <w:pPr>
        <w:spacing w:after="0" w:line="240" w:lineRule="auto"/>
        <w:rPr>
          <w:rFonts w:ascii="Times New Roman" w:hAnsi="Times New Roman" w:cs="Times New Roman"/>
          <w:b/>
          <w:sz w:val="24"/>
          <w:szCs w:val="24"/>
        </w:rPr>
      </w:pPr>
    </w:p>
    <w:p w:rsidR="007E2279" w:rsidRPr="00CB1D83" w:rsidRDefault="007E2279" w:rsidP="000E77D4">
      <w:pPr>
        <w:pStyle w:val="ListParagraph"/>
        <w:rPr>
          <w:b/>
          <w:lang w:val="en-US"/>
        </w:rPr>
      </w:pPr>
    </w:p>
    <w:sectPr w:rsidR="007E2279" w:rsidRPr="00CB1D83" w:rsidSect="00FE6C05">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099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8B" w:rsidRDefault="00E4068B" w:rsidP="008972B9">
      <w:pPr>
        <w:spacing w:after="0" w:line="240" w:lineRule="auto"/>
      </w:pPr>
      <w:r>
        <w:separator/>
      </w:r>
    </w:p>
  </w:endnote>
  <w:endnote w:type="continuationSeparator" w:id="0">
    <w:p w:rsidR="00E4068B" w:rsidRDefault="00E4068B" w:rsidP="0089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76442"/>
      <w:docPartObj>
        <w:docPartGallery w:val="Page Numbers (Bottom of Page)"/>
        <w:docPartUnique/>
      </w:docPartObj>
    </w:sdtPr>
    <w:sdtEndPr>
      <w:rPr>
        <w:noProof/>
      </w:rPr>
    </w:sdtEndPr>
    <w:sdtContent>
      <w:p w:rsidR="00992AC4" w:rsidRDefault="00E4068B">
        <w:pPr>
          <w:pStyle w:val="Footer"/>
          <w:jc w:val="right"/>
        </w:pPr>
        <w:r>
          <w:fldChar w:fldCharType="begin"/>
        </w:r>
        <w:r>
          <w:instrText xml:space="preserve"> PAGE   \* MERGEFORMAT </w:instrText>
        </w:r>
        <w:r>
          <w:fldChar w:fldCharType="separate"/>
        </w:r>
        <w:r w:rsidR="00984FFE">
          <w:rPr>
            <w:noProof/>
          </w:rPr>
          <w:t>5</w:t>
        </w:r>
        <w:r>
          <w:rPr>
            <w:noProof/>
          </w:rPr>
          <w:fldChar w:fldCharType="end"/>
        </w:r>
      </w:p>
    </w:sdtContent>
  </w:sdt>
  <w:p w:rsidR="00992AC4" w:rsidRDefault="00992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8B" w:rsidRDefault="00E4068B" w:rsidP="008972B9">
      <w:pPr>
        <w:spacing w:after="0" w:line="240" w:lineRule="auto"/>
      </w:pPr>
      <w:r>
        <w:separator/>
      </w:r>
    </w:p>
  </w:footnote>
  <w:footnote w:type="continuationSeparator" w:id="0">
    <w:p w:rsidR="00E4068B" w:rsidRDefault="00E4068B" w:rsidP="00897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C4" w:rsidRDefault="00992AC4">
    <w:pPr>
      <w:pStyle w:val="Header"/>
      <w:jc w:val="right"/>
    </w:pPr>
  </w:p>
  <w:p w:rsidR="00992AC4" w:rsidRDefault="00992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E00"/>
    <w:multiLevelType w:val="hybridMultilevel"/>
    <w:tmpl w:val="BAC0C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55F10"/>
    <w:multiLevelType w:val="hybridMultilevel"/>
    <w:tmpl w:val="6ABAF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D74D6"/>
    <w:multiLevelType w:val="hybridMultilevel"/>
    <w:tmpl w:val="34CA75D0"/>
    <w:lvl w:ilvl="0" w:tplc="EFF65862">
      <w:start w:val="1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770F"/>
    <w:multiLevelType w:val="hybridMultilevel"/>
    <w:tmpl w:val="4C584F56"/>
    <w:lvl w:ilvl="0" w:tplc="B0F2AD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92F9C"/>
    <w:multiLevelType w:val="hybridMultilevel"/>
    <w:tmpl w:val="B66E1F3A"/>
    <w:lvl w:ilvl="0" w:tplc="67EEAB3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8B0B64"/>
    <w:multiLevelType w:val="hybridMultilevel"/>
    <w:tmpl w:val="5456B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4421D"/>
    <w:multiLevelType w:val="hybridMultilevel"/>
    <w:tmpl w:val="F67C7FDA"/>
    <w:lvl w:ilvl="0" w:tplc="9042B186">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12B1F"/>
    <w:multiLevelType w:val="hybridMultilevel"/>
    <w:tmpl w:val="7070190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7507F9"/>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9">
    <w:nsid w:val="149E243C"/>
    <w:multiLevelType w:val="hybridMultilevel"/>
    <w:tmpl w:val="AA56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06E86"/>
    <w:multiLevelType w:val="hybridMultilevel"/>
    <w:tmpl w:val="373A09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DF7461D"/>
    <w:multiLevelType w:val="hybridMultilevel"/>
    <w:tmpl w:val="C77ECEF2"/>
    <w:lvl w:ilvl="0" w:tplc="C15EA3B4">
      <w:start w:val="30"/>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1F0FB6"/>
    <w:multiLevelType w:val="hybridMultilevel"/>
    <w:tmpl w:val="1672522E"/>
    <w:lvl w:ilvl="0" w:tplc="45F8A22A">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A7D4413"/>
    <w:multiLevelType w:val="hybridMultilevel"/>
    <w:tmpl w:val="7B76D8A6"/>
    <w:lvl w:ilvl="0" w:tplc="243C7CD0">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C3586"/>
    <w:multiLevelType w:val="hybridMultilevel"/>
    <w:tmpl w:val="50F8A3B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5232D9"/>
    <w:multiLevelType w:val="hybridMultilevel"/>
    <w:tmpl w:val="38C2BE4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852F3E"/>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7">
    <w:nsid w:val="398F57D0"/>
    <w:multiLevelType w:val="hybridMultilevel"/>
    <w:tmpl w:val="10722502"/>
    <w:lvl w:ilvl="0" w:tplc="04090017">
      <w:start w:val="1"/>
      <w:numFmt w:val="lowerLetter"/>
      <w:lvlText w:val="%1)"/>
      <w:lvlJc w:val="left"/>
      <w:pPr>
        <w:ind w:left="291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074AB8"/>
    <w:multiLevelType w:val="hybridMultilevel"/>
    <w:tmpl w:val="BAC0C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E57CC7"/>
    <w:multiLevelType w:val="hybridMultilevel"/>
    <w:tmpl w:val="5456B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90421"/>
    <w:multiLevelType w:val="hybridMultilevel"/>
    <w:tmpl w:val="38C2BE4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584A49"/>
    <w:multiLevelType w:val="hybridMultilevel"/>
    <w:tmpl w:val="1B88A27E"/>
    <w:lvl w:ilvl="0" w:tplc="67EEA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F56D72"/>
    <w:multiLevelType w:val="hybridMultilevel"/>
    <w:tmpl w:val="D960C2A2"/>
    <w:lvl w:ilvl="0" w:tplc="DCD090FE">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CF16E1"/>
    <w:multiLevelType w:val="hybridMultilevel"/>
    <w:tmpl w:val="C060BE72"/>
    <w:lvl w:ilvl="0" w:tplc="0390E5E2">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EC46F7"/>
    <w:multiLevelType w:val="hybridMultilevel"/>
    <w:tmpl w:val="570E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0C5495D"/>
    <w:multiLevelType w:val="hybridMultilevel"/>
    <w:tmpl w:val="65CE2DDE"/>
    <w:lvl w:ilvl="0" w:tplc="36F48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A5B06"/>
    <w:multiLevelType w:val="hybridMultilevel"/>
    <w:tmpl w:val="6ABAF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E326C"/>
    <w:multiLevelType w:val="hybridMultilevel"/>
    <w:tmpl w:val="D144A41C"/>
    <w:lvl w:ilvl="0" w:tplc="45F8A22A">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1C44D8"/>
    <w:multiLevelType w:val="hybridMultilevel"/>
    <w:tmpl w:val="8916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D0A60"/>
    <w:multiLevelType w:val="hybridMultilevel"/>
    <w:tmpl w:val="765C1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8C66AE"/>
    <w:multiLevelType w:val="hybridMultilevel"/>
    <w:tmpl w:val="B7360522"/>
    <w:lvl w:ilvl="0" w:tplc="AB7E7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7B1CBE"/>
    <w:multiLevelType w:val="hybridMultilevel"/>
    <w:tmpl w:val="D640FF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256452"/>
    <w:multiLevelType w:val="hybridMultilevel"/>
    <w:tmpl w:val="0CEA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D01107"/>
    <w:multiLevelType w:val="hybridMultilevel"/>
    <w:tmpl w:val="92541686"/>
    <w:lvl w:ilvl="0" w:tplc="649C4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1A0622"/>
    <w:multiLevelType w:val="hybridMultilevel"/>
    <w:tmpl w:val="7070190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F6698F"/>
    <w:multiLevelType w:val="hybridMultilevel"/>
    <w:tmpl w:val="DEB0C482"/>
    <w:lvl w:ilvl="0" w:tplc="243C7CD0">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74453B"/>
    <w:multiLevelType w:val="hybridMultilevel"/>
    <w:tmpl w:val="6F36C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92019C7"/>
    <w:multiLevelType w:val="hybridMultilevel"/>
    <w:tmpl w:val="7070190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0"/>
  </w:num>
  <w:num w:numId="4">
    <w:abstractNumId w:val="12"/>
  </w:num>
  <w:num w:numId="5">
    <w:abstractNumId w:val="32"/>
  </w:num>
  <w:num w:numId="6">
    <w:abstractNumId w:val="4"/>
  </w:num>
  <w:num w:numId="7">
    <w:abstractNumId w:val="21"/>
  </w:num>
  <w:num w:numId="8">
    <w:abstractNumId w:val="9"/>
  </w:num>
  <w:num w:numId="9">
    <w:abstractNumId w:val="28"/>
  </w:num>
  <w:num w:numId="10">
    <w:abstractNumId w:val="22"/>
  </w:num>
  <w:num w:numId="11">
    <w:abstractNumId w:val="29"/>
  </w:num>
  <w:num w:numId="12">
    <w:abstractNumId w:val="23"/>
  </w:num>
  <w:num w:numId="13">
    <w:abstractNumId w:val="0"/>
  </w:num>
  <w:num w:numId="14">
    <w:abstractNumId w:val="18"/>
  </w:num>
  <w:num w:numId="15">
    <w:abstractNumId w:val="5"/>
  </w:num>
  <w:num w:numId="16">
    <w:abstractNumId w:val="19"/>
  </w:num>
  <w:num w:numId="17">
    <w:abstractNumId w:val="24"/>
  </w:num>
  <w:num w:numId="18">
    <w:abstractNumId w:val="33"/>
  </w:num>
  <w:num w:numId="19">
    <w:abstractNumId w:val="34"/>
  </w:num>
  <w:num w:numId="20">
    <w:abstractNumId w:val="20"/>
  </w:num>
  <w:num w:numId="21">
    <w:abstractNumId w:val="37"/>
  </w:num>
  <w:num w:numId="22">
    <w:abstractNumId w:val="7"/>
  </w:num>
  <w:num w:numId="23">
    <w:abstractNumId w:val="15"/>
  </w:num>
  <w:num w:numId="24">
    <w:abstractNumId w:val="26"/>
  </w:num>
  <w:num w:numId="25">
    <w:abstractNumId w:val="25"/>
  </w:num>
  <w:num w:numId="26">
    <w:abstractNumId w:val="30"/>
  </w:num>
  <w:num w:numId="27">
    <w:abstractNumId w:val="11"/>
  </w:num>
  <w:num w:numId="28">
    <w:abstractNumId w:val="2"/>
  </w:num>
  <w:num w:numId="29">
    <w:abstractNumId w:val="1"/>
  </w:num>
  <w:num w:numId="30">
    <w:abstractNumId w:val="31"/>
  </w:num>
  <w:num w:numId="31">
    <w:abstractNumId w:val="14"/>
  </w:num>
  <w:num w:numId="32">
    <w:abstractNumId w:val="17"/>
  </w:num>
  <w:num w:numId="33">
    <w:abstractNumId w:val="35"/>
  </w:num>
  <w:num w:numId="34">
    <w:abstractNumId w:val="16"/>
  </w:num>
  <w:num w:numId="35">
    <w:abstractNumId w:val="13"/>
  </w:num>
  <w:num w:numId="36">
    <w:abstractNumId w:val="6"/>
  </w:num>
  <w:num w:numId="37">
    <w:abstractNumId w:val="36"/>
  </w:num>
  <w:num w:numId="38">
    <w:abstractNumId w:val="8"/>
  </w:num>
  <w:num w:numId="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nst, Michael">
    <w15:presenceInfo w15:providerId="None" w15:userId="Ernst, 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63E7"/>
    <w:rsid w:val="00007D0E"/>
    <w:rsid w:val="00020B14"/>
    <w:rsid w:val="00023B0E"/>
    <w:rsid w:val="00024C7B"/>
    <w:rsid w:val="00026E9B"/>
    <w:rsid w:val="000335AE"/>
    <w:rsid w:val="000340C1"/>
    <w:rsid w:val="000465E4"/>
    <w:rsid w:val="00062702"/>
    <w:rsid w:val="00062F47"/>
    <w:rsid w:val="00063050"/>
    <w:rsid w:val="00072133"/>
    <w:rsid w:val="00081110"/>
    <w:rsid w:val="00086F77"/>
    <w:rsid w:val="0009082E"/>
    <w:rsid w:val="00093D15"/>
    <w:rsid w:val="0009401F"/>
    <w:rsid w:val="000A07DA"/>
    <w:rsid w:val="000B231F"/>
    <w:rsid w:val="000B501C"/>
    <w:rsid w:val="000B7BEA"/>
    <w:rsid w:val="000D7E64"/>
    <w:rsid w:val="000E0758"/>
    <w:rsid w:val="000E77D4"/>
    <w:rsid w:val="000F7E3D"/>
    <w:rsid w:val="0010349C"/>
    <w:rsid w:val="001105B1"/>
    <w:rsid w:val="001131CC"/>
    <w:rsid w:val="00120A75"/>
    <w:rsid w:val="00127256"/>
    <w:rsid w:val="001328C9"/>
    <w:rsid w:val="00134718"/>
    <w:rsid w:val="001438C5"/>
    <w:rsid w:val="00144EB3"/>
    <w:rsid w:val="0016516A"/>
    <w:rsid w:val="00184DE6"/>
    <w:rsid w:val="00187B15"/>
    <w:rsid w:val="001919DA"/>
    <w:rsid w:val="001A4D2C"/>
    <w:rsid w:val="001C11AC"/>
    <w:rsid w:val="001C4A08"/>
    <w:rsid w:val="001C5391"/>
    <w:rsid w:val="001D3641"/>
    <w:rsid w:val="001D6473"/>
    <w:rsid w:val="001F6BC5"/>
    <w:rsid w:val="001F7C94"/>
    <w:rsid w:val="002073D5"/>
    <w:rsid w:val="00214DE8"/>
    <w:rsid w:val="002168F2"/>
    <w:rsid w:val="00223FEB"/>
    <w:rsid w:val="002242B3"/>
    <w:rsid w:val="002314FA"/>
    <w:rsid w:val="002367FC"/>
    <w:rsid w:val="00242D80"/>
    <w:rsid w:val="002467B8"/>
    <w:rsid w:val="00251292"/>
    <w:rsid w:val="00251BA2"/>
    <w:rsid w:val="00253C3E"/>
    <w:rsid w:val="00261AF2"/>
    <w:rsid w:val="00270BAB"/>
    <w:rsid w:val="00276285"/>
    <w:rsid w:val="0029181D"/>
    <w:rsid w:val="00292CE0"/>
    <w:rsid w:val="00293E4C"/>
    <w:rsid w:val="002A617B"/>
    <w:rsid w:val="002B60D0"/>
    <w:rsid w:val="002C4314"/>
    <w:rsid w:val="002D1F8A"/>
    <w:rsid w:val="002D7F5E"/>
    <w:rsid w:val="002F7A5E"/>
    <w:rsid w:val="0030375B"/>
    <w:rsid w:val="00304F01"/>
    <w:rsid w:val="00310E4A"/>
    <w:rsid w:val="003149B4"/>
    <w:rsid w:val="00327D66"/>
    <w:rsid w:val="00330676"/>
    <w:rsid w:val="00333299"/>
    <w:rsid w:val="00344147"/>
    <w:rsid w:val="00344528"/>
    <w:rsid w:val="003451ED"/>
    <w:rsid w:val="00350D23"/>
    <w:rsid w:val="003567ED"/>
    <w:rsid w:val="003615F4"/>
    <w:rsid w:val="00361C82"/>
    <w:rsid w:val="0039734F"/>
    <w:rsid w:val="003A7D71"/>
    <w:rsid w:val="003B3EE7"/>
    <w:rsid w:val="003D50CA"/>
    <w:rsid w:val="003E458D"/>
    <w:rsid w:val="003F67A7"/>
    <w:rsid w:val="00401DE2"/>
    <w:rsid w:val="004340B3"/>
    <w:rsid w:val="004347E5"/>
    <w:rsid w:val="00436284"/>
    <w:rsid w:val="00452510"/>
    <w:rsid w:val="00452649"/>
    <w:rsid w:val="00464913"/>
    <w:rsid w:val="004745EF"/>
    <w:rsid w:val="00476F47"/>
    <w:rsid w:val="00493726"/>
    <w:rsid w:val="00496ABD"/>
    <w:rsid w:val="004C09B8"/>
    <w:rsid w:val="004C2142"/>
    <w:rsid w:val="004C3487"/>
    <w:rsid w:val="004D36CB"/>
    <w:rsid w:val="004D7668"/>
    <w:rsid w:val="004F157A"/>
    <w:rsid w:val="004F1E27"/>
    <w:rsid w:val="004F4987"/>
    <w:rsid w:val="004F5738"/>
    <w:rsid w:val="00502498"/>
    <w:rsid w:val="00512D15"/>
    <w:rsid w:val="005162C3"/>
    <w:rsid w:val="005268A0"/>
    <w:rsid w:val="005554E9"/>
    <w:rsid w:val="005633F2"/>
    <w:rsid w:val="00563A67"/>
    <w:rsid w:val="00575EE7"/>
    <w:rsid w:val="005853F3"/>
    <w:rsid w:val="00590618"/>
    <w:rsid w:val="005A5350"/>
    <w:rsid w:val="005A6B20"/>
    <w:rsid w:val="005C2C19"/>
    <w:rsid w:val="005D1392"/>
    <w:rsid w:val="005D7691"/>
    <w:rsid w:val="005F7B72"/>
    <w:rsid w:val="0060016E"/>
    <w:rsid w:val="00603C1C"/>
    <w:rsid w:val="00610FFB"/>
    <w:rsid w:val="00624AB2"/>
    <w:rsid w:val="00627236"/>
    <w:rsid w:val="006365A1"/>
    <w:rsid w:val="0064077C"/>
    <w:rsid w:val="0066219A"/>
    <w:rsid w:val="00662785"/>
    <w:rsid w:val="00676921"/>
    <w:rsid w:val="0068129B"/>
    <w:rsid w:val="00682F0F"/>
    <w:rsid w:val="006853DF"/>
    <w:rsid w:val="00692534"/>
    <w:rsid w:val="00693917"/>
    <w:rsid w:val="006A130F"/>
    <w:rsid w:val="006A224F"/>
    <w:rsid w:val="006A7D7A"/>
    <w:rsid w:val="006B078C"/>
    <w:rsid w:val="006B472E"/>
    <w:rsid w:val="006C21A0"/>
    <w:rsid w:val="006D30E8"/>
    <w:rsid w:val="006D4F50"/>
    <w:rsid w:val="006D6358"/>
    <w:rsid w:val="006D6FD0"/>
    <w:rsid w:val="006D7EC3"/>
    <w:rsid w:val="006E04AE"/>
    <w:rsid w:val="006E1806"/>
    <w:rsid w:val="006E2A5B"/>
    <w:rsid w:val="006F2B37"/>
    <w:rsid w:val="006F2EEF"/>
    <w:rsid w:val="00702647"/>
    <w:rsid w:val="007054C3"/>
    <w:rsid w:val="00711A05"/>
    <w:rsid w:val="007211C4"/>
    <w:rsid w:val="00725138"/>
    <w:rsid w:val="00727DF1"/>
    <w:rsid w:val="007329C8"/>
    <w:rsid w:val="00732D52"/>
    <w:rsid w:val="007334D4"/>
    <w:rsid w:val="00746CF7"/>
    <w:rsid w:val="007541C0"/>
    <w:rsid w:val="00754B37"/>
    <w:rsid w:val="0076496E"/>
    <w:rsid w:val="0078102D"/>
    <w:rsid w:val="00790A18"/>
    <w:rsid w:val="00792692"/>
    <w:rsid w:val="007B6BCC"/>
    <w:rsid w:val="007D02A8"/>
    <w:rsid w:val="007D793E"/>
    <w:rsid w:val="007E14E2"/>
    <w:rsid w:val="007E1D70"/>
    <w:rsid w:val="007E2279"/>
    <w:rsid w:val="007F66C7"/>
    <w:rsid w:val="00800985"/>
    <w:rsid w:val="008125B8"/>
    <w:rsid w:val="00872392"/>
    <w:rsid w:val="00884AAC"/>
    <w:rsid w:val="00887FE2"/>
    <w:rsid w:val="00892721"/>
    <w:rsid w:val="00895734"/>
    <w:rsid w:val="008963C3"/>
    <w:rsid w:val="008972B9"/>
    <w:rsid w:val="008A16B2"/>
    <w:rsid w:val="008B5CDD"/>
    <w:rsid w:val="008C0F44"/>
    <w:rsid w:val="008C1C64"/>
    <w:rsid w:val="008C2049"/>
    <w:rsid w:val="008D094A"/>
    <w:rsid w:val="008D53FB"/>
    <w:rsid w:val="008F73C7"/>
    <w:rsid w:val="008F7658"/>
    <w:rsid w:val="00900588"/>
    <w:rsid w:val="009043FA"/>
    <w:rsid w:val="009061C1"/>
    <w:rsid w:val="009127BA"/>
    <w:rsid w:val="00914B5A"/>
    <w:rsid w:val="00917B5E"/>
    <w:rsid w:val="009276A7"/>
    <w:rsid w:val="00936C51"/>
    <w:rsid w:val="00942A00"/>
    <w:rsid w:val="00943157"/>
    <w:rsid w:val="00944BE6"/>
    <w:rsid w:val="00946851"/>
    <w:rsid w:val="009567A2"/>
    <w:rsid w:val="009607C4"/>
    <w:rsid w:val="009710EA"/>
    <w:rsid w:val="00984FFE"/>
    <w:rsid w:val="0099133C"/>
    <w:rsid w:val="00992AC4"/>
    <w:rsid w:val="009A1AF1"/>
    <w:rsid w:val="009A25D0"/>
    <w:rsid w:val="009A3BC9"/>
    <w:rsid w:val="009A6603"/>
    <w:rsid w:val="009C13E3"/>
    <w:rsid w:val="009C14A7"/>
    <w:rsid w:val="009E006F"/>
    <w:rsid w:val="009F2F72"/>
    <w:rsid w:val="00A012DF"/>
    <w:rsid w:val="00A0266D"/>
    <w:rsid w:val="00A02F4F"/>
    <w:rsid w:val="00A359BF"/>
    <w:rsid w:val="00A408D7"/>
    <w:rsid w:val="00A47090"/>
    <w:rsid w:val="00A51F34"/>
    <w:rsid w:val="00A546C1"/>
    <w:rsid w:val="00A55249"/>
    <w:rsid w:val="00A562E5"/>
    <w:rsid w:val="00A56E04"/>
    <w:rsid w:val="00A70E30"/>
    <w:rsid w:val="00A732B3"/>
    <w:rsid w:val="00A73624"/>
    <w:rsid w:val="00A7440D"/>
    <w:rsid w:val="00A7707A"/>
    <w:rsid w:val="00A84412"/>
    <w:rsid w:val="00A90146"/>
    <w:rsid w:val="00AA00C8"/>
    <w:rsid w:val="00AC6CD1"/>
    <w:rsid w:val="00AD07D5"/>
    <w:rsid w:val="00AD5780"/>
    <w:rsid w:val="00AF1989"/>
    <w:rsid w:val="00AF2007"/>
    <w:rsid w:val="00AF209F"/>
    <w:rsid w:val="00AF2DD9"/>
    <w:rsid w:val="00AF61B4"/>
    <w:rsid w:val="00B04A57"/>
    <w:rsid w:val="00B057AF"/>
    <w:rsid w:val="00B0750C"/>
    <w:rsid w:val="00B07A63"/>
    <w:rsid w:val="00B230E4"/>
    <w:rsid w:val="00B236B0"/>
    <w:rsid w:val="00B23CEF"/>
    <w:rsid w:val="00B24475"/>
    <w:rsid w:val="00B311D6"/>
    <w:rsid w:val="00B31A24"/>
    <w:rsid w:val="00B52D15"/>
    <w:rsid w:val="00B64A86"/>
    <w:rsid w:val="00B65B38"/>
    <w:rsid w:val="00B71A9B"/>
    <w:rsid w:val="00B742B9"/>
    <w:rsid w:val="00B758BF"/>
    <w:rsid w:val="00B75DF5"/>
    <w:rsid w:val="00B777F8"/>
    <w:rsid w:val="00B82314"/>
    <w:rsid w:val="00B90608"/>
    <w:rsid w:val="00B90652"/>
    <w:rsid w:val="00B9144D"/>
    <w:rsid w:val="00B9228C"/>
    <w:rsid w:val="00BA2F85"/>
    <w:rsid w:val="00BA5CAF"/>
    <w:rsid w:val="00BB129E"/>
    <w:rsid w:val="00BB41E8"/>
    <w:rsid w:val="00BC1294"/>
    <w:rsid w:val="00BD23FB"/>
    <w:rsid w:val="00BE5C8E"/>
    <w:rsid w:val="00BF2594"/>
    <w:rsid w:val="00BF2D4E"/>
    <w:rsid w:val="00BF7A67"/>
    <w:rsid w:val="00C00007"/>
    <w:rsid w:val="00C1076E"/>
    <w:rsid w:val="00C10CAE"/>
    <w:rsid w:val="00C2019E"/>
    <w:rsid w:val="00C24346"/>
    <w:rsid w:val="00C27FD9"/>
    <w:rsid w:val="00C32EF5"/>
    <w:rsid w:val="00C34537"/>
    <w:rsid w:val="00C3459D"/>
    <w:rsid w:val="00C40E29"/>
    <w:rsid w:val="00C41259"/>
    <w:rsid w:val="00C529B6"/>
    <w:rsid w:val="00C54E70"/>
    <w:rsid w:val="00C57CAB"/>
    <w:rsid w:val="00C61328"/>
    <w:rsid w:val="00C66D39"/>
    <w:rsid w:val="00C70AD0"/>
    <w:rsid w:val="00C72687"/>
    <w:rsid w:val="00C72B5C"/>
    <w:rsid w:val="00C85572"/>
    <w:rsid w:val="00C9173B"/>
    <w:rsid w:val="00C947DB"/>
    <w:rsid w:val="00C94F02"/>
    <w:rsid w:val="00C95209"/>
    <w:rsid w:val="00C954C9"/>
    <w:rsid w:val="00C96BF9"/>
    <w:rsid w:val="00C97848"/>
    <w:rsid w:val="00CA21A5"/>
    <w:rsid w:val="00CA35B3"/>
    <w:rsid w:val="00CB0D96"/>
    <w:rsid w:val="00CB1D83"/>
    <w:rsid w:val="00CB30C6"/>
    <w:rsid w:val="00CB7847"/>
    <w:rsid w:val="00CC15C4"/>
    <w:rsid w:val="00CC3B66"/>
    <w:rsid w:val="00CC76B8"/>
    <w:rsid w:val="00CE0777"/>
    <w:rsid w:val="00CF24C8"/>
    <w:rsid w:val="00CF652E"/>
    <w:rsid w:val="00D01203"/>
    <w:rsid w:val="00D01F4C"/>
    <w:rsid w:val="00D0488B"/>
    <w:rsid w:val="00D2293A"/>
    <w:rsid w:val="00D23125"/>
    <w:rsid w:val="00D23D5D"/>
    <w:rsid w:val="00D57E5B"/>
    <w:rsid w:val="00D601B0"/>
    <w:rsid w:val="00D63AFE"/>
    <w:rsid w:val="00D6405B"/>
    <w:rsid w:val="00D64761"/>
    <w:rsid w:val="00D733FC"/>
    <w:rsid w:val="00D753A9"/>
    <w:rsid w:val="00D82BA0"/>
    <w:rsid w:val="00D87727"/>
    <w:rsid w:val="00D8782F"/>
    <w:rsid w:val="00D87A54"/>
    <w:rsid w:val="00D93DD0"/>
    <w:rsid w:val="00D95E51"/>
    <w:rsid w:val="00DB3528"/>
    <w:rsid w:val="00DB6C28"/>
    <w:rsid w:val="00DC452E"/>
    <w:rsid w:val="00DD2748"/>
    <w:rsid w:val="00DE5A8F"/>
    <w:rsid w:val="00DF2F77"/>
    <w:rsid w:val="00DF6BC1"/>
    <w:rsid w:val="00E07BAF"/>
    <w:rsid w:val="00E3123D"/>
    <w:rsid w:val="00E31A6D"/>
    <w:rsid w:val="00E3288A"/>
    <w:rsid w:val="00E40418"/>
    <w:rsid w:val="00E4068B"/>
    <w:rsid w:val="00E418D5"/>
    <w:rsid w:val="00E454A7"/>
    <w:rsid w:val="00E5711F"/>
    <w:rsid w:val="00E60A2B"/>
    <w:rsid w:val="00E663E7"/>
    <w:rsid w:val="00E66CD3"/>
    <w:rsid w:val="00E77379"/>
    <w:rsid w:val="00E77A83"/>
    <w:rsid w:val="00E846CE"/>
    <w:rsid w:val="00E84B7B"/>
    <w:rsid w:val="00EA34F1"/>
    <w:rsid w:val="00EA54FA"/>
    <w:rsid w:val="00EB1765"/>
    <w:rsid w:val="00EC3201"/>
    <w:rsid w:val="00EC5252"/>
    <w:rsid w:val="00ED3332"/>
    <w:rsid w:val="00ED476D"/>
    <w:rsid w:val="00ED5ECF"/>
    <w:rsid w:val="00EE1089"/>
    <w:rsid w:val="00EE2F4C"/>
    <w:rsid w:val="00F011AB"/>
    <w:rsid w:val="00F03048"/>
    <w:rsid w:val="00F07D46"/>
    <w:rsid w:val="00F177D2"/>
    <w:rsid w:val="00F346C6"/>
    <w:rsid w:val="00F35D52"/>
    <w:rsid w:val="00F57658"/>
    <w:rsid w:val="00F6117A"/>
    <w:rsid w:val="00F70BC5"/>
    <w:rsid w:val="00F72765"/>
    <w:rsid w:val="00F8407A"/>
    <w:rsid w:val="00F924EA"/>
    <w:rsid w:val="00FA22E6"/>
    <w:rsid w:val="00FA236B"/>
    <w:rsid w:val="00FB1DDE"/>
    <w:rsid w:val="00FB3610"/>
    <w:rsid w:val="00FB61A5"/>
    <w:rsid w:val="00FC0A88"/>
    <w:rsid w:val="00FC0B4F"/>
    <w:rsid w:val="00FC279D"/>
    <w:rsid w:val="00FD603C"/>
    <w:rsid w:val="00FE2B5A"/>
    <w:rsid w:val="00FE4174"/>
    <w:rsid w:val="00FE4A0B"/>
    <w:rsid w:val="00FE6C05"/>
    <w:rsid w:val="00FF49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E7"/>
    <w:rPr>
      <w:rFonts w:eastAsiaTheme="minorEastAsia"/>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3E7"/>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754B37"/>
    <w:rPr>
      <w:sz w:val="16"/>
      <w:szCs w:val="16"/>
    </w:rPr>
  </w:style>
  <w:style w:type="paragraph" w:styleId="CommentText">
    <w:name w:val="annotation text"/>
    <w:basedOn w:val="Normal"/>
    <w:link w:val="CommentTextChar"/>
    <w:uiPriority w:val="99"/>
    <w:semiHidden/>
    <w:unhideWhenUsed/>
    <w:rsid w:val="00754B37"/>
    <w:pPr>
      <w:spacing w:line="240" w:lineRule="auto"/>
    </w:pPr>
    <w:rPr>
      <w:sz w:val="20"/>
      <w:szCs w:val="20"/>
    </w:rPr>
  </w:style>
  <w:style w:type="character" w:customStyle="1" w:styleId="CommentTextChar">
    <w:name w:val="Comment Text Char"/>
    <w:basedOn w:val="DefaultParagraphFont"/>
    <w:link w:val="CommentText"/>
    <w:uiPriority w:val="99"/>
    <w:semiHidden/>
    <w:rsid w:val="00754B37"/>
    <w:rPr>
      <w:rFonts w:eastAsiaTheme="minorEastAsia"/>
      <w:sz w:val="20"/>
      <w:szCs w:val="20"/>
      <w:lang w:val="de-DE" w:eastAsia="de-DE"/>
    </w:rPr>
  </w:style>
  <w:style w:type="paragraph" w:styleId="CommentSubject">
    <w:name w:val="annotation subject"/>
    <w:basedOn w:val="CommentText"/>
    <w:next w:val="CommentText"/>
    <w:link w:val="CommentSubjectChar"/>
    <w:uiPriority w:val="99"/>
    <w:semiHidden/>
    <w:unhideWhenUsed/>
    <w:rsid w:val="00754B37"/>
    <w:rPr>
      <w:b/>
      <w:bCs/>
    </w:rPr>
  </w:style>
  <w:style w:type="character" w:customStyle="1" w:styleId="CommentSubjectChar">
    <w:name w:val="Comment Subject Char"/>
    <w:basedOn w:val="CommentTextChar"/>
    <w:link w:val="CommentSubject"/>
    <w:uiPriority w:val="99"/>
    <w:semiHidden/>
    <w:rsid w:val="00754B37"/>
    <w:rPr>
      <w:rFonts w:eastAsiaTheme="minorEastAsia"/>
      <w:b/>
      <w:bCs/>
      <w:sz w:val="20"/>
      <w:szCs w:val="20"/>
      <w:lang w:val="de-DE" w:eastAsia="de-DE"/>
    </w:rPr>
  </w:style>
  <w:style w:type="paragraph" w:styleId="BalloonText">
    <w:name w:val="Balloon Text"/>
    <w:basedOn w:val="Normal"/>
    <w:link w:val="BalloonTextChar"/>
    <w:uiPriority w:val="99"/>
    <w:semiHidden/>
    <w:unhideWhenUsed/>
    <w:rsid w:val="00754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37"/>
    <w:rPr>
      <w:rFonts w:ascii="Tahoma" w:eastAsiaTheme="minorEastAsia" w:hAnsi="Tahoma" w:cs="Tahoma"/>
      <w:sz w:val="16"/>
      <w:szCs w:val="16"/>
      <w:lang w:val="de-DE" w:eastAsia="de-DE"/>
    </w:rPr>
  </w:style>
  <w:style w:type="paragraph" w:styleId="BodyText">
    <w:name w:val="Body Text"/>
    <w:basedOn w:val="Normal"/>
    <w:link w:val="BodyTextChar"/>
    <w:rsid w:val="005A5350"/>
    <w:pPr>
      <w:spacing w:after="0" w:line="240" w:lineRule="auto"/>
      <w:jc w:val="center"/>
    </w:pPr>
    <w:rPr>
      <w:rFonts w:ascii="Times New Roman" w:eastAsia="Times New Roman" w:hAnsi="Times New Roman" w:cs="Times New Roman"/>
      <w:b/>
      <w:bCs/>
      <w:sz w:val="24"/>
      <w:szCs w:val="24"/>
      <w:lang w:val="en-GB" w:eastAsia="en-US"/>
    </w:rPr>
  </w:style>
  <w:style w:type="character" w:customStyle="1" w:styleId="BodyTextChar">
    <w:name w:val="Body Text Char"/>
    <w:basedOn w:val="DefaultParagraphFont"/>
    <w:link w:val="BodyText"/>
    <w:rsid w:val="005A5350"/>
    <w:rPr>
      <w:rFonts w:ascii="Times New Roman" w:eastAsia="Times New Roman" w:hAnsi="Times New Roman" w:cs="Times New Roman"/>
      <w:b/>
      <w:bCs/>
      <w:sz w:val="24"/>
      <w:szCs w:val="24"/>
      <w:lang w:val="en-GB"/>
    </w:rPr>
  </w:style>
  <w:style w:type="character" w:styleId="Hyperlink">
    <w:name w:val="Hyperlink"/>
    <w:uiPriority w:val="99"/>
    <w:rsid w:val="005A5350"/>
    <w:rPr>
      <w:color w:val="0000FF"/>
      <w:u w:val="single"/>
    </w:rPr>
  </w:style>
  <w:style w:type="table" w:styleId="TableGrid">
    <w:name w:val="Table Grid"/>
    <w:basedOn w:val="TableNormal"/>
    <w:uiPriority w:val="59"/>
    <w:rsid w:val="00897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72B9"/>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8972B9"/>
    <w:rPr>
      <w:sz w:val="20"/>
      <w:szCs w:val="20"/>
    </w:rPr>
  </w:style>
  <w:style w:type="character" w:styleId="FootnoteReference">
    <w:name w:val="footnote reference"/>
    <w:basedOn w:val="DefaultParagraphFont"/>
    <w:uiPriority w:val="99"/>
    <w:semiHidden/>
    <w:unhideWhenUsed/>
    <w:rsid w:val="008972B9"/>
    <w:rPr>
      <w:vertAlign w:val="superscript"/>
    </w:rPr>
  </w:style>
  <w:style w:type="paragraph" w:styleId="Header">
    <w:name w:val="header"/>
    <w:basedOn w:val="Normal"/>
    <w:link w:val="HeaderChar"/>
    <w:uiPriority w:val="99"/>
    <w:unhideWhenUsed/>
    <w:rsid w:val="00007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D0E"/>
    <w:rPr>
      <w:rFonts w:eastAsiaTheme="minorEastAsia"/>
      <w:lang w:val="de-DE" w:eastAsia="de-DE"/>
    </w:rPr>
  </w:style>
  <w:style w:type="paragraph" w:styleId="Footer">
    <w:name w:val="footer"/>
    <w:basedOn w:val="Normal"/>
    <w:link w:val="FooterChar"/>
    <w:uiPriority w:val="99"/>
    <w:unhideWhenUsed/>
    <w:rsid w:val="00007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D0E"/>
    <w:rPr>
      <w:rFonts w:eastAsiaTheme="minorEastAsia"/>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9695">
      <w:bodyDiv w:val="1"/>
      <w:marLeft w:val="0"/>
      <w:marRight w:val="0"/>
      <w:marTop w:val="0"/>
      <w:marBottom w:val="0"/>
      <w:divBdr>
        <w:top w:val="none" w:sz="0" w:space="0" w:color="auto"/>
        <w:left w:val="none" w:sz="0" w:space="0" w:color="auto"/>
        <w:bottom w:val="none" w:sz="0" w:space="0" w:color="auto"/>
        <w:right w:val="none" w:sz="0" w:space="0" w:color="auto"/>
      </w:divBdr>
    </w:div>
    <w:div w:id="506288739">
      <w:bodyDiv w:val="1"/>
      <w:marLeft w:val="0"/>
      <w:marRight w:val="0"/>
      <w:marTop w:val="0"/>
      <w:marBottom w:val="0"/>
      <w:divBdr>
        <w:top w:val="none" w:sz="0" w:space="0" w:color="auto"/>
        <w:left w:val="none" w:sz="0" w:space="0" w:color="auto"/>
        <w:bottom w:val="none" w:sz="0" w:space="0" w:color="auto"/>
        <w:right w:val="none" w:sz="0" w:space="0" w:color="auto"/>
      </w:divBdr>
    </w:div>
    <w:div w:id="1306079708">
      <w:bodyDiv w:val="1"/>
      <w:marLeft w:val="0"/>
      <w:marRight w:val="0"/>
      <w:marTop w:val="0"/>
      <w:marBottom w:val="0"/>
      <w:divBdr>
        <w:top w:val="none" w:sz="0" w:space="0" w:color="auto"/>
        <w:left w:val="none" w:sz="0" w:space="0" w:color="auto"/>
        <w:bottom w:val="none" w:sz="0" w:space="0" w:color="auto"/>
        <w:right w:val="none" w:sz="0" w:space="0" w:color="auto"/>
      </w:divBdr>
    </w:div>
    <w:div w:id="1332945421">
      <w:bodyDiv w:val="1"/>
      <w:marLeft w:val="0"/>
      <w:marRight w:val="0"/>
      <w:marTop w:val="0"/>
      <w:marBottom w:val="0"/>
      <w:divBdr>
        <w:top w:val="none" w:sz="0" w:space="0" w:color="auto"/>
        <w:left w:val="none" w:sz="0" w:space="0" w:color="auto"/>
        <w:bottom w:val="none" w:sz="0" w:space="0" w:color="auto"/>
        <w:right w:val="none" w:sz="0" w:space="0" w:color="auto"/>
      </w:divBdr>
    </w:div>
    <w:div w:id="1576740427">
      <w:bodyDiv w:val="1"/>
      <w:marLeft w:val="0"/>
      <w:marRight w:val="0"/>
      <w:marTop w:val="0"/>
      <w:marBottom w:val="0"/>
      <w:divBdr>
        <w:top w:val="none" w:sz="0" w:space="0" w:color="auto"/>
        <w:left w:val="none" w:sz="0" w:space="0" w:color="auto"/>
        <w:bottom w:val="none" w:sz="0" w:space="0" w:color="auto"/>
        <w:right w:val="none" w:sz="0" w:space="0" w:color="auto"/>
      </w:divBdr>
    </w:div>
    <w:div w:id="18628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990C7-F644-4024-9D59-0DB261F1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1227</Words>
  <Characters>7000</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CVK</dc:creator>
  <cp:lastModifiedBy>Carla</cp:lastModifiedBy>
  <cp:revision>3</cp:revision>
  <dcterms:created xsi:type="dcterms:W3CDTF">2018-03-06T09:04:00Z</dcterms:created>
  <dcterms:modified xsi:type="dcterms:W3CDTF">2018-03-06T09:09:00Z</dcterms:modified>
</cp:coreProperties>
</file>