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038" w:rsidRPr="000045BE" w:rsidRDefault="003E0038" w:rsidP="003E0038">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240" w:after="120"/>
        <w:ind w:left="1276"/>
        <w:rPr>
          <w:rFonts w:asciiTheme="majorBidi" w:hAnsiTheme="majorBidi" w:cstheme="majorBidi"/>
          <w:b/>
          <w:bCs/>
        </w:rPr>
      </w:pPr>
      <w:r w:rsidRPr="000045BE">
        <w:rPr>
          <w:rFonts w:asciiTheme="majorBidi" w:hAnsiTheme="majorBidi" w:cstheme="majorBidi"/>
          <w:b/>
          <w:bCs/>
        </w:rPr>
        <w:t xml:space="preserve">CC-13/8: Submission by Oman  </w:t>
      </w:r>
    </w:p>
    <w:p w:rsidR="003E0038" w:rsidRPr="000045BE" w:rsidRDefault="003E0038" w:rsidP="003E0038">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76" w:firstLine="567"/>
        <w:rPr>
          <w:rFonts w:asciiTheme="majorBidi" w:hAnsiTheme="majorBidi" w:cstheme="majorBidi"/>
          <w:i/>
          <w:iCs/>
        </w:rPr>
      </w:pPr>
      <w:r w:rsidRPr="000045BE">
        <w:rPr>
          <w:rFonts w:asciiTheme="majorBidi" w:hAnsiTheme="majorBidi" w:cstheme="majorBidi"/>
          <w:i/>
          <w:iCs/>
        </w:rPr>
        <w:t xml:space="preserve">The Committee, </w:t>
      </w:r>
    </w:p>
    <w:p w:rsidR="003E0038" w:rsidRPr="000045BE" w:rsidRDefault="003E0038" w:rsidP="003E0038">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76" w:firstLine="567"/>
        <w:rPr>
          <w:rFonts w:asciiTheme="majorBidi" w:hAnsiTheme="majorBidi" w:cstheme="majorBidi"/>
        </w:rPr>
      </w:pPr>
      <w:r w:rsidRPr="000045BE">
        <w:rPr>
          <w:rFonts w:asciiTheme="majorBidi" w:hAnsiTheme="majorBidi" w:cstheme="majorBidi"/>
          <w:i/>
          <w:iCs/>
        </w:rPr>
        <w:t>Recalling</w:t>
      </w:r>
      <w:r w:rsidRPr="000045BE">
        <w:rPr>
          <w:rFonts w:asciiTheme="majorBidi" w:hAnsiTheme="majorBidi" w:cstheme="majorBidi"/>
        </w:rPr>
        <w:t xml:space="preserve"> the submission by Oman to the Committee in which Oman concludes that, despite its best efforts, it is unable to fully implement or comply with its obligations under Article 13 paragraph 3 of the Convention (CHW/CC/9a/2009/1),  </w:t>
      </w:r>
    </w:p>
    <w:p w:rsidR="003E0038" w:rsidRPr="000045BE" w:rsidRDefault="003E0038" w:rsidP="003E0038">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76" w:firstLine="567"/>
        <w:rPr>
          <w:rFonts w:asciiTheme="majorBidi" w:hAnsiTheme="majorBidi" w:cstheme="majorBidi"/>
        </w:rPr>
      </w:pPr>
      <w:r w:rsidRPr="000045BE">
        <w:rPr>
          <w:rFonts w:asciiTheme="majorBidi" w:hAnsiTheme="majorBidi" w:cstheme="majorBidi"/>
          <w:i/>
          <w:iCs/>
        </w:rPr>
        <w:t>Recalling</w:t>
      </w:r>
      <w:r w:rsidRPr="000045BE">
        <w:rPr>
          <w:rFonts w:asciiTheme="majorBidi" w:hAnsiTheme="majorBidi" w:cstheme="majorBidi"/>
        </w:rPr>
        <w:t xml:space="preserve"> also decisions CC-8/1, CC-9/1, CC-10/1, CC-11/9, CC-12/9 and </w:t>
      </w:r>
      <w:r w:rsidRPr="000045BE">
        <w:rPr>
          <w:rFonts w:asciiTheme="majorBidi" w:hAnsiTheme="majorBidi" w:cstheme="majorBidi"/>
          <w:bCs/>
        </w:rPr>
        <w:t>12/9/Add.1</w:t>
      </w:r>
      <w:r w:rsidRPr="000045BE">
        <w:rPr>
          <w:rFonts w:asciiTheme="majorBidi" w:hAnsiTheme="majorBidi" w:cstheme="majorBidi"/>
        </w:rPr>
        <w:t xml:space="preserve">, </w:t>
      </w:r>
    </w:p>
    <w:p w:rsidR="003E0038" w:rsidRPr="000045BE" w:rsidRDefault="003E0038" w:rsidP="003E0038">
      <w:pPr>
        <w:tabs>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76" w:firstLine="567"/>
        <w:rPr>
          <w:rFonts w:asciiTheme="majorBidi" w:hAnsiTheme="majorBidi" w:cstheme="majorBidi"/>
        </w:rPr>
      </w:pPr>
      <w:r w:rsidRPr="000045BE">
        <w:rPr>
          <w:rFonts w:asciiTheme="majorBidi" w:hAnsiTheme="majorBidi" w:cstheme="majorBidi"/>
        </w:rPr>
        <w:t>Without prejudice to future decisions by the Committee related to this or other specific submissions,</w:t>
      </w:r>
    </w:p>
    <w:p w:rsidR="003E0038" w:rsidRPr="000045BE" w:rsidRDefault="003E0038" w:rsidP="003E0038">
      <w:pPr>
        <w:pStyle w:val="ListParagraph"/>
        <w:numPr>
          <w:ilvl w:val="3"/>
          <w:numId w:val="2"/>
        </w:numPr>
        <w:tabs>
          <w:tab w:val="clear" w:pos="360"/>
          <w:tab w:val="left" w:pos="2410"/>
        </w:tabs>
        <w:autoSpaceDE w:val="0"/>
        <w:autoSpaceDN w:val="0"/>
        <w:adjustRightInd w:val="0"/>
        <w:spacing w:after="120"/>
        <w:ind w:left="1276" w:firstLine="567"/>
        <w:contextualSpacing w:val="0"/>
        <w:rPr>
          <w:rFonts w:asciiTheme="majorBidi" w:hAnsiTheme="majorBidi" w:cstheme="majorBidi"/>
          <w:i/>
          <w:sz w:val="20"/>
          <w:szCs w:val="20"/>
        </w:rPr>
      </w:pPr>
      <w:r w:rsidRPr="000045BE">
        <w:rPr>
          <w:rFonts w:asciiTheme="majorBidi" w:hAnsiTheme="majorBidi" w:cstheme="majorBidi"/>
          <w:i/>
          <w:iCs/>
          <w:sz w:val="20"/>
          <w:szCs w:val="20"/>
          <w:lang w:eastAsia="zh-TW"/>
        </w:rPr>
        <w:t xml:space="preserve">Expresses </w:t>
      </w:r>
      <w:r w:rsidRPr="000045BE">
        <w:rPr>
          <w:rFonts w:asciiTheme="majorBidi" w:hAnsiTheme="majorBidi" w:cstheme="majorBidi"/>
          <w:iCs/>
          <w:sz w:val="20"/>
          <w:szCs w:val="20"/>
          <w:lang w:eastAsia="zh-TW"/>
        </w:rPr>
        <w:t xml:space="preserve">its appreciation </w:t>
      </w:r>
      <w:r w:rsidRPr="000045BE">
        <w:rPr>
          <w:rFonts w:asciiTheme="majorBidi" w:hAnsiTheme="majorBidi" w:cstheme="majorBidi"/>
          <w:sz w:val="20"/>
          <w:szCs w:val="20"/>
          <w:lang w:eastAsia="zh-TW"/>
        </w:rPr>
        <w:t>for the cooperation of Oman with the Committee during the thirteenth meeting of the Committee;</w:t>
      </w:r>
      <w:r w:rsidRPr="000045BE">
        <w:rPr>
          <w:rFonts w:asciiTheme="majorBidi" w:hAnsiTheme="majorBidi" w:cstheme="majorBidi"/>
          <w:i/>
          <w:sz w:val="20"/>
          <w:szCs w:val="20"/>
        </w:rPr>
        <w:t xml:space="preserve"> </w:t>
      </w:r>
    </w:p>
    <w:p w:rsidR="003E0038" w:rsidRPr="000045BE" w:rsidRDefault="003E0038" w:rsidP="003E0038">
      <w:pPr>
        <w:pStyle w:val="ListParagraph"/>
        <w:numPr>
          <w:ilvl w:val="3"/>
          <w:numId w:val="2"/>
        </w:numPr>
        <w:tabs>
          <w:tab w:val="clear" w:pos="360"/>
          <w:tab w:val="left" w:pos="2410"/>
        </w:tabs>
        <w:autoSpaceDE w:val="0"/>
        <w:autoSpaceDN w:val="0"/>
        <w:adjustRightInd w:val="0"/>
        <w:spacing w:after="120"/>
        <w:ind w:left="1276" w:firstLine="567"/>
        <w:contextualSpacing w:val="0"/>
        <w:rPr>
          <w:rFonts w:asciiTheme="majorBidi" w:hAnsiTheme="majorBidi" w:cstheme="majorBidi"/>
          <w:i/>
          <w:sz w:val="20"/>
          <w:szCs w:val="20"/>
          <w:lang w:eastAsia="zh-TW"/>
        </w:rPr>
      </w:pPr>
      <w:r w:rsidRPr="000045BE">
        <w:rPr>
          <w:rFonts w:asciiTheme="majorBidi" w:hAnsiTheme="majorBidi" w:cstheme="majorBidi"/>
          <w:i/>
          <w:sz w:val="20"/>
          <w:szCs w:val="20"/>
          <w:lang w:eastAsia="zh-TW"/>
        </w:rPr>
        <w:t>Welcomes</w:t>
      </w:r>
      <w:r w:rsidRPr="000045BE">
        <w:rPr>
          <w:rFonts w:asciiTheme="majorBidi" w:hAnsiTheme="majorBidi" w:cstheme="majorBidi"/>
          <w:sz w:val="20"/>
          <w:szCs w:val="20"/>
          <w:lang w:eastAsia="zh-TW"/>
        </w:rPr>
        <w:t xml:space="preserve"> </w:t>
      </w:r>
      <w:r w:rsidRPr="000045BE">
        <w:rPr>
          <w:rFonts w:asciiTheme="majorBidi" w:hAnsiTheme="majorBidi" w:cstheme="majorBidi"/>
          <w:sz w:val="20"/>
          <w:szCs w:val="20"/>
        </w:rPr>
        <w:t xml:space="preserve">the transmission by Oman of its national reports for </w:t>
      </w:r>
      <w:r w:rsidRPr="000045BE">
        <w:rPr>
          <w:rFonts w:asciiTheme="majorBidi" w:eastAsiaTheme="minorHAnsi" w:hAnsiTheme="majorBidi" w:cstheme="majorBidi"/>
          <w:sz w:val="20"/>
          <w:szCs w:val="20"/>
        </w:rPr>
        <w:t>2013, 2014 and 2015;</w:t>
      </w:r>
      <w:r w:rsidRPr="000045BE">
        <w:rPr>
          <w:rStyle w:val="FootnoteReference"/>
          <w:rFonts w:asciiTheme="majorBidi" w:hAnsiTheme="majorBidi" w:cstheme="majorBidi"/>
          <w:szCs w:val="20"/>
        </w:rPr>
        <w:footnoteReference w:customMarkFollows="1" w:id="1"/>
        <w:t>16</w:t>
      </w:r>
      <w:r w:rsidRPr="000045BE">
        <w:rPr>
          <w:rFonts w:asciiTheme="majorBidi" w:hAnsiTheme="majorBidi" w:cstheme="majorBidi"/>
          <w:sz w:val="20"/>
          <w:szCs w:val="20"/>
        </w:rPr>
        <w:t xml:space="preserve"> </w:t>
      </w:r>
    </w:p>
    <w:p w:rsidR="003E0038" w:rsidRPr="000045BE" w:rsidRDefault="003E0038" w:rsidP="003E0038">
      <w:pPr>
        <w:pStyle w:val="ListParagraph"/>
        <w:numPr>
          <w:ilvl w:val="3"/>
          <w:numId w:val="2"/>
        </w:numPr>
        <w:tabs>
          <w:tab w:val="clear" w:pos="360"/>
          <w:tab w:val="num" w:pos="2410"/>
        </w:tabs>
        <w:spacing w:after="120"/>
        <w:ind w:left="1134" w:firstLine="709"/>
        <w:contextualSpacing w:val="0"/>
        <w:rPr>
          <w:rFonts w:asciiTheme="majorBidi" w:eastAsiaTheme="minorHAnsi" w:hAnsiTheme="majorBidi" w:cstheme="majorBidi"/>
          <w:sz w:val="20"/>
          <w:szCs w:val="20"/>
        </w:rPr>
      </w:pPr>
      <w:r w:rsidRPr="000045BE">
        <w:rPr>
          <w:rFonts w:asciiTheme="majorBidi" w:hAnsiTheme="majorBidi" w:cstheme="majorBidi"/>
          <w:i/>
          <w:sz w:val="20"/>
          <w:szCs w:val="20"/>
        </w:rPr>
        <w:t>Notes</w:t>
      </w:r>
      <w:r w:rsidRPr="000045BE">
        <w:rPr>
          <w:rFonts w:asciiTheme="majorBidi" w:hAnsiTheme="majorBidi" w:cstheme="majorBidi"/>
          <w:sz w:val="20"/>
          <w:szCs w:val="20"/>
        </w:rPr>
        <w:t xml:space="preserve"> that the reports mentioned in paragraph 2 of the present decision are deemed incomplete including, for 2015, with respect to </w:t>
      </w:r>
      <w:r w:rsidRPr="000045BE">
        <w:rPr>
          <w:rFonts w:asciiTheme="majorBidi" w:eastAsiaTheme="minorHAnsi" w:hAnsiTheme="majorBidi" w:cstheme="majorBidi"/>
          <w:sz w:val="20"/>
          <w:szCs w:val="20"/>
        </w:rPr>
        <w:t>tables 3 (recovery facilities operated within the national jurisdiction), 5 (sources of financial assistance) and 7 (import) of part I of the questionnaire and tables 8A and 8B (generation) of part II</w:t>
      </w:r>
      <w:r w:rsidRPr="000045BE">
        <w:rPr>
          <w:rFonts w:asciiTheme="majorBidi" w:hAnsiTheme="majorBidi" w:cstheme="majorBidi"/>
          <w:sz w:val="20"/>
          <w:szCs w:val="20"/>
        </w:rPr>
        <w:t xml:space="preserve"> of the questionnaire</w:t>
      </w:r>
      <w:r w:rsidRPr="000045BE">
        <w:rPr>
          <w:rFonts w:asciiTheme="majorBidi" w:eastAsiaTheme="minorHAnsi" w:hAnsiTheme="majorBidi" w:cstheme="majorBidi"/>
          <w:sz w:val="20"/>
          <w:szCs w:val="20"/>
        </w:rPr>
        <w:t xml:space="preserve">; </w:t>
      </w:r>
    </w:p>
    <w:p w:rsidR="003E0038" w:rsidRPr="000045BE" w:rsidRDefault="003E0038" w:rsidP="003E0038">
      <w:pPr>
        <w:pStyle w:val="ListParagraph"/>
        <w:numPr>
          <w:ilvl w:val="3"/>
          <w:numId w:val="2"/>
        </w:numPr>
        <w:tabs>
          <w:tab w:val="clear" w:pos="360"/>
          <w:tab w:val="num" w:pos="2410"/>
        </w:tabs>
        <w:spacing w:after="120"/>
        <w:ind w:left="1134" w:firstLine="709"/>
        <w:contextualSpacing w:val="0"/>
        <w:rPr>
          <w:rFonts w:asciiTheme="majorBidi" w:hAnsiTheme="majorBidi" w:cstheme="majorBidi"/>
          <w:sz w:val="20"/>
          <w:szCs w:val="20"/>
        </w:rPr>
      </w:pPr>
      <w:r w:rsidRPr="000045BE">
        <w:rPr>
          <w:rFonts w:asciiTheme="majorBidi" w:hAnsiTheme="majorBidi" w:cstheme="majorBidi"/>
          <w:i/>
          <w:sz w:val="20"/>
          <w:szCs w:val="20"/>
        </w:rPr>
        <w:t>Regrets</w:t>
      </w:r>
      <w:r w:rsidRPr="000045BE">
        <w:rPr>
          <w:rFonts w:asciiTheme="majorBidi" w:hAnsiTheme="majorBidi" w:cstheme="majorBidi"/>
          <w:sz w:val="20"/>
          <w:szCs w:val="20"/>
        </w:rPr>
        <w:t xml:space="preserve"> </w:t>
      </w:r>
      <w:r w:rsidRPr="000045BE">
        <w:rPr>
          <w:rFonts w:asciiTheme="majorBidi" w:hAnsiTheme="majorBidi" w:cstheme="majorBidi"/>
          <w:iCs/>
          <w:sz w:val="20"/>
          <w:szCs w:val="20"/>
        </w:rPr>
        <w:t xml:space="preserve">the lack of completion of </w:t>
      </w:r>
      <w:r w:rsidRPr="000045BE">
        <w:rPr>
          <w:rFonts w:asciiTheme="majorBidi" w:hAnsiTheme="majorBidi" w:cstheme="majorBidi"/>
          <w:sz w:val="20"/>
          <w:szCs w:val="20"/>
        </w:rPr>
        <w:t xml:space="preserve">the activities of its approved compliance action plan; </w:t>
      </w:r>
    </w:p>
    <w:p w:rsidR="003E0038" w:rsidRPr="000045BE" w:rsidRDefault="003E0038" w:rsidP="003E0038">
      <w:pPr>
        <w:pStyle w:val="ListParagraph"/>
        <w:numPr>
          <w:ilvl w:val="3"/>
          <w:numId w:val="2"/>
        </w:numPr>
        <w:tabs>
          <w:tab w:val="clear" w:pos="360"/>
          <w:tab w:val="num" w:pos="2410"/>
        </w:tabs>
        <w:spacing w:after="120"/>
        <w:ind w:left="1134" w:firstLine="709"/>
        <w:contextualSpacing w:val="0"/>
        <w:rPr>
          <w:rFonts w:asciiTheme="majorBidi" w:hAnsiTheme="majorBidi" w:cstheme="majorBidi"/>
          <w:sz w:val="20"/>
          <w:szCs w:val="20"/>
        </w:rPr>
      </w:pPr>
      <w:r w:rsidRPr="000045BE">
        <w:rPr>
          <w:rFonts w:asciiTheme="majorBidi" w:hAnsiTheme="majorBidi" w:cstheme="majorBidi"/>
          <w:i/>
          <w:sz w:val="20"/>
          <w:szCs w:val="20"/>
        </w:rPr>
        <w:t xml:space="preserve">Welcomes </w:t>
      </w:r>
      <w:r w:rsidRPr="000045BE">
        <w:rPr>
          <w:rFonts w:asciiTheme="majorBidi" w:hAnsiTheme="majorBidi" w:cstheme="majorBidi"/>
          <w:iCs/>
          <w:sz w:val="20"/>
          <w:szCs w:val="20"/>
        </w:rPr>
        <w:t>the willingness of Oman t</w:t>
      </w:r>
      <w:r w:rsidRPr="000045BE">
        <w:rPr>
          <w:rFonts w:asciiTheme="majorBidi" w:eastAsiaTheme="minorHAnsi" w:hAnsiTheme="majorBidi" w:cstheme="majorBidi"/>
          <w:iCs/>
          <w:sz w:val="20"/>
          <w:szCs w:val="20"/>
        </w:rPr>
        <w:t>o</w:t>
      </w:r>
      <w:r w:rsidRPr="000045BE">
        <w:rPr>
          <w:rFonts w:asciiTheme="majorBidi" w:hAnsiTheme="majorBidi" w:cstheme="majorBidi"/>
          <w:iCs/>
          <w:sz w:val="20"/>
          <w:szCs w:val="20"/>
        </w:rPr>
        <w:t xml:space="preserve"> transmit</w:t>
      </w:r>
      <w:r w:rsidRPr="000045BE">
        <w:rPr>
          <w:rFonts w:asciiTheme="majorBidi" w:hAnsiTheme="majorBidi" w:cstheme="majorBidi"/>
          <w:sz w:val="20"/>
          <w:szCs w:val="20"/>
        </w:rPr>
        <w:t xml:space="preserve"> by 15 October 2018 a complete national report for 2016 as well as estimated data for the optional table 6 on waste generation; </w:t>
      </w:r>
    </w:p>
    <w:p w:rsidR="003E0038" w:rsidRPr="000045BE" w:rsidRDefault="003E0038" w:rsidP="003E0038">
      <w:pPr>
        <w:pStyle w:val="ListParagraph"/>
        <w:numPr>
          <w:ilvl w:val="3"/>
          <w:numId w:val="2"/>
        </w:numPr>
        <w:tabs>
          <w:tab w:val="clear" w:pos="360"/>
          <w:tab w:val="num" w:pos="2410"/>
        </w:tabs>
        <w:spacing w:after="120"/>
        <w:ind w:left="1134" w:firstLine="709"/>
        <w:contextualSpacing w:val="0"/>
        <w:rPr>
          <w:rFonts w:asciiTheme="majorBidi" w:hAnsiTheme="majorBidi" w:cstheme="majorBidi"/>
          <w:sz w:val="20"/>
          <w:szCs w:val="20"/>
        </w:rPr>
      </w:pPr>
      <w:r w:rsidRPr="000045BE">
        <w:rPr>
          <w:rFonts w:asciiTheme="majorBidi" w:hAnsiTheme="majorBidi" w:cstheme="majorBidi"/>
          <w:i/>
          <w:sz w:val="20"/>
          <w:szCs w:val="20"/>
        </w:rPr>
        <w:t xml:space="preserve">Reminds </w:t>
      </w:r>
      <w:r w:rsidRPr="000045BE">
        <w:rPr>
          <w:rFonts w:asciiTheme="majorBidi" w:hAnsiTheme="majorBidi" w:cstheme="majorBidi"/>
          <w:iCs/>
          <w:sz w:val="20"/>
          <w:szCs w:val="20"/>
        </w:rPr>
        <w:t>Oman</w:t>
      </w:r>
      <w:r w:rsidRPr="000045BE">
        <w:rPr>
          <w:rFonts w:asciiTheme="majorBidi" w:hAnsiTheme="majorBidi" w:cstheme="majorBidi"/>
          <w:i/>
          <w:sz w:val="20"/>
          <w:szCs w:val="20"/>
        </w:rPr>
        <w:t xml:space="preserve"> </w:t>
      </w:r>
      <w:r w:rsidRPr="000045BE">
        <w:rPr>
          <w:rFonts w:asciiTheme="majorBidi" w:hAnsiTheme="majorBidi" w:cstheme="majorBidi"/>
          <w:sz w:val="20"/>
          <w:szCs w:val="20"/>
        </w:rPr>
        <w:t xml:space="preserve">of its commitments, as provided in the decisions CC-11/9, CC-12/9 and </w:t>
      </w:r>
      <w:r w:rsidRPr="000045BE">
        <w:rPr>
          <w:rFonts w:asciiTheme="majorBidi" w:hAnsiTheme="majorBidi" w:cstheme="majorBidi"/>
          <w:bCs/>
          <w:sz w:val="20"/>
          <w:szCs w:val="20"/>
        </w:rPr>
        <w:t xml:space="preserve">12/9/Add.1, </w:t>
      </w:r>
      <w:r w:rsidRPr="000045BE">
        <w:rPr>
          <w:rFonts w:asciiTheme="majorBidi" w:eastAsiaTheme="minorHAnsi" w:hAnsiTheme="majorBidi" w:cstheme="majorBidi"/>
          <w:sz w:val="20"/>
          <w:szCs w:val="20"/>
        </w:rPr>
        <w:t xml:space="preserve">and </w:t>
      </w:r>
      <w:r w:rsidRPr="000045BE">
        <w:rPr>
          <w:rFonts w:asciiTheme="majorBidi" w:eastAsiaTheme="minorHAnsi" w:hAnsiTheme="majorBidi" w:cstheme="majorBidi"/>
          <w:i/>
          <w:iCs/>
          <w:sz w:val="20"/>
          <w:szCs w:val="20"/>
        </w:rPr>
        <w:t>urges</w:t>
      </w:r>
      <w:r w:rsidRPr="000045BE">
        <w:rPr>
          <w:rFonts w:asciiTheme="majorBidi" w:eastAsiaTheme="minorHAnsi" w:hAnsiTheme="majorBidi" w:cstheme="majorBidi"/>
          <w:sz w:val="20"/>
          <w:szCs w:val="20"/>
        </w:rPr>
        <w:t xml:space="preserve"> Oman to</w:t>
      </w:r>
      <w:r w:rsidRPr="000045BE">
        <w:rPr>
          <w:rFonts w:asciiTheme="majorBidi" w:hAnsiTheme="majorBidi" w:cstheme="majorBidi"/>
          <w:sz w:val="20"/>
          <w:szCs w:val="20"/>
        </w:rPr>
        <w:t xml:space="preserve"> transmit: </w:t>
      </w:r>
    </w:p>
    <w:p w:rsidR="003E0038" w:rsidRPr="000045BE" w:rsidRDefault="003E0038" w:rsidP="003E0038">
      <w:pPr>
        <w:pStyle w:val="ListParagraph"/>
        <w:numPr>
          <w:ilvl w:val="4"/>
          <w:numId w:val="1"/>
        </w:numPr>
        <w:tabs>
          <w:tab w:val="clear" w:pos="360"/>
          <w:tab w:val="left" w:pos="2410"/>
        </w:tabs>
        <w:autoSpaceDE w:val="0"/>
        <w:autoSpaceDN w:val="0"/>
        <w:adjustRightInd w:val="0"/>
        <w:spacing w:after="120"/>
        <w:ind w:left="1134" w:firstLine="709"/>
        <w:contextualSpacing w:val="0"/>
        <w:rPr>
          <w:rFonts w:asciiTheme="majorBidi" w:hAnsiTheme="majorBidi" w:cstheme="majorBidi"/>
          <w:sz w:val="20"/>
          <w:szCs w:val="20"/>
        </w:rPr>
      </w:pPr>
      <w:r w:rsidRPr="000045BE">
        <w:rPr>
          <w:rFonts w:asciiTheme="majorBidi" w:eastAsiaTheme="minorHAnsi" w:hAnsiTheme="majorBidi" w:cstheme="majorBidi"/>
          <w:sz w:val="20"/>
          <w:szCs w:val="20"/>
        </w:rPr>
        <w:t>By 30 November 2018 a draft assessment of Oman’s legal framework, including possible gaps to fully implement the Basel Convention; and by 1 March 2019 a final assessment of Oman’s legal framework, including possible gaps to fully implement the Basel Convention, with the support of the resources from the implementation fund, subject to their availability;</w:t>
      </w:r>
    </w:p>
    <w:p w:rsidR="003E0038" w:rsidRPr="000045BE" w:rsidRDefault="003E0038" w:rsidP="003E0038">
      <w:pPr>
        <w:pStyle w:val="ListParagraph"/>
        <w:numPr>
          <w:ilvl w:val="4"/>
          <w:numId w:val="1"/>
        </w:numPr>
        <w:tabs>
          <w:tab w:val="clear" w:pos="360"/>
          <w:tab w:val="left" w:pos="2410"/>
        </w:tabs>
        <w:autoSpaceDE w:val="0"/>
        <w:autoSpaceDN w:val="0"/>
        <w:adjustRightInd w:val="0"/>
        <w:spacing w:after="120"/>
        <w:ind w:left="1134" w:firstLine="709"/>
        <w:contextualSpacing w:val="0"/>
        <w:rPr>
          <w:rFonts w:asciiTheme="majorBidi" w:hAnsiTheme="majorBidi" w:cstheme="majorBidi"/>
          <w:sz w:val="20"/>
          <w:szCs w:val="20"/>
        </w:rPr>
      </w:pPr>
      <w:r w:rsidRPr="000045BE">
        <w:rPr>
          <w:rFonts w:asciiTheme="majorBidi" w:eastAsiaTheme="minorHAnsi" w:hAnsiTheme="majorBidi" w:cstheme="majorBidi"/>
          <w:sz w:val="20"/>
          <w:szCs w:val="20"/>
        </w:rPr>
        <w:t xml:space="preserve">By  15 October 2018 a draft report on the steps already taken to develop an inventory of hazardous and other wastes and of their outcome, and a preliminary assessment of gaps towards the development of a sustainable inventory for the purpose of national reporting; and by 30 November 2018 a final report on the steps already taken to develop an inventory of hazardous and other wastes and of their outcome, and a final assessment of gaps towards the development of a sustainable inventory for the purpose of national reporting, thereby completing the activities of its </w:t>
      </w:r>
      <w:r w:rsidRPr="000045BE">
        <w:rPr>
          <w:rFonts w:asciiTheme="majorBidi" w:hAnsiTheme="majorBidi" w:cstheme="majorBidi"/>
          <w:sz w:val="20"/>
          <w:szCs w:val="20"/>
        </w:rPr>
        <w:t xml:space="preserve">approved compliance action plan; </w:t>
      </w:r>
    </w:p>
    <w:p w:rsidR="003E0038" w:rsidRPr="000045BE" w:rsidRDefault="003E0038" w:rsidP="003E0038">
      <w:pPr>
        <w:pStyle w:val="ListParagraph"/>
        <w:numPr>
          <w:ilvl w:val="4"/>
          <w:numId w:val="1"/>
        </w:numPr>
        <w:tabs>
          <w:tab w:val="clear" w:pos="360"/>
          <w:tab w:val="left" w:pos="2410"/>
        </w:tabs>
        <w:autoSpaceDE w:val="0"/>
        <w:autoSpaceDN w:val="0"/>
        <w:adjustRightInd w:val="0"/>
        <w:spacing w:after="120"/>
        <w:ind w:left="1134" w:firstLine="709"/>
        <w:contextualSpacing w:val="0"/>
        <w:rPr>
          <w:rFonts w:asciiTheme="majorBidi" w:hAnsiTheme="majorBidi" w:cstheme="majorBidi"/>
          <w:sz w:val="20"/>
          <w:szCs w:val="20"/>
        </w:rPr>
      </w:pPr>
      <w:r w:rsidRPr="000045BE">
        <w:rPr>
          <w:rFonts w:asciiTheme="majorBidi" w:eastAsiaTheme="minorHAnsi" w:hAnsiTheme="majorBidi" w:cstheme="majorBidi"/>
          <w:sz w:val="20"/>
          <w:szCs w:val="20"/>
        </w:rPr>
        <w:t>Its</w:t>
      </w:r>
      <w:r w:rsidRPr="000045BE">
        <w:rPr>
          <w:rFonts w:asciiTheme="majorBidi" w:hAnsiTheme="majorBidi" w:cstheme="majorBidi"/>
          <w:sz w:val="20"/>
          <w:szCs w:val="20"/>
        </w:rPr>
        <w:t xml:space="preserve"> national reports for 2017 and subsequent years complete and on time;</w:t>
      </w:r>
      <w:r w:rsidRPr="000045BE">
        <w:rPr>
          <w:rFonts w:asciiTheme="majorBidi" w:hAnsiTheme="majorBidi" w:cstheme="majorBidi"/>
          <w:sz w:val="20"/>
          <w:szCs w:val="20"/>
          <w:lang w:eastAsia="zh-TW"/>
        </w:rPr>
        <w:t xml:space="preserve"> </w:t>
      </w:r>
    </w:p>
    <w:p w:rsidR="003E0038" w:rsidRPr="000045BE" w:rsidRDefault="003E0038" w:rsidP="003E0038">
      <w:pPr>
        <w:pStyle w:val="ListParagraph"/>
        <w:numPr>
          <w:ilvl w:val="3"/>
          <w:numId w:val="2"/>
        </w:numPr>
        <w:tabs>
          <w:tab w:val="clear" w:pos="360"/>
          <w:tab w:val="left" w:pos="2410"/>
        </w:tabs>
        <w:autoSpaceDE w:val="0"/>
        <w:autoSpaceDN w:val="0"/>
        <w:adjustRightInd w:val="0"/>
        <w:spacing w:after="120"/>
        <w:ind w:left="1276" w:firstLine="567"/>
        <w:contextualSpacing w:val="0"/>
        <w:rPr>
          <w:rFonts w:asciiTheme="majorBidi" w:hAnsiTheme="majorBidi" w:cstheme="majorBidi"/>
          <w:i/>
          <w:sz w:val="20"/>
          <w:szCs w:val="20"/>
        </w:rPr>
      </w:pPr>
      <w:r w:rsidRPr="000045BE">
        <w:rPr>
          <w:rFonts w:asciiTheme="majorBidi" w:hAnsiTheme="majorBidi" w:cstheme="majorBidi"/>
          <w:i/>
          <w:iCs/>
          <w:sz w:val="20"/>
          <w:szCs w:val="20"/>
          <w:lang w:eastAsia="zh-TW"/>
        </w:rPr>
        <w:t xml:space="preserve">Decides </w:t>
      </w:r>
      <w:r w:rsidRPr="000045BE">
        <w:rPr>
          <w:rFonts w:asciiTheme="majorBidi" w:hAnsiTheme="majorBidi" w:cstheme="majorBidi"/>
          <w:sz w:val="20"/>
          <w:szCs w:val="20"/>
          <w:lang w:eastAsia="zh-TW"/>
        </w:rPr>
        <w:t xml:space="preserve">to consider the submission by Oman prior to its fourteenth meeting and </w:t>
      </w:r>
      <w:r w:rsidRPr="000045BE">
        <w:rPr>
          <w:rFonts w:asciiTheme="majorBidi" w:hAnsiTheme="majorBidi" w:cstheme="majorBidi"/>
          <w:i/>
          <w:sz w:val="20"/>
          <w:szCs w:val="20"/>
          <w:lang w:eastAsia="zh-TW"/>
        </w:rPr>
        <w:t>n</w:t>
      </w:r>
      <w:r w:rsidRPr="000045BE">
        <w:rPr>
          <w:rFonts w:asciiTheme="majorBidi" w:hAnsiTheme="majorBidi" w:cstheme="majorBidi"/>
          <w:i/>
          <w:sz w:val="20"/>
          <w:szCs w:val="20"/>
        </w:rPr>
        <w:t>otes</w:t>
      </w:r>
      <w:r w:rsidRPr="000045BE">
        <w:rPr>
          <w:rFonts w:asciiTheme="majorBidi" w:hAnsiTheme="majorBidi" w:cstheme="majorBidi"/>
          <w:sz w:val="20"/>
          <w:szCs w:val="20"/>
        </w:rPr>
        <w:t xml:space="preserve"> that it may consider whether to recommend to the Conference of the Parties at its fourteenth meeting that it issue a cautionary statement; </w:t>
      </w:r>
    </w:p>
    <w:p w:rsidR="003E0038" w:rsidRPr="000045BE" w:rsidRDefault="003E0038" w:rsidP="003E0038">
      <w:pPr>
        <w:pStyle w:val="ListParagraph"/>
        <w:numPr>
          <w:ilvl w:val="3"/>
          <w:numId w:val="2"/>
        </w:numPr>
        <w:tabs>
          <w:tab w:val="clear" w:pos="360"/>
          <w:tab w:val="left" w:pos="2410"/>
        </w:tabs>
        <w:autoSpaceDE w:val="0"/>
        <w:autoSpaceDN w:val="0"/>
        <w:adjustRightInd w:val="0"/>
        <w:spacing w:after="120"/>
        <w:ind w:left="1276" w:firstLine="567"/>
        <w:contextualSpacing w:val="0"/>
        <w:rPr>
          <w:rFonts w:asciiTheme="majorBidi" w:hAnsiTheme="majorBidi" w:cstheme="majorBidi"/>
          <w:sz w:val="20"/>
          <w:szCs w:val="20"/>
        </w:rPr>
      </w:pPr>
      <w:r w:rsidRPr="000045BE">
        <w:rPr>
          <w:rFonts w:asciiTheme="majorBidi" w:hAnsiTheme="majorBidi" w:cstheme="majorBidi"/>
          <w:i/>
          <w:sz w:val="20"/>
          <w:szCs w:val="20"/>
        </w:rPr>
        <w:t>Requests</w:t>
      </w:r>
      <w:r w:rsidRPr="000045BE">
        <w:rPr>
          <w:rFonts w:asciiTheme="majorBidi" w:hAnsiTheme="majorBidi" w:cstheme="majorBidi"/>
          <w:sz w:val="20"/>
          <w:szCs w:val="20"/>
        </w:rPr>
        <w:t xml:space="preserve"> the Secretariat to communicate this decision to the Basel Convention Regional Centre for Arab-speaking countries in Egypt;</w:t>
      </w:r>
    </w:p>
    <w:p w:rsidR="003E0038" w:rsidRPr="000045BE" w:rsidRDefault="003E0038" w:rsidP="003E0038">
      <w:pPr>
        <w:pStyle w:val="ListParagraph"/>
        <w:numPr>
          <w:ilvl w:val="3"/>
          <w:numId w:val="2"/>
        </w:numPr>
        <w:tabs>
          <w:tab w:val="clear" w:pos="360"/>
          <w:tab w:val="left" w:pos="2410"/>
        </w:tabs>
        <w:autoSpaceDE w:val="0"/>
        <w:autoSpaceDN w:val="0"/>
        <w:adjustRightInd w:val="0"/>
        <w:spacing w:after="120"/>
        <w:ind w:left="1276" w:firstLine="567"/>
        <w:contextualSpacing w:val="0"/>
        <w:rPr>
          <w:rFonts w:asciiTheme="majorBidi" w:hAnsiTheme="majorBidi" w:cstheme="majorBidi"/>
          <w:sz w:val="20"/>
          <w:szCs w:val="20"/>
        </w:rPr>
      </w:pPr>
      <w:r w:rsidRPr="000045BE">
        <w:rPr>
          <w:rFonts w:asciiTheme="majorBidi" w:hAnsiTheme="majorBidi" w:cstheme="majorBidi"/>
          <w:i/>
          <w:sz w:val="20"/>
          <w:szCs w:val="20"/>
        </w:rPr>
        <w:t>Requests</w:t>
      </w:r>
      <w:r w:rsidRPr="000045BE">
        <w:rPr>
          <w:rFonts w:asciiTheme="majorBidi" w:hAnsiTheme="majorBidi" w:cstheme="majorBidi"/>
          <w:sz w:val="20"/>
          <w:szCs w:val="20"/>
        </w:rPr>
        <w:t xml:space="preserve"> also the Secretariat to continue its communications with and support to Oman and to report to the Committee as appropriate;</w:t>
      </w:r>
    </w:p>
    <w:p w:rsidR="003E0038" w:rsidRPr="000045BE" w:rsidRDefault="003E0038" w:rsidP="003E0038">
      <w:pPr>
        <w:pStyle w:val="ListParagraph"/>
        <w:numPr>
          <w:ilvl w:val="3"/>
          <w:numId w:val="2"/>
        </w:numPr>
        <w:tabs>
          <w:tab w:val="clear" w:pos="360"/>
          <w:tab w:val="left" w:pos="2410"/>
        </w:tabs>
        <w:autoSpaceDE w:val="0"/>
        <w:autoSpaceDN w:val="0"/>
        <w:adjustRightInd w:val="0"/>
        <w:spacing w:after="120"/>
        <w:ind w:left="1276" w:firstLine="567"/>
        <w:contextualSpacing w:val="0"/>
        <w:rPr>
          <w:rFonts w:asciiTheme="majorBidi" w:hAnsiTheme="majorBidi" w:cstheme="majorBidi"/>
          <w:sz w:val="20"/>
          <w:szCs w:val="20"/>
        </w:rPr>
      </w:pPr>
      <w:r w:rsidRPr="000045BE">
        <w:rPr>
          <w:rFonts w:asciiTheme="majorBidi" w:hAnsiTheme="majorBidi" w:cstheme="majorBidi"/>
          <w:i/>
          <w:sz w:val="20"/>
          <w:szCs w:val="20"/>
        </w:rPr>
        <w:t>Decides</w:t>
      </w:r>
      <w:r w:rsidRPr="000045BE">
        <w:rPr>
          <w:rFonts w:asciiTheme="majorBidi" w:hAnsiTheme="majorBidi" w:cstheme="majorBidi"/>
          <w:sz w:val="20"/>
          <w:szCs w:val="20"/>
        </w:rPr>
        <w:t xml:space="preserve"> to keep the matter relevant to the submission CHW/CC/9a/2009/1 under review.</w:t>
      </w:r>
    </w:p>
    <w:p w:rsidR="00CF7497" w:rsidRDefault="00CF7497">
      <w:bookmarkStart w:id="0" w:name="_GoBack"/>
      <w:bookmarkEnd w:id="0"/>
    </w:p>
    <w:sectPr w:rsidR="00CF7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D01" w:rsidRDefault="00171D01" w:rsidP="003E0038">
      <w:r>
        <w:separator/>
      </w:r>
    </w:p>
  </w:endnote>
  <w:endnote w:type="continuationSeparator" w:id="0">
    <w:p w:rsidR="00171D01" w:rsidRDefault="00171D01" w:rsidP="003E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D01" w:rsidRDefault="00171D01" w:rsidP="003E0038">
      <w:r>
        <w:separator/>
      </w:r>
    </w:p>
  </w:footnote>
  <w:footnote w:type="continuationSeparator" w:id="0">
    <w:p w:rsidR="00171D01" w:rsidRDefault="00171D01" w:rsidP="003E0038">
      <w:r>
        <w:continuationSeparator/>
      </w:r>
    </w:p>
  </w:footnote>
  <w:footnote w:id="1">
    <w:p w:rsidR="003E0038" w:rsidRPr="00622BA9" w:rsidRDefault="003E0038" w:rsidP="003E0038">
      <w:pPr>
        <w:pStyle w:val="FootnoteText"/>
        <w:tabs>
          <w:tab w:val="left" w:pos="1276"/>
        </w:tabs>
        <w:ind w:left="1276"/>
        <w:rPr>
          <w:szCs w:val="18"/>
        </w:rPr>
      </w:pPr>
      <w:r>
        <w:rPr>
          <w:rStyle w:val="FootnoteReference"/>
        </w:rPr>
        <w:t>16</w:t>
      </w:r>
      <w:r w:rsidRPr="00622BA9">
        <w:rPr>
          <w:szCs w:val="18"/>
        </w:rPr>
        <w:t xml:space="preserve"> </w:t>
      </w:r>
      <w:r w:rsidRPr="00622BA9">
        <w:rPr>
          <w:szCs w:val="18"/>
          <w:lang w:val="en-US"/>
        </w:rPr>
        <w:t>UNEP/CHW/CC.13/INF/8.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3069"/>
    <w:multiLevelType w:val="multilevel"/>
    <w:tmpl w:val="D2DCE6C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i w:val="0"/>
        <w:iCs/>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abstractNum w:abstractNumId="1" w15:restartNumberingAfterBreak="0">
    <w:nsid w:val="698A150A"/>
    <w:multiLevelType w:val="multilevel"/>
    <w:tmpl w:val="1CD4386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lvlText w:val="%4."/>
      <w:lvlJc w:val="left"/>
      <w:pPr>
        <w:tabs>
          <w:tab w:val="num" w:pos="360"/>
        </w:tabs>
        <w:ind w:left="360" w:firstLine="4047"/>
      </w:pPr>
      <w:rPr>
        <w:rFonts w:hint="default"/>
        <w:i w:val="0"/>
        <w:iCs w:val="0"/>
        <w:color w:val="000000"/>
        <w:position w:val="0"/>
        <w:sz w:val="20"/>
        <w:szCs w:val="20"/>
      </w:rPr>
    </w:lvl>
    <w:lvl w:ilvl="4">
      <w:start w:val="1"/>
      <w:numFmt w:val="lowerLetter"/>
      <w:lvlText w:val="(%5)"/>
      <w:lvlJc w:val="left"/>
      <w:pPr>
        <w:tabs>
          <w:tab w:val="num" w:pos="360"/>
        </w:tabs>
        <w:ind w:left="360" w:firstLine="4767"/>
      </w:pPr>
      <w:rPr>
        <w:rFonts w:hint="default"/>
        <w:i w:val="0"/>
        <w:color w:val="000000"/>
        <w:position w:val="0"/>
        <w:sz w:val="20"/>
        <w:szCs w:val="20"/>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38"/>
    <w:rsid w:val="00171D01"/>
    <w:rsid w:val="00304CF0"/>
    <w:rsid w:val="003E0038"/>
    <w:rsid w:val="00987DB3"/>
    <w:rsid w:val="009D258D"/>
    <w:rsid w:val="00C873CC"/>
    <w:rsid w:val="00CF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03ADB-588C-4564-949A-76E03964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038"/>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38"/>
    <w:pPr>
      <w:tabs>
        <w:tab w:val="clear" w:pos="1247"/>
        <w:tab w:val="clear" w:pos="1814"/>
        <w:tab w:val="clear" w:pos="2381"/>
        <w:tab w:val="clear" w:pos="2948"/>
        <w:tab w:val="clear" w:pos="3515"/>
      </w:tabs>
      <w:ind w:left="720"/>
      <w:contextualSpacing/>
    </w:pPr>
    <w:rPr>
      <w:rFonts w:eastAsia="SimSun"/>
      <w:sz w:val="24"/>
      <w:szCs w:val="24"/>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stylish"/>
    <w:uiPriority w:val="99"/>
    <w:rsid w:val="003E0038"/>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rsid w:val="003E0038"/>
    <w:pPr>
      <w:spacing w:before="20" w:after="40"/>
      <w:ind w:left="1247"/>
    </w:pPr>
    <w:rPr>
      <w:sz w:val="1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rsid w:val="003E0038"/>
    <w:rPr>
      <w:rFonts w:ascii="Times New Roman" w:eastAsia="Times New Roman" w:hAnsi="Times New Roman" w:cs="Times New Roman"/>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2018-12-05T09:03:00Z</dcterms:created>
  <dcterms:modified xsi:type="dcterms:W3CDTF">2018-12-05T09:03:00Z</dcterms:modified>
</cp:coreProperties>
</file>