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0DA65" w14:textId="29E1A638" w:rsidR="00252A2B" w:rsidRPr="00B66330" w:rsidRDefault="00252A2B" w:rsidP="00252A2B">
      <w:pPr>
        <w:pStyle w:val="CH1"/>
        <w:tabs>
          <w:tab w:val="clear" w:pos="1247"/>
          <w:tab w:val="left" w:pos="1418"/>
        </w:tabs>
        <w:spacing w:line="240" w:lineRule="auto"/>
        <w:ind w:right="0"/>
        <w:rPr>
          <w:rFonts w:eastAsia="SimHei"/>
          <w:snapToGrid w:val="0"/>
          <w:sz w:val="32"/>
          <w:szCs w:val="32"/>
          <w:lang w:eastAsia="zh-CN"/>
        </w:rPr>
      </w:pPr>
      <w:r>
        <w:rPr>
          <w:rFonts w:eastAsia="SimHei"/>
          <w:bCs/>
          <w:snapToGrid w:val="0"/>
          <w:sz w:val="32"/>
          <w:szCs w:val="32"/>
          <w:lang w:val="zh-CN" w:eastAsia="zh-CN"/>
        </w:rPr>
        <w:tab/>
      </w:r>
      <w:r>
        <w:rPr>
          <w:rFonts w:eastAsia="SimHei"/>
          <w:bCs/>
          <w:snapToGrid w:val="0"/>
          <w:sz w:val="32"/>
          <w:szCs w:val="32"/>
          <w:lang w:val="zh-CN" w:eastAsia="zh-CN"/>
        </w:rPr>
        <w:tab/>
      </w:r>
      <w:bookmarkStart w:id="0" w:name="_GoBack"/>
      <w:bookmarkEnd w:id="0"/>
      <w:r w:rsidRPr="00B66330">
        <w:rPr>
          <w:rFonts w:eastAsia="SimHei"/>
          <w:bCs/>
          <w:snapToGrid w:val="0"/>
          <w:sz w:val="32"/>
          <w:szCs w:val="32"/>
          <w:lang w:val="zh-CN" w:eastAsia="zh-CN"/>
        </w:rPr>
        <w:t>BC-14/1</w:t>
      </w:r>
      <w:r w:rsidRPr="00B66330">
        <w:rPr>
          <w:rFonts w:eastAsia="SimHei"/>
          <w:bCs/>
          <w:snapToGrid w:val="0"/>
          <w:sz w:val="32"/>
          <w:szCs w:val="32"/>
          <w:lang w:val="zh-CN" w:eastAsia="zh-CN"/>
        </w:rPr>
        <w:t>：</w:t>
      </w:r>
      <w:r w:rsidRPr="00B66330">
        <w:rPr>
          <w:rFonts w:eastAsia="SimHei"/>
          <w:bCs/>
          <w:snapToGrid w:val="0"/>
          <w:sz w:val="32"/>
          <w:szCs w:val="32"/>
          <w:lang w:val="zh-CN" w:eastAsia="zh-CN"/>
        </w:rPr>
        <w:t>2012-2021</w:t>
      </w:r>
      <w:r w:rsidRPr="00B66330">
        <w:rPr>
          <w:rFonts w:eastAsia="SimHei"/>
          <w:bCs/>
          <w:snapToGrid w:val="0"/>
          <w:sz w:val="32"/>
          <w:szCs w:val="32"/>
          <w:lang w:val="zh-CN" w:eastAsia="zh-CN"/>
        </w:rPr>
        <w:t>年《巴塞尔公约》执行工作战略框架</w:t>
      </w:r>
    </w:p>
    <w:p w14:paraId="4F2745D5" w14:textId="77777777" w:rsidR="00252A2B" w:rsidRPr="00682B39" w:rsidRDefault="00252A2B" w:rsidP="00252A2B">
      <w:pPr>
        <w:pStyle w:val="Normalnumber"/>
        <w:numPr>
          <w:ilvl w:val="0"/>
          <w:numId w:val="0"/>
        </w:numPr>
        <w:spacing w:line="240" w:lineRule="auto"/>
        <w:ind w:left="1247" w:firstLine="624"/>
        <w:jc w:val="both"/>
        <w:rPr>
          <w:rFonts w:ascii="KaiTi" w:eastAsia="KaiTi" w:hAnsi="KaiTi"/>
          <w:i/>
          <w:iCs/>
          <w:snapToGrid w:val="0"/>
          <w:sz w:val="24"/>
          <w:szCs w:val="24"/>
        </w:rPr>
      </w:pPr>
      <w:proofErr w:type="spellStart"/>
      <w:r w:rsidRPr="00682B39">
        <w:rPr>
          <w:rFonts w:ascii="KaiTi" w:eastAsia="KaiTi" w:hAnsi="KaiTi" w:hint="eastAsia"/>
          <w:snapToGrid w:val="0"/>
          <w:sz w:val="24"/>
          <w:szCs w:val="24"/>
          <w:lang w:val="zh-CN"/>
        </w:rPr>
        <w:t>缔约方大会</w:t>
      </w:r>
      <w:proofErr w:type="spellEnd"/>
    </w:p>
    <w:p w14:paraId="30AEE102" w14:textId="77777777" w:rsidR="00252A2B" w:rsidRPr="00B66330" w:rsidRDefault="00252A2B" w:rsidP="00252A2B">
      <w:pPr>
        <w:pStyle w:val="Normal-pool"/>
        <w:numPr>
          <w:ilvl w:val="0"/>
          <w:numId w:val="2"/>
        </w:numPr>
        <w:tabs>
          <w:tab w:val="clear" w:pos="3215"/>
          <w:tab w:val="clear" w:pos="3515"/>
          <w:tab w:val="clear" w:pos="4082"/>
          <w:tab w:val="left" w:pos="624"/>
        </w:tabs>
        <w:spacing w:after="120" w:line="240" w:lineRule="auto"/>
        <w:ind w:left="1247" w:firstLine="624"/>
        <w:jc w:val="both"/>
        <w:rPr>
          <w:i/>
          <w:snapToGrid w:val="0"/>
          <w:sz w:val="24"/>
          <w:szCs w:val="24"/>
          <w:lang w:eastAsia="zh-CN"/>
        </w:rPr>
      </w:pPr>
      <w:r w:rsidRPr="00682B39">
        <w:rPr>
          <w:rFonts w:ascii="KaiTi" w:eastAsia="KaiTi" w:hAnsi="KaiTi" w:hint="eastAsia"/>
          <w:snapToGrid w:val="0"/>
          <w:sz w:val="24"/>
          <w:szCs w:val="24"/>
          <w:lang w:val="zh-CN" w:eastAsia="zh-CN"/>
        </w:rPr>
        <w:t>欢迎</w:t>
      </w:r>
      <w:r w:rsidRPr="00B66330">
        <w:rPr>
          <w:snapToGrid w:val="0"/>
          <w:sz w:val="24"/>
          <w:szCs w:val="24"/>
          <w:lang w:val="zh-CN" w:eastAsia="zh-CN"/>
        </w:rPr>
        <w:t>2012-2021</w:t>
      </w:r>
      <w:r w:rsidRPr="00B66330">
        <w:rPr>
          <w:snapToGrid w:val="0"/>
          <w:sz w:val="24"/>
          <w:szCs w:val="24"/>
          <w:lang w:val="zh-CN" w:eastAsia="zh-CN"/>
        </w:rPr>
        <w:t>年期间《控制危险废物越境转移及其处置巴塞尔公约》执行工作战略框架小型闭会期间工作组开展的工作；</w:t>
      </w:r>
    </w:p>
    <w:p w14:paraId="3FFAE165" w14:textId="77777777" w:rsidR="00252A2B" w:rsidRPr="00B66330" w:rsidRDefault="00252A2B" w:rsidP="00252A2B">
      <w:pPr>
        <w:pStyle w:val="Normal-pool"/>
        <w:numPr>
          <w:ilvl w:val="0"/>
          <w:numId w:val="2"/>
        </w:numPr>
        <w:tabs>
          <w:tab w:val="clear" w:pos="3215"/>
          <w:tab w:val="clear" w:pos="3515"/>
          <w:tab w:val="clear" w:pos="4082"/>
          <w:tab w:val="left" w:pos="624"/>
        </w:tabs>
        <w:spacing w:after="120" w:line="240" w:lineRule="auto"/>
        <w:ind w:left="1247" w:firstLine="624"/>
        <w:jc w:val="both"/>
        <w:rPr>
          <w:snapToGrid w:val="0"/>
          <w:sz w:val="24"/>
          <w:szCs w:val="24"/>
          <w:lang w:eastAsia="zh-CN"/>
        </w:rPr>
      </w:pPr>
      <w:proofErr w:type="gramStart"/>
      <w:r w:rsidRPr="00682B39">
        <w:rPr>
          <w:rFonts w:ascii="KaiTi" w:eastAsia="KaiTi" w:hAnsi="KaiTi" w:hint="eastAsia"/>
          <w:snapToGrid w:val="0"/>
          <w:sz w:val="24"/>
          <w:szCs w:val="24"/>
          <w:lang w:val="zh-CN" w:eastAsia="zh-CN"/>
        </w:rPr>
        <w:t>请</w:t>
      </w:r>
      <w:r w:rsidRPr="00B66330">
        <w:rPr>
          <w:snapToGrid w:val="0"/>
          <w:sz w:val="24"/>
          <w:szCs w:val="24"/>
          <w:lang w:val="zh-CN" w:eastAsia="zh-CN"/>
        </w:rPr>
        <w:t>尚未</w:t>
      </w:r>
      <w:proofErr w:type="gramEnd"/>
      <w:r w:rsidRPr="00B66330">
        <w:rPr>
          <w:snapToGrid w:val="0"/>
          <w:sz w:val="24"/>
          <w:szCs w:val="24"/>
          <w:lang w:val="zh-CN" w:eastAsia="zh-CN"/>
        </w:rPr>
        <w:t>提名第二名在战略计划、方案、条约或《巴塞尔公约》国家执行情况的评价方面具备特定知识和专长的专家担任工作组成员的区域组于</w:t>
      </w:r>
      <w:r w:rsidRPr="00B66330">
        <w:rPr>
          <w:snapToGrid w:val="0"/>
          <w:sz w:val="24"/>
          <w:szCs w:val="24"/>
          <w:lang w:val="zh-CN" w:eastAsia="zh-CN"/>
        </w:rPr>
        <w:t>2019</w:t>
      </w:r>
      <w:r w:rsidRPr="00B66330">
        <w:rPr>
          <w:snapToGrid w:val="0"/>
          <w:sz w:val="24"/>
          <w:szCs w:val="24"/>
          <w:lang w:val="zh-CN" w:eastAsia="zh-CN"/>
        </w:rPr>
        <w:t>年</w:t>
      </w:r>
      <w:r w:rsidRPr="00B66330">
        <w:rPr>
          <w:snapToGrid w:val="0"/>
          <w:sz w:val="24"/>
          <w:szCs w:val="24"/>
          <w:lang w:val="zh-CN" w:eastAsia="zh-CN"/>
        </w:rPr>
        <w:t>7</w:t>
      </w:r>
      <w:r w:rsidRPr="00B66330">
        <w:rPr>
          <w:snapToGrid w:val="0"/>
          <w:sz w:val="24"/>
          <w:szCs w:val="24"/>
          <w:lang w:val="zh-CN" w:eastAsia="zh-CN"/>
        </w:rPr>
        <w:t>月</w:t>
      </w:r>
      <w:r w:rsidRPr="00B66330">
        <w:rPr>
          <w:snapToGrid w:val="0"/>
          <w:sz w:val="24"/>
          <w:szCs w:val="24"/>
          <w:lang w:val="zh-CN" w:eastAsia="zh-CN"/>
        </w:rPr>
        <w:t>31</w:t>
      </w:r>
      <w:r w:rsidRPr="00B66330">
        <w:rPr>
          <w:snapToGrid w:val="0"/>
          <w:sz w:val="24"/>
          <w:szCs w:val="24"/>
          <w:lang w:val="zh-CN" w:eastAsia="zh-CN"/>
        </w:rPr>
        <w:t>日前通过其主席团代表提名剩余专家，并请秘书处协助提名进程；</w:t>
      </w:r>
    </w:p>
    <w:p w14:paraId="16A5A71A" w14:textId="77777777" w:rsidR="00252A2B" w:rsidRPr="00B66330" w:rsidRDefault="00252A2B" w:rsidP="00252A2B">
      <w:pPr>
        <w:pStyle w:val="Normal-pool"/>
        <w:numPr>
          <w:ilvl w:val="0"/>
          <w:numId w:val="2"/>
        </w:numPr>
        <w:tabs>
          <w:tab w:val="clear" w:pos="3215"/>
          <w:tab w:val="clear" w:pos="3515"/>
          <w:tab w:val="clear" w:pos="4082"/>
          <w:tab w:val="left" w:pos="624"/>
        </w:tabs>
        <w:spacing w:after="120" w:line="240" w:lineRule="auto"/>
        <w:ind w:left="1247" w:firstLine="624"/>
        <w:jc w:val="both"/>
        <w:rPr>
          <w:snapToGrid w:val="0"/>
          <w:sz w:val="24"/>
          <w:szCs w:val="24"/>
          <w:lang w:eastAsia="zh-CN"/>
        </w:rPr>
      </w:pPr>
      <w:r w:rsidRPr="00682B39">
        <w:rPr>
          <w:rFonts w:ascii="KaiTi" w:eastAsia="KaiTi" w:hAnsi="KaiTi" w:hint="eastAsia"/>
          <w:snapToGrid w:val="0"/>
          <w:sz w:val="24"/>
          <w:szCs w:val="24"/>
          <w:lang w:val="zh-CN" w:eastAsia="zh-CN"/>
        </w:rPr>
        <w:t>敦促</w:t>
      </w:r>
      <w:r w:rsidRPr="00B66330">
        <w:rPr>
          <w:snapToGrid w:val="0"/>
          <w:sz w:val="24"/>
          <w:szCs w:val="24"/>
          <w:lang w:val="zh-CN" w:eastAsia="zh-CN"/>
        </w:rPr>
        <w:t>缔约方采用秘书处编制的报告格式，最迟于</w:t>
      </w:r>
      <w:r w:rsidRPr="00B66330">
        <w:rPr>
          <w:snapToGrid w:val="0"/>
          <w:sz w:val="24"/>
          <w:szCs w:val="24"/>
          <w:lang w:val="zh-CN" w:eastAsia="zh-CN"/>
        </w:rPr>
        <w:t>2020</w:t>
      </w:r>
      <w:r w:rsidRPr="00B66330">
        <w:rPr>
          <w:snapToGrid w:val="0"/>
          <w:sz w:val="24"/>
          <w:szCs w:val="24"/>
          <w:lang w:val="zh-CN" w:eastAsia="zh-CN"/>
        </w:rPr>
        <w:t>年</w:t>
      </w:r>
      <w:r w:rsidRPr="00B66330">
        <w:rPr>
          <w:snapToGrid w:val="0"/>
          <w:sz w:val="24"/>
          <w:szCs w:val="24"/>
          <w:lang w:val="zh-CN" w:eastAsia="zh-CN"/>
        </w:rPr>
        <w:t>1</w:t>
      </w:r>
      <w:r w:rsidRPr="00B66330">
        <w:rPr>
          <w:snapToGrid w:val="0"/>
          <w:sz w:val="24"/>
          <w:szCs w:val="24"/>
          <w:lang w:val="zh-CN" w:eastAsia="zh-CN"/>
        </w:rPr>
        <w:t>月</w:t>
      </w:r>
      <w:r w:rsidRPr="00B66330">
        <w:rPr>
          <w:snapToGrid w:val="0"/>
          <w:sz w:val="24"/>
          <w:szCs w:val="24"/>
          <w:lang w:val="zh-CN" w:eastAsia="zh-CN"/>
        </w:rPr>
        <w:t>31</w:t>
      </w:r>
      <w:r w:rsidRPr="00B66330">
        <w:rPr>
          <w:snapToGrid w:val="0"/>
          <w:sz w:val="24"/>
          <w:szCs w:val="24"/>
          <w:lang w:val="zh-CN" w:eastAsia="zh-CN"/>
        </w:rPr>
        <w:t>日向秘书处提供与战略框架第五节所列各项指标有关的</w:t>
      </w:r>
      <w:r w:rsidRPr="00B66330">
        <w:rPr>
          <w:snapToGrid w:val="0"/>
          <w:sz w:val="24"/>
          <w:szCs w:val="24"/>
          <w:lang w:val="zh-CN" w:eastAsia="zh-CN"/>
        </w:rPr>
        <w:t>2019</w:t>
      </w:r>
      <w:r w:rsidRPr="00B66330">
        <w:rPr>
          <w:snapToGrid w:val="0"/>
          <w:sz w:val="24"/>
          <w:szCs w:val="24"/>
          <w:lang w:val="zh-CN" w:eastAsia="zh-CN"/>
        </w:rPr>
        <w:t>年资料；</w:t>
      </w:r>
      <w:r w:rsidRPr="00B66330">
        <w:rPr>
          <w:snapToGrid w:val="0"/>
          <w:sz w:val="24"/>
          <w:szCs w:val="22"/>
          <w:vertAlign w:val="superscript"/>
          <w:lang w:val="zh-CN" w:eastAsia="nl-NL"/>
        </w:rPr>
        <w:footnoteReference w:id="1"/>
      </w:r>
    </w:p>
    <w:p w14:paraId="6C0847E4" w14:textId="77777777" w:rsidR="00252A2B" w:rsidRPr="00B66330" w:rsidRDefault="00252A2B" w:rsidP="00252A2B">
      <w:pPr>
        <w:pStyle w:val="Normal-pool"/>
        <w:numPr>
          <w:ilvl w:val="0"/>
          <w:numId w:val="2"/>
        </w:numPr>
        <w:tabs>
          <w:tab w:val="clear" w:pos="3215"/>
          <w:tab w:val="clear" w:pos="3515"/>
          <w:tab w:val="clear" w:pos="4082"/>
          <w:tab w:val="left" w:pos="624"/>
        </w:tabs>
        <w:spacing w:after="120" w:line="240" w:lineRule="auto"/>
        <w:ind w:left="1247" w:firstLine="624"/>
        <w:jc w:val="both"/>
        <w:rPr>
          <w:snapToGrid w:val="0"/>
          <w:color w:val="000000"/>
          <w:sz w:val="24"/>
          <w:szCs w:val="24"/>
          <w:lang w:eastAsia="zh-CN"/>
        </w:rPr>
      </w:pPr>
      <w:r w:rsidRPr="00682B39">
        <w:rPr>
          <w:rFonts w:ascii="KaiTi" w:eastAsia="KaiTi" w:hAnsi="KaiTi" w:hint="eastAsia"/>
          <w:snapToGrid w:val="0"/>
          <w:sz w:val="24"/>
          <w:szCs w:val="24"/>
          <w:lang w:val="zh-CN" w:eastAsia="zh-CN"/>
        </w:rPr>
        <w:t>请</w:t>
      </w:r>
      <w:r w:rsidRPr="00B66330">
        <w:rPr>
          <w:snapToGrid w:val="0"/>
          <w:sz w:val="24"/>
          <w:szCs w:val="24"/>
          <w:lang w:val="zh-CN" w:eastAsia="zh-CN"/>
        </w:rPr>
        <w:t>秘书处与小型闭会期间工作组磋商，在具备资源的情况下：</w:t>
      </w:r>
    </w:p>
    <w:p w14:paraId="14BADF8E" w14:textId="77777777" w:rsidR="00252A2B" w:rsidRPr="00B66330" w:rsidRDefault="00252A2B" w:rsidP="00252A2B">
      <w:pPr>
        <w:pStyle w:val="Normal-pool"/>
        <w:numPr>
          <w:ilvl w:val="1"/>
          <w:numId w:val="3"/>
        </w:numPr>
        <w:tabs>
          <w:tab w:val="clear" w:pos="1247"/>
          <w:tab w:val="clear" w:pos="1814"/>
          <w:tab w:val="clear" w:pos="2381"/>
          <w:tab w:val="clear" w:pos="2948"/>
          <w:tab w:val="clear" w:pos="3515"/>
          <w:tab w:val="clear" w:pos="4082"/>
          <w:tab w:val="left" w:pos="624"/>
        </w:tabs>
        <w:spacing w:after="120" w:line="240" w:lineRule="auto"/>
        <w:jc w:val="both"/>
        <w:rPr>
          <w:snapToGrid w:val="0"/>
          <w:sz w:val="24"/>
          <w:szCs w:val="24"/>
          <w:lang w:eastAsia="zh-CN"/>
        </w:rPr>
      </w:pPr>
      <w:r w:rsidRPr="00B66330">
        <w:rPr>
          <w:snapToGrid w:val="0"/>
          <w:sz w:val="24"/>
          <w:szCs w:val="24"/>
          <w:lang w:val="zh-CN" w:eastAsia="zh-CN"/>
        </w:rPr>
        <w:t>以资料汇编</w:t>
      </w:r>
      <w:r w:rsidRPr="00B66330">
        <w:rPr>
          <w:snapToGrid w:val="0"/>
          <w:sz w:val="24"/>
          <w:szCs w:val="22"/>
          <w:vertAlign w:val="superscript"/>
          <w:lang w:val="zh-CN"/>
        </w:rPr>
        <w:footnoteReference w:id="2"/>
      </w:r>
      <w:r w:rsidRPr="00B66330">
        <w:rPr>
          <w:snapToGrid w:val="0"/>
          <w:sz w:val="24"/>
          <w:szCs w:val="24"/>
          <w:lang w:val="zh-CN" w:eastAsia="zh-CN"/>
        </w:rPr>
        <w:t>为基础，并考虑到缔约方大会第十四次会议的讨论情况、缔约方根据上文第</w:t>
      </w:r>
      <w:r w:rsidRPr="00B66330">
        <w:rPr>
          <w:snapToGrid w:val="0"/>
          <w:sz w:val="24"/>
          <w:szCs w:val="24"/>
          <w:lang w:val="zh-CN" w:eastAsia="zh-CN"/>
        </w:rPr>
        <w:t>3</w:t>
      </w:r>
      <w:r w:rsidRPr="00B66330">
        <w:rPr>
          <w:snapToGrid w:val="0"/>
          <w:sz w:val="24"/>
          <w:szCs w:val="24"/>
          <w:lang w:val="zh-CN" w:eastAsia="zh-CN"/>
        </w:rPr>
        <w:t>段所述的与各项指标有关的资料以及缔约方的年度国家报告，就战略框架的终期评价编写一份报告草案，供不限成员名额工作组第十二次会议审议；</w:t>
      </w:r>
    </w:p>
    <w:p w14:paraId="601F0973" w14:textId="77777777" w:rsidR="00252A2B" w:rsidRPr="00B66330" w:rsidRDefault="00252A2B" w:rsidP="00252A2B">
      <w:pPr>
        <w:pStyle w:val="Normal-pool"/>
        <w:numPr>
          <w:ilvl w:val="1"/>
          <w:numId w:val="3"/>
        </w:numPr>
        <w:tabs>
          <w:tab w:val="clear" w:pos="1247"/>
          <w:tab w:val="clear" w:pos="1814"/>
          <w:tab w:val="clear" w:pos="2381"/>
          <w:tab w:val="clear" w:pos="2948"/>
          <w:tab w:val="clear" w:pos="3515"/>
          <w:tab w:val="clear" w:pos="4082"/>
          <w:tab w:val="left" w:pos="624"/>
        </w:tabs>
        <w:spacing w:after="120" w:line="240" w:lineRule="auto"/>
        <w:jc w:val="both"/>
        <w:rPr>
          <w:snapToGrid w:val="0"/>
          <w:sz w:val="24"/>
          <w:szCs w:val="24"/>
          <w:lang w:eastAsia="zh-CN"/>
        </w:rPr>
      </w:pPr>
      <w:r w:rsidRPr="00B66330">
        <w:rPr>
          <w:snapToGrid w:val="0"/>
          <w:sz w:val="24"/>
          <w:szCs w:val="24"/>
          <w:lang w:val="zh-CN" w:eastAsia="zh-CN"/>
        </w:rPr>
        <w:t>向缔约方大会第十五次会议提交本决定第</w:t>
      </w:r>
      <w:r w:rsidRPr="00B66330">
        <w:rPr>
          <w:snapToGrid w:val="0"/>
          <w:sz w:val="24"/>
          <w:szCs w:val="24"/>
          <w:lang w:val="zh-CN" w:eastAsia="zh-CN"/>
        </w:rPr>
        <w:t>4(a)</w:t>
      </w:r>
      <w:r w:rsidRPr="00B66330">
        <w:rPr>
          <w:snapToGrid w:val="0"/>
          <w:sz w:val="24"/>
          <w:szCs w:val="24"/>
          <w:lang w:val="zh-CN" w:eastAsia="zh-CN"/>
        </w:rPr>
        <w:t>分段所述报告的最终版本，供其审议；</w:t>
      </w:r>
    </w:p>
    <w:p w14:paraId="21BA69D4" w14:textId="77777777" w:rsidR="00252A2B" w:rsidRPr="00B66330" w:rsidRDefault="00252A2B" w:rsidP="00252A2B">
      <w:pPr>
        <w:pStyle w:val="Normal-pool"/>
        <w:numPr>
          <w:ilvl w:val="0"/>
          <w:numId w:val="2"/>
        </w:numPr>
        <w:tabs>
          <w:tab w:val="clear" w:pos="3215"/>
          <w:tab w:val="clear" w:pos="3515"/>
          <w:tab w:val="clear" w:pos="4082"/>
          <w:tab w:val="left" w:pos="624"/>
        </w:tabs>
        <w:spacing w:after="120" w:line="240" w:lineRule="auto"/>
        <w:ind w:left="1247" w:firstLine="624"/>
        <w:jc w:val="both"/>
        <w:rPr>
          <w:snapToGrid w:val="0"/>
          <w:lang w:eastAsia="zh-CN"/>
        </w:rPr>
      </w:pPr>
      <w:r w:rsidRPr="00682B39">
        <w:rPr>
          <w:rFonts w:ascii="KaiTi" w:eastAsia="KaiTi" w:hAnsi="KaiTi" w:hint="eastAsia"/>
          <w:snapToGrid w:val="0"/>
          <w:sz w:val="24"/>
          <w:szCs w:val="24"/>
          <w:lang w:val="zh-CN" w:eastAsia="zh-CN"/>
        </w:rPr>
        <w:t>请</w:t>
      </w:r>
      <w:r w:rsidRPr="00B66330">
        <w:rPr>
          <w:snapToGrid w:val="0"/>
          <w:sz w:val="24"/>
          <w:szCs w:val="24"/>
          <w:lang w:val="zh-CN" w:eastAsia="zh-CN"/>
        </w:rPr>
        <w:t>秘书处在</w:t>
      </w:r>
      <w:r w:rsidRPr="00B66330">
        <w:rPr>
          <w:rFonts w:hint="eastAsia"/>
          <w:snapToGrid w:val="0"/>
          <w:sz w:val="24"/>
          <w:szCs w:val="24"/>
          <w:lang w:val="en-US" w:eastAsia="zh-CN"/>
        </w:rPr>
        <w:t>资源允许</w:t>
      </w:r>
      <w:r w:rsidRPr="00B66330">
        <w:rPr>
          <w:snapToGrid w:val="0"/>
          <w:sz w:val="24"/>
          <w:szCs w:val="24"/>
          <w:lang w:val="zh-CN" w:eastAsia="zh-CN"/>
        </w:rPr>
        <w:t>的情况下向小型闭会期间工作组提供工作支持，包括在</w:t>
      </w:r>
      <w:r w:rsidRPr="00B66330">
        <w:rPr>
          <w:snapToGrid w:val="0"/>
          <w:sz w:val="24"/>
          <w:szCs w:val="24"/>
          <w:lang w:val="zh-CN" w:eastAsia="zh-CN"/>
        </w:rPr>
        <w:t>2020–2021</w:t>
      </w:r>
      <w:r w:rsidRPr="00B66330">
        <w:rPr>
          <w:snapToGrid w:val="0"/>
          <w:sz w:val="24"/>
          <w:szCs w:val="24"/>
          <w:lang w:val="zh-CN" w:eastAsia="zh-CN"/>
        </w:rPr>
        <w:t>两年</w:t>
      </w:r>
      <w:proofErr w:type="gramStart"/>
      <w:r w:rsidRPr="00B66330">
        <w:rPr>
          <w:snapToGrid w:val="0"/>
          <w:sz w:val="24"/>
          <w:szCs w:val="24"/>
          <w:lang w:val="zh-CN" w:eastAsia="zh-CN"/>
        </w:rPr>
        <w:t>期举办</w:t>
      </w:r>
      <w:proofErr w:type="gramEnd"/>
      <w:r w:rsidRPr="00B66330">
        <w:rPr>
          <w:snapToGrid w:val="0"/>
          <w:sz w:val="24"/>
          <w:szCs w:val="24"/>
          <w:lang w:val="zh-CN" w:eastAsia="zh-CN"/>
        </w:rPr>
        <w:t>一次面对面会议，并向不限成员名额工作组第十二次会议和缔约方大会第十五次会议报告本决定的执行情况。</w:t>
      </w:r>
      <w:bookmarkStart w:id="1" w:name="_Hlk12528432"/>
      <w:bookmarkEnd w:id="1"/>
    </w:p>
    <w:p w14:paraId="6792058D" w14:textId="77777777" w:rsidR="00F935A6" w:rsidRPr="00252A2B" w:rsidRDefault="00F935A6">
      <w:pPr>
        <w:rPr>
          <w:lang w:val="en-GB"/>
        </w:rPr>
      </w:pPr>
    </w:p>
    <w:sectPr w:rsidR="00F935A6" w:rsidRPr="00252A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5D4B" w14:textId="77777777" w:rsidR="00BF0377" w:rsidRDefault="00BF0377" w:rsidP="00252A2B">
      <w:pPr>
        <w:spacing w:after="0" w:line="240" w:lineRule="auto"/>
      </w:pPr>
      <w:r>
        <w:separator/>
      </w:r>
    </w:p>
  </w:endnote>
  <w:endnote w:type="continuationSeparator" w:id="0">
    <w:p w14:paraId="68B94CDE" w14:textId="77777777" w:rsidR="00BF0377" w:rsidRDefault="00BF0377" w:rsidP="0025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FB88D" w14:textId="77777777" w:rsidR="00BF0377" w:rsidRDefault="00BF0377" w:rsidP="00252A2B">
      <w:pPr>
        <w:spacing w:after="0" w:line="240" w:lineRule="auto"/>
      </w:pPr>
      <w:r>
        <w:separator/>
      </w:r>
    </w:p>
  </w:footnote>
  <w:footnote w:type="continuationSeparator" w:id="0">
    <w:p w14:paraId="2CD21B96" w14:textId="77777777" w:rsidR="00BF0377" w:rsidRDefault="00BF0377" w:rsidP="00252A2B">
      <w:pPr>
        <w:spacing w:after="0" w:line="240" w:lineRule="auto"/>
      </w:pPr>
      <w:r>
        <w:continuationSeparator/>
      </w:r>
    </w:p>
  </w:footnote>
  <w:footnote w:id="1">
    <w:p w14:paraId="077AB6D2" w14:textId="77777777" w:rsidR="00252A2B" w:rsidRPr="00BE4BAC" w:rsidRDefault="00252A2B" w:rsidP="00252A2B">
      <w:pPr>
        <w:pStyle w:val="FootnoteText"/>
        <w:tabs>
          <w:tab w:val="left" w:pos="624"/>
        </w:tabs>
        <w:spacing w:after="40" w:line="240" w:lineRule="auto"/>
        <w:ind w:left="476" w:right="57" w:firstLine="782"/>
        <w:rPr>
          <w:spacing w:val="0"/>
          <w:w w:val="100"/>
          <w:kern w:val="0"/>
          <w:sz w:val="20"/>
          <w:lang w:val="en-US"/>
        </w:rPr>
      </w:pPr>
      <w:r w:rsidRPr="00682B39">
        <w:rPr>
          <w:rStyle w:val="FootnoteReference"/>
          <w:spacing w:val="0"/>
          <w:w w:val="100"/>
          <w:kern w:val="0"/>
          <w:lang w:val="zh-CN"/>
        </w:rPr>
        <w:footnoteRef/>
      </w:r>
      <w:r w:rsidRPr="00BE4BAC">
        <w:rPr>
          <w:spacing w:val="0"/>
          <w:w w:val="100"/>
          <w:kern w:val="0"/>
          <w:sz w:val="20"/>
          <w:lang w:val="en-US"/>
        </w:rPr>
        <w:t xml:space="preserve"> UNEP/CHW.12/INF/5</w:t>
      </w:r>
      <w:r w:rsidRPr="00BE4BAC">
        <w:rPr>
          <w:rFonts w:hint="eastAsia"/>
          <w:spacing w:val="0"/>
          <w:w w:val="100"/>
          <w:kern w:val="0"/>
          <w:sz w:val="20"/>
          <w:lang w:val="en-US"/>
        </w:rPr>
        <w:t>，</w:t>
      </w:r>
      <w:r w:rsidRPr="00682B39">
        <w:rPr>
          <w:rFonts w:hint="eastAsia"/>
          <w:spacing w:val="0"/>
          <w:w w:val="100"/>
          <w:kern w:val="0"/>
          <w:sz w:val="20"/>
          <w:lang w:val="zh-CN"/>
        </w:rPr>
        <w:t>附件</w:t>
      </w:r>
      <w:r w:rsidRPr="00BE4BAC">
        <w:rPr>
          <w:spacing w:val="0"/>
          <w:w w:val="100"/>
          <w:kern w:val="0"/>
          <w:sz w:val="20"/>
          <w:lang w:val="en-US"/>
        </w:rPr>
        <w:t>4</w:t>
      </w:r>
      <w:r w:rsidRPr="00682B39">
        <w:rPr>
          <w:rFonts w:hint="eastAsia"/>
          <w:spacing w:val="0"/>
          <w:w w:val="100"/>
          <w:kern w:val="0"/>
          <w:sz w:val="20"/>
          <w:lang w:val="zh-CN"/>
        </w:rPr>
        <w:t>。</w:t>
      </w:r>
    </w:p>
  </w:footnote>
  <w:footnote w:id="2">
    <w:p w14:paraId="09C450BD" w14:textId="77777777" w:rsidR="00252A2B" w:rsidRPr="00BE4BAC" w:rsidRDefault="00252A2B" w:rsidP="00252A2B">
      <w:pPr>
        <w:pStyle w:val="FootnoteText"/>
        <w:tabs>
          <w:tab w:val="left" w:pos="624"/>
        </w:tabs>
        <w:spacing w:after="40" w:line="240" w:lineRule="auto"/>
        <w:ind w:left="476" w:right="57" w:firstLine="782"/>
        <w:rPr>
          <w:szCs w:val="18"/>
          <w:lang w:val="en-US"/>
        </w:rPr>
      </w:pPr>
      <w:r w:rsidRPr="00682B39">
        <w:rPr>
          <w:rStyle w:val="FootnoteReference"/>
          <w:spacing w:val="0"/>
          <w:w w:val="100"/>
          <w:kern w:val="0"/>
          <w:lang w:val="zh-CN"/>
        </w:rPr>
        <w:footnoteRef/>
      </w:r>
      <w:r w:rsidRPr="00BE4BAC">
        <w:rPr>
          <w:spacing w:val="0"/>
          <w:w w:val="100"/>
          <w:kern w:val="0"/>
          <w:sz w:val="20"/>
          <w:lang w:val="en-US"/>
        </w:rPr>
        <w:t xml:space="preserve"> UNEP/CHW.14/INF/5</w:t>
      </w:r>
      <w:r w:rsidRPr="00682B39">
        <w:rPr>
          <w:rFonts w:hint="eastAsia"/>
          <w:spacing w:val="0"/>
          <w:w w:val="100"/>
          <w:kern w:val="0"/>
          <w:sz w:val="20"/>
          <w:lang w:val="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171113A7"/>
    <w:lvl w:ilvl="0">
      <w:start w:val="1"/>
      <w:numFmt w:val="decimal"/>
      <w:lvlText w:val="%1."/>
      <w:lvlJc w:val="left"/>
      <w:pPr>
        <w:tabs>
          <w:tab w:val="left" w:pos="567"/>
        </w:tabs>
        <w:ind w:left="1247" w:firstLine="0"/>
      </w:pPr>
      <w:rPr>
        <w:rFonts w:hint="default"/>
      </w:rPr>
    </w:lvl>
    <w:lvl w:ilvl="1">
      <w:start w:val="1"/>
      <w:numFmt w:val="lowerLetter"/>
      <w:lvlText w:val="(%2)"/>
      <w:lvlJc w:val="left"/>
      <w:pPr>
        <w:tabs>
          <w:tab w:val="left" w:pos="567"/>
        </w:tabs>
        <w:ind w:left="1247" w:firstLine="567"/>
      </w:pPr>
      <w:rPr>
        <w:rFonts w:hint="default"/>
      </w:rPr>
    </w:lvl>
    <w:lvl w:ilvl="2">
      <w:start w:val="1"/>
      <w:numFmt w:val="lowerRoman"/>
      <w:lvlText w:val="(%3)"/>
      <w:lvlJc w:val="left"/>
      <w:pPr>
        <w:tabs>
          <w:tab w:val="left" w:pos="567"/>
        </w:tabs>
        <w:ind w:left="2948" w:hanging="567"/>
      </w:pPr>
      <w:rPr>
        <w:rFonts w:hint="default"/>
      </w:rPr>
    </w:lvl>
    <w:lvl w:ilvl="3">
      <w:start w:val="1"/>
      <w:numFmt w:val="lowerLetter"/>
      <w:lvlText w:val="%4."/>
      <w:lvlJc w:val="left"/>
      <w:pPr>
        <w:tabs>
          <w:tab w:val="left" w:pos="567"/>
        </w:tabs>
        <w:ind w:left="3515" w:hanging="567"/>
      </w:pPr>
      <w:rPr>
        <w:rFonts w:hint="default"/>
      </w:rPr>
    </w:lvl>
    <w:lvl w:ilvl="4">
      <w:start w:val="1"/>
      <w:numFmt w:val="lowerLetter"/>
      <w:lvlText w:val="%5."/>
      <w:lvlJc w:val="left"/>
      <w:pPr>
        <w:tabs>
          <w:tab w:val="left" w:pos="6548"/>
        </w:tabs>
        <w:ind w:left="6548" w:hanging="360"/>
      </w:pPr>
      <w:rPr>
        <w:rFonts w:hint="default"/>
      </w:rPr>
    </w:lvl>
    <w:lvl w:ilvl="5">
      <w:start w:val="1"/>
      <w:numFmt w:val="lowerRoman"/>
      <w:lvlText w:val="%6."/>
      <w:lvlJc w:val="right"/>
      <w:pPr>
        <w:tabs>
          <w:tab w:val="left" w:pos="7268"/>
        </w:tabs>
        <w:ind w:left="7268" w:hanging="180"/>
      </w:pPr>
      <w:rPr>
        <w:rFonts w:hint="default"/>
      </w:rPr>
    </w:lvl>
    <w:lvl w:ilvl="6">
      <w:start w:val="1"/>
      <w:numFmt w:val="decimal"/>
      <w:lvlText w:val="%7."/>
      <w:lvlJc w:val="left"/>
      <w:pPr>
        <w:tabs>
          <w:tab w:val="left" w:pos="7988"/>
        </w:tabs>
        <w:ind w:left="7988" w:hanging="360"/>
      </w:pPr>
      <w:rPr>
        <w:rFonts w:hint="default"/>
      </w:rPr>
    </w:lvl>
    <w:lvl w:ilvl="7">
      <w:start w:val="1"/>
      <w:numFmt w:val="lowerLetter"/>
      <w:lvlText w:val="%8."/>
      <w:lvlJc w:val="left"/>
      <w:pPr>
        <w:tabs>
          <w:tab w:val="left" w:pos="8708"/>
        </w:tabs>
        <w:ind w:left="8708" w:hanging="360"/>
      </w:pPr>
      <w:rPr>
        <w:rFonts w:hint="default"/>
      </w:rPr>
    </w:lvl>
    <w:lvl w:ilvl="8">
      <w:start w:val="1"/>
      <w:numFmt w:val="lowerRoman"/>
      <w:lvlText w:val="%9."/>
      <w:lvlJc w:val="right"/>
      <w:pPr>
        <w:tabs>
          <w:tab w:val="left" w:pos="9428"/>
        </w:tabs>
        <w:ind w:left="9428" w:hanging="180"/>
      </w:pPr>
      <w:rPr>
        <w:rFonts w:hint="default"/>
      </w:rPr>
    </w:lvl>
  </w:abstractNum>
  <w:abstractNum w:abstractNumId="1" w15:restartNumberingAfterBreak="0">
    <w:nsid w:val="52A66A9D"/>
    <w:multiLevelType w:val="multilevel"/>
    <w:tmpl w:val="B46AE4B0"/>
    <w:lvl w:ilvl="0">
      <w:start w:val="1"/>
      <w:numFmt w:val="decimal"/>
      <w:pStyle w:val="Normalnumber"/>
      <w:lvlText w:val="%1."/>
      <w:lvlJc w:val="left"/>
      <w:pPr>
        <w:tabs>
          <w:tab w:val="left" w:pos="1134"/>
        </w:tabs>
        <w:ind w:left="1247" w:firstLine="0"/>
      </w:pPr>
      <w:rPr>
        <w:rFonts w:hint="default"/>
      </w:rPr>
    </w:lvl>
    <w:lvl w:ilvl="1">
      <w:start w:val="1"/>
      <w:numFmt w:val="lowerLetter"/>
      <w:lvlText w:val="(%2)"/>
      <w:lvlJc w:val="left"/>
      <w:pPr>
        <w:tabs>
          <w:tab w:val="left" w:pos="1134"/>
        </w:tabs>
        <w:ind w:left="1247" w:firstLine="567"/>
      </w:pPr>
      <w:rPr>
        <w:rFonts w:hint="default"/>
      </w:rPr>
    </w:lvl>
    <w:lvl w:ilvl="2">
      <w:start w:val="1"/>
      <w:numFmt w:val="lowerRoman"/>
      <w:lvlText w:val="(%3)"/>
      <w:lvlJc w:val="left"/>
      <w:pPr>
        <w:tabs>
          <w:tab w:val="left" w:pos="1134"/>
        </w:tabs>
        <w:ind w:left="2948" w:hanging="567"/>
      </w:pPr>
      <w:rPr>
        <w:rFonts w:hint="default"/>
      </w:rPr>
    </w:lvl>
    <w:lvl w:ilvl="3">
      <w:start w:val="1"/>
      <w:numFmt w:val="lowerLetter"/>
      <w:lvlText w:val="%4."/>
      <w:lvlJc w:val="left"/>
      <w:pPr>
        <w:tabs>
          <w:tab w:val="left" w:pos="1134"/>
        </w:tabs>
        <w:ind w:left="3515" w:hanging="567"/>
      </w:pPr>
      <w:rPr>
        <w:rFonts w:hint="default"/>
      </w:rPr>
    </w:lvl>
    <w:lvl w:ilvl="4">
      <w:start w:val="1"/>
      <w:numFmt w:val="lowerRoman"/>
      <w:lvlText w:val="%5."/>
      <w:lvlJc w:val="left"/>
      <w:pPr>
        <w:tabs>
          <w:tab w:val="left" w:pos="1134"/>
        </w:tabs>
        <w:ind w:left="4082" w:hanging="567"/>
      </w:pPr>
      <w:rPr>
        <w:rFonts w:hint="default"/>
      </w:rPr>
    </w:lvl>
    <w:lvl w:ilvl="5">
      <w:start w:val="1"/>
      <w:numFmt w:val="lowerRoman"/>
      <w:lvlText w:val="%6."/>
      <w:lvlJc w:val="right"/>
      <w:pPr>
        <w:tabs>
          <w:tab w:val="left" w:pos="7835"/>
        </w:tabs>
        <w:ind w:left="7835" w:hanging="180"/>
      </w:pPr>
      <w:rPr>
        <w:rFonts w:hint="default"/>
      </w:rPr>
    </w:lvl>
    <w:lvl w:ilvl="6">
      <w:start w:val="1"/>
      <w:numFmt w:val="decimal"/>
      <w:lvlText w:val="%7."/>
      <w:lvlJc w:val="left"/>
      <w:pPr>
        <w:tabs>
          <w:tab w:val="left" w:pos="8555"/>
        </w:tabs>
        <w:ind w:left="8555" w:hanging="360"/>
      </w:pPr>
      <w:rPr>
        <w:rFonts w:hint="default"/>
        <w:sz w:val="24"/>
        <w:szCs w:val="24"/>
      </w:rPr>
    </w:lvl>
    <w:lvl w:ilvl="7">
      <w:start w:val="1"/>
      <w:numFmt w:val="lowerLetter"/>
      <w:lvlText w:val="%8."/>
      <w:lvlJc w:val="left"/>
      <w:pPr>
        <w:tabs>
          <w:tab w:val="left" w:pos="9275"/>
        </w:tabs>
        <w:ind w:left="9275" w:hanging="360"/>
      </w:pPr>
      <w:rPr>
        <w:rFonts w:hint="default"/>
      </w:rPr>
    </w:lvl>
    <w:lvl w:ilvl="8">
      <w:start w:val="1"/>
      <w:numFmt w:val="lowerRoman"/>
      <w:lvlText w:val="%9."/>
      <w:lvlJc w:val="right"/>
      <w:pPr>
        <w:tabs>
          <w:tab w:val="left" w:pos="9995"/>
        </w:tabs>
        <w:ind w:left="9995" w:hanging="180"/>
      </w:pPr>
      <w:rPr>
        <w:rFonts w:hint="default"/>
      </w:rPr>
    </w:lvl>
  </w:abstractNum>
  <w:abstractNum w:abstractNumId="2" w15:restartNumberingAfterBreak="0">
    <w:nsid w:val="6F7C4406"/>
    <w:multiLevelType w:val="multilevel"/>
    <w:tmpl w:val="695414C8"/>
    <w:lvl w:ilvl="0">
      <w:start w:val="1"/>
      <w:numFmt w:val="decimal"/>
      <w:lvlText w:val="%1."/>
      <w:lvlJc w:val="left"/>
      <w:pPr>
        <w:tabs>
          <w:tab w:val="left" w:pos="3215"/>
        </w:tabs>
        <w:ind w:left="3215" w:hanging="360"/>
      </w:pPr>
      <w:rPr>
        <w:i w:val="0"/>
        <w:lang w:val="en-GB"/>
      </w:rPr>
    </w:lvl>
    <w:lvl w:ilvl="1">
      <w:start w:val="1"/>
      <w:numFmt w:val="lowerLetter"/>
      <w:lvlText w:val="%2."/>
      <w:lvlJc w:val="left"/>
      <w:pPr>
        <w:tabs>
          <w:tab w:val="left" w:pos="3935"/>
        </w:tabs>
        <w:ind w:left="3935" w:hanging="360"/>
      </w:pPr>
    </w:lvl>
    <w:lvl w:ilvl="2">
      <w:start w:val="1"/>
      <w:numFmt w:val="lowerRoman"/>
      <w:lvlText w:val="%3."/>
      <w:lvlJc w:val="right"/>
      <w:pPr>
        <w:tabs>
          <w:tab w:val="left" w:pos="4655"/>
        </w:tabs>
        <w:ind w:left="4655" w:hanging="180"/>
      </w:pPr>
    </w:lvl>
    <w:lvl w:ilvl="3">
      <w:start w:val="1"/>
      <w:numFmt w:val="decimal"/>
      <w:lvlText w:val="%4."/>
      <w:lvlJc w:val="left"/>
      <w:pPr>
        <w:tabs>
          <w:tab w:val="left" w:pos="5375"/>
        </w:tabs>
        <w:ind w:left="5375" w:hanging="360"/>
      </w:pPr>
    </w:lvl>
    <w:lvl w:ilvl="4">
      <w:start w:val="1"/>
      <w:numFmt w:val="lowerLetter"/>
      <w:lvlText w:val="%5."/>
      <w:lvlJc w:val="left"/>
      <w:pPr>
        <w:tabs>
          <w:tab w:val="left" w:pos="6095"/>
        </w:tabs>
        <w:ind w:left="6095" w:hanging="360"/>
      </w:pPr>
    </w:lvl>
    <w:lvl w:ilvl="5">
      <w:start w:val="1"/>
      <w:numFmt w:val="lowerRoman"/>
      <w:lvlText w:val="%6."/>
      <w:lvlJc w:val="right"/>
      <w:pPr>
        <w:tabs>
          <w:tab w:val="left" w:pos="6815"/>
        </w:tabs>
        <w:ind w:left="6815" w:hanging="180"/>
      </w:pPr>
    </w:lvl>
    <w:lvl w:ilvl="6">
      <w:start w:val="1"/>
      <w:numFmt w:val="decimal"/>
      <w:lvlText w:val="%7."/>
      <w:lvlJc w:val="left"/>
      <w:pPr>
        <w:tabs>
          <w:tab w:val="left" w:pos="7535"/>
        </w:tabs>
        <w:ind w:left="7535" w:hanging="360"/>
      </w:pPr>
    </w:lvl>
    <w:lvl w:ilvl="7">
      <w:start w:val="1"/>
      <w:numFmt w:val="lowerLetter"/>
      <w:lvlText w:val="%8."/>
      <w:lvlJc w:val="left"/>
      <w:pPr>
        <w:tabs>
          <w:tab w:val="left" w:pos="8255"/>
        </w:tabs>
        <w:ind w:left="8255" w:hanging="360"/>
      </w:pPr>
    </w:lvl>
    <w:lvl w:ilvl="8">
      <w:start w:val="1"/>
      <w:numFmt w:val="lowerRoman"/>
      <w:lvlText w:val="%9."/>
      <w:lvlJc w:val="right"/>
      <w:pPr>
        <w:tabs>
          <w:tab w:val="left" w:pos="8975"/>
        </w:tabs>
        <w:ind w:left="8975" w:hanging="180"/>
      </w:pPr>
    </w:lvl>
  </w:abstractNum>
  <w:num w:numId="1">
    <w:abstractNumId w:val="1"/>
    <w:lvlOverride w:ilvl="0">
      <w:lvl w:ilvl="0">
        <w:start w:val="1"/>
        <w:numFmt w:val="decimal"/>
        <w:pStyle w:val="Normalnumber"/>
        <w:lvlText w:val="%1."/>
        <w:lvlJc w:val="left"/>
        <w:pPr>
          <w:tabs>
            <w:tab w:val="left" w:pos="1134"/>
          </w:tabs>
          <w:ind w:left="1247" w:firstLine="0"/>
        </w:pPr>
        <w:rPr>
          <w:rFonts w:hint="default"/>
          <w:sz w:val="24"/>
          <w:szCs w:val="24"/>
        </w:rPr>
      </w:lvl>
    </w:lvlOverride>
    <w:lvlOverride w:ilvl="1">
      <w:lvl w:ilvl="1" w:tentative="1">
        <w:start w:val="1"/>
        <w:numFmt w:val="lowerLetter"/>
        <w:lvlText w:val="(%2)"/>
        <w:lvlJc w:val="left"/>
        <w:pPr>
          <w:tabs>
            <w:tab w:val="left" w:pos="1134"/>
          </w:tabs>
          <w:ind w:left="1247" w:firstLine="567"/>
        </w:pPr>
        <w:rPr>
          <w:rFonts w:hint="default"/>
        </w:rPr>
      </w:lvl>
    </w:lvlOverride>
    <w:lvlOverride w:ilvl="2">
      <w:lvl w:ilvl="2" w:tentative="1">
        <w:start w:val="1"/>
        <w:numFmt w:val="lowerRoman"/>
        <w:lvlText w:val="(%3)"/>
        <w:lvlJc w:val="left"/>
        <w:pPr>
          <w:tabs>
            <w:tab w:val="left" w:pos="1134"/>
          </w:tabs>
          <w:ind w:left="2948" w:hanging="567"/>
        </w:pPr>
        <w:rPr>
          <w:rFonts w:hint="default"/>
        </w:rPr>
      </w:lvl>
    </w:lvlOverride>
    <w:lvlOverride w:ilvl="3">
      <w:lvl w:ilvl="3" w:tentative="1">
        <w:start w:val="1"/>
        <w:numFmt w:val="lowerLetter"/>
        <w:lvlText w:val="%4."/>
        <w:lvlJc w:val="left"/>
        <w:pPr>
          <w:tabs>
            <w:tab w:val="left" w:pos="1134"/>
          </w:tabs>
          <w:ind w:left="3515" w:hanging="567"/>
        </w:pPr>
        <w:rPr>
          <w:rFonts w:hint="default"/>
        </w:rPr>
      </w:lvl>
    </w:lvlOverride>
    <w:lvlOverride w:ilvl="4">
      <w:lvl w:ilvl="4" w:tentative="1">
        <w:start w:val="1"/>
        <w:numFmt w:val="lowerRoman"/>
        <w:lvlText w:val="%5."/>
        <w:lvlJc w:val="left"/>
        <w:pPr>
          <w:tabs>
            <w:tab w:val="left" w:pos="1134"/>
          </w:tabs>
          <w:ind w:left="4082" w:hanging="567"/>
        </w:pPr>
        <w:rPr>
          <w:rFonts w:hint="default"/>
        </w:rPr>
      </w:lvl>
    </w:lvlOverride>
    <w:lvlOverride w:ilvl="5">
      <w:lvl w:ilvl="5" w:tentative="1">
        <w:start w:val="1"/>
        <w:numFmt w:val="lowerRoman"/>
        <w:lvlText w:val="%6."/>
        <w:lvlJc w:val="right"/>
        <w:pPr>
          <w:tabs>
            <w:tab w:val="left" w:pos="7835"/>
          </w:tabs>
          <w:ind w:left="7835" w:hanging="180"/>
        </w:pPr>
        <w:rPr>
          <w:rFonts w:hint="default"/>
        </w:rPr>
      </w:lvl>
    </w:lvlOverride>
    <w:lvlOverride w:ilvl="6">
      <w:lvl w:ilvl="6" w:tentative="1">
        <w:start w:val="1"/>
        <w:numFmt w:val="decimal"/>
        <w:lvlText w:val="%7."/>
        <w:lvlJc w:val="left"/>
        <w:pPr>
          <w:tabs>
            <w:tab w:val="left" w:pos="8555"/>
          </w:tabs>
          <w:ind w:left="8555" w:hanging="360"/>
        </w:pPr>
        <w:rPr>
          <w:rFonts w:hint="default"/>
        </w:rPr>
      </w:lvl>
    </w:lvlOverride>
    <w:lvlOverride w:ilvl="7">
      <w:lvl w:ilvl="7" w:tentative="1">
        <w:start w:val="1"/>
        <w:numFmt w:val="lowerLetter"/>
        <w:lvlText w:val="%8."/>
        <w:lvlJc w:val="left"/>
        <w:pPr>
          <w:tabs>
            <w:tab w:val="left" w:pos="9275"/>
          </w:tabs>
          <w:ind w:left="9275" w:hanging="360"/>
        </w:pPr>
        <w:rPr>
          <w:rFonts w:hint="default"/>
        </w:rPr>
      </w:lvl>
    </w:lvlOverride>
    <w:lvlOverride w:ilvl="8">
      <w:lvl w:ilvl="8" w:tentative="1">
        <w:start w:val="1"/>
        <w:numFmt w:val="lowerRoman"/>
        <w:lvlText w:val="%9."/>
        <w:lvlJc w:val="right"/>
        <w:pPr>
          <w:tabs>
            <w:tab w:val="left" w:pos="9995"/>
          </w:tabs>
          <w:ind w:left="9995" w:hanging="180"/>
        </w:pPr>
        <w:rPr>
          <w:rFonts w:hint="default"/>
        </w:rPr>
      </w:lvl>
    </w:lvlOverride>
  </w:num>
  <w:num w:numId="2">
    <w:abstractNumId w:val="2"/>
    <w:lvlOverride w:ilvl="0">
      <w:lvl w:ilvl="0">
        <w:start w:val="1"/>
        <w:numFmt w:val="decimal"/>
        <w:lvlText w:val="%1."/>
        <w:lvlJc w:val="left"/>
        <w:pPr>
          <w:tabs>
            <w:tab w:val="left" w:pos="3215"/>
          </w:tabs>
          <w:ind w:left="3215" w:hanging="360"/>
        </w:pPr>
        <w:rPr>
          <w:i w:val="0"/>
          <w:sz w:val="24"/>
          <w:szCs w:val="24"/>
          <w:lang w:val="en-GB"/>
        </w:rPr>
      </w:lvl>
    </w:lvlOverride>
  </w:num>
  <w:num w:numId="3">
    <w:abstractNumId w:val="0"/>
    <w:lvlOverride w:ilvl="0">
      <w:lvl w:ilvl="0" w:tentative="1">
        <w:start w:val="1"/>
        <w:numFmt w:val="decimal"/>
        <w:lvlText w:val="%1."/>
        <w:lvlJc w:val="left"/>
        <w:pPr>
          <w:tabs>
            <w:tab w:val="left"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20"/>
          <w:szCs w:val="20"/>
          <w:u w:val="none"/>
          <w:shd w:val="clear" w:color="auto" w:fill="auto"/>
        </w:rPr>
      </w:lvl>
    </w:lvlOverride>
    <w:lvlOverride w:ilvl="1">
      <w:lvl w:ilvl="1">
        <w:start w:val="1"/>
        <w:numFmt w:val="lowerLetter"/>
        <w:lvlText w:val="(%2)"/>
        <w:lvlJc w:val="left"/>
        <w:pPr>
          <w:tabs>
            <w:tab w:val="left" w:pos="567"/>
          </w:tabs>
          <w:ind w:left="1247" w:firstLine="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2B"/>
    <w:rsid w:val="00252A2B"/>
    <w:rsid w:val="00BF0377"/>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A45A"/>
  <w15:chartTrackingRefBased/>
  <w15:docId w15:val="{AA58C7E1-7C8A-4FC4-9A2B-D7DD7B68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_number"/>
    <w:basedOn w:val="Normal"/>
    <w:link w:val="NormalnumberChar"/>
    <w:qFormat/>
    <w:rsid w:val="00252A2B"/>
    <w:pPr>
      <w:numPr>
        <w:numId w:val="1"/>
      </w:numPr>
      <w:tabs>
        <w:tab w:val="clear" w:pos="1134"/>
        <w:tab w:val="left" w:pos="624"/>
        <w:tab w:val="left" w:pos="1247"/>
        <w:tab w:val="left" w:pos="1814"/>
        <w:tab w:val="left" w:pos="2381"/>
        <w:tab w:val="left" w:pos="2948"/>
        <w:tab w:val="left" w:pos="3515"/>
        <w:tab w:val="left" w:pos="4082"/>
      </w:tabs>
      <w:spacing w:after="120"/>
    </w:pPr>
    <w:rPr>
      <w:rFonts w:ascii="Times New Roman" w:eastAsia="SimSun" w:hAnsi="Times New Roman" w:cs="Times New Roman"/>
      <w:sz w:val="20"/>
      <w:szCs w:val="20"/>
      <w:lang w:val="en-GB" w:eastAsia="en-US"/>
    </w:rPr>
  </w:style>
  <w:style w:type="paragraph" w:styleId="FootnoteText">
    <w:name w:val="footnote text"/>
    <w:basedOn w:val="Normal"/>
    <w:link w:val="FootnoteTextChar"/>
    <w:qFormat/>
    <w:rsid w:val="00252A2B"/>
    <w:pPr>
      <w:tabs>
        <w:tab w:val="left" w:pos="1247"/>
        <w:tab w:val="left" w:pos="1814"/>
        <w:tab w:val="left" w:pos="2381"/>
        <w:tab w:val="left" w:pos="2948"/>
        <w:tab w:val="left" w:pos="3515"/>
      </w:tabs>
      <w:spacing w:before="20" w:after="0" w:line="210" w:lineRule="exact"/>
      <w:ind w:left="475" w:hanging="475"/>
    </w:pPr>
    <w:rPr>
      <w:rFonts w:ascii="Times New Roman" w:eastAsia="SimSun" w:hAnsi="Times New Roman" w:cs="Times New Roman"/>
      <w:spacing w:val="5"/>
      <w:w w:val="104"/>
      <w:kern w:val="14"/>
      <w:sz w:val="18"/>
      <w:szCs w:val="20"/>
      <w:lang w:val="fr-FR" w:eastAsia="en-US"/>
    </w:rPr>
  </w:style>
  <w:style w:type="character" w:customStyle="1" w:styleId="FootnoteTextChar">
    <w:name w:val="Footnote Text Char"/>
    <w:basedOn w:val="DefaultParagraphFont"/>
    <w:link w:val="FootnoteText"/>
    <w:rsid w:val="00252A2B"/>
    <w:rPr>
      <w:rFonts w:ascii="Times New Roman" w:eastAsia="SimSun" w:hAnsi="Times New Roman" w:cs="Times New Roman"/>
      <w:spacing w:val="5"/>
      <w:w w:val="104"/>
      <w:kern w:val="14"/>
      <w:sz w:val="18"/>
      <w:szCs w:val="20"/>
      <w:lang w:val="fr-FR" w:eastAsia="en-US"/>
    </w:rPr>
  </w:style>
  <w:style w:type="character" w:styleId="FootnoteReference">
    <w:name w:val="footnote reference"/>
    <w:basedOn w:val="DefaultParagraphFont"/>
    <w:link w:val="BVIfnrCharCharCharChar"/>
    <w:qFormat/>
    <w:rsid w:val="00252A2B"/>
    <w:rPr>
      <w:rFonts w:ascii="Times New Roman" w:eastAsia="SimSun" w:hAnsi="Times New Roman"/>
      <w:color w:val="000000"/>
      <w:spacing w:val="-5"/>
      <w:w w:val="130"/>
      <w:position w:val="-4"/>
      <w:sz w:val="20"/>
      <w:szCs w:val="18"/>
      <w:vertAlign w:val="superscript"/>
    </w:rPr>
  </w:style>
  <w:style w:type="paragraph" w:customStyle="1" w:styleId="BVIfnrCharCharCharChar">
    <w:name w:val="BVI fnr Char Char Char Char"/>
    <w:basedOn w:val="Normal"/>
    <w:link w:val="FootnoteReference"/>
    <w:rsid w:val="00252A2B"/>
    <w:pPr>
      <w:spacing w:before="120" w:line="240" w:lineRule="exact"/>
      <w:jc w:val="both"/>
    </w:pPr>
    <w:rPr>
      <w:rFonts w:ascii="Times New Roman" w:eastAsia="SimSun" w:hAnsi="Times New Roman"/>
      <w:color w:val="000000"/>
      <w:spacing w:val="-5"/>
      <w:w w:val="130"/>
      <w:position w:val="-4"/>
      <w:sz w:val="20"/>
      <w:szCs w:val="18"/>
      <w:vertAlign w:val="superscript"/>
    </w:rPr>
  </w:style>
  <w:style w:type="paragraph" w:customStyle="1" w:styleId="CH1">
    <w:name w:val="CH1"/>
    <w:basedOn w:val="Normal"/>
    <w:next w:val="Normal"/>
    <w:qFormat/>
    <w:rsid w:val="00252A2B"/>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ascii="Times New Roman" w:eastAsia="SimSun" w:hAnsi="Times New Roman" w:cs="Times New Roman"/>
      <w:b/>
      <w:sz w:val="28"/>
      <w:szCs w:val="28"/>
      <w:lang w:val="en-GB" w:eastAsia="en-US"/>
    </w:rPr>
  </w:style>
  <w:style w:type="paragraph" w:customStyle="1" w:styleId="Normal-pool">
    <w:name w:val="Normal-pool"/>
    <w:link w:val="Normal-poolChar"/>
    <w:qFormat/>
    <w:rsid w:val="00252A2B"/>
    <w:pPr>
      <w:tabs>
        <w:tab w:val="left" w:pos="1247"/>
        <w:tab w:val="left" w:pos="1814"/>
        <w:tab w:val="left" w:pos="2381"/>
        <w:tab w:val="left" w:pos="2948"/>
        <w:tab w:val="left" w:pos="3515"/>
        <w:tab w:val="left" w:pos="4082"/>
      </w:tabs>
    </w:pPr>
    <w:rPr>
      <w:rFonts w:ascii="Times New Roman" w:eastAsia="SimSun" w:hAnsi="Times New Roman" w:cs="Times New Roman"/>
      <w:sz w:val="20"/>
      <w:szCs w:val="20"/>
      <w:lang w:val="en-GB" w:eastAsia="en-US"/>
    </w:rPr>
  </w:style>
  <w:style w:type="character" w:customStyle="1" w:styleId="NormalnumberChar">
    <w:name w:val="Normal_number Char"/>
    <w:link w:val="Normalnumber"/>
    <w:rsid w:val="00252A2B"/>
    <w:rPr>
      <w:rFonts w:ascii="Times New Roman" w:eastAsia="SimSun" w:hAnsi="Times New Roman" w:cs="Times New Roman"/>
      <w:sz w:val="20"/>
      <w:szCs w:val="20"/>
      <w:lang w:val="en-GB" w:eastAsia="en-US"/>
    </w:rPr>
  </w:style>
  <w:style w:type="character" w:customStyle="1" w:styleId="Normal-poolChar">
    <w:name w:val="Normal-pool Char"/>
    <w:link w:val="Normal-pool"/>
    <w:rsid w:val="00252A2B"/>
    <w:rPr>
      <w:rFonts w:ascii="Times New Roman" w:eastAsia="SimSu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1</cp:revision>
  <dcterms:created xsi:type="dcterms:W3CDTF">2020-01-30T16:18:00Z</dcterms:created>
  <dcterms:modified xsi:type="dcterms:W3CDTF">2020-01-30T16:18:00Z</dcterms:modified>
</cp:coreProperties>
</file>