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162C" w14:textId="77777777" w:rsidR="009F4EBE" w:rsidRPr="00D722C4" w:rsidRDefault="009F4EBE" w:rsidP="009F4EBE">
      <w:pPr>
        <w:pStyle w:val="CH1"/>
      </w:pPr>
      <w:r w:rsidRPr="00D722C4">
        <w:tab/>
      </w:r>
      <w:r w:rsidRPr="00D722C4">
        <w:tab/>
        <w:t>BC-14/10: National reporting</w:t>
      </w:r>
    </w:p>
    <w:p w14:paraId="3FB375AB" w14:textId="77777777" w:rsidR="009F4EBE" w:rsidRPr="00D722C4" w:rsidRDefault="009F4EBE" w:rsidP="009F4EBE">
      <w:pPr>
        <w:tabs>
          <w:tab w:val="clear" w:pos="1247"/>
          <w:tab w:val="clear" w:pos="1814"/>
          <w:tab w:val="clear" w:pos="2381"/>
          <w:tab w:val="clear" w:pos="2948"/>
          <w:tab w:val="clear" w:pos="3515"/>
          <w:tab w:val="left" w:pos="624"/>
        </w:tabs>
        <w:spacing w:after="120"/>
        <w:ind w:left="1247" w:firstLine="624"/>
        <w:rPr>
          <w:i/>
          <w:lang w:val="en-GB"/>
        </w:rPr>
      </w:pPr>
      <w:r w:rsidRPr="00D722C4">
        <w:rPr>
          <w:i/>
          <w:lang w:val="en-GB"/>
        </w:rPr>
        <w:t>The Conference of the Parties</w:t>
      </w:r>
    </w:p>
    <w:p w14:paraId="62B5F93C" w14:textId="77777777" w:rsidR="009F4EBE" w:rsidRPr="009F4EBE" w:rsidRDefault="009F4EBE" w:rsidP="009F4EBE">
      <w:pPr>
        <w:pStyle w:val="Normalnumber"/>
        <w:numPr>
          <w:ilvl w:val="0"/>
          <w:numId w:val="3"/>
        </w:numPr>
        <w:tabs>
          <w:tab w:val="left" w:pos="1890"/>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i/>
          <w:color w:val="000000"/>
          <w:sz w:val="20"/>
          <w:szCs w:val="20"/>
          <w:lang w:val="en-GB"/>
        </w:rPr>
        <w:t>Welcomes</w:t>
      </w:r>
      <w:r w:rsidRPr="009F4EBE">
        <w:rPr>
          <w:rFonts w:ascii="Times New Roman" w:eastAsia="Times New Roman" w:hAnsi="Times New Roman" w:cs="Times New Roman"/>
          <w:color w:val="000000"/>
          <w:sz w:val="20"/>
          <w:szCs w:val="20"/>
          <w:lang w:val="en-GB"/>
        </w:rPr>
        <w:t xml:space="preserve"> the updated electronic reporting system of the Basel Convention on the Control of Transboundary Movements of Hazardous Wastes and Their Disposal</w:t>
      </w:r>
      <w:r w:rsidRPr="00BD0DEA">
        <w:rPr>
          <w:rFonts w:ascii="Times New Roman" w:eastAsia="Times New Roman" w:hAnsi="Times New Roman" w:cs="Times New Roman"/>
          <w:color w:val="000000"/>
          <w:sz w:val="20"/>
          <w:szCs w:val="20"/>
          <w:vertAlign w:val="superscript"/>
          <w:lang w:val="en-GB"/>
        </w:rPr>
        <w:footnoteReference w:id="1"/>
      </w:r>
      <w:r w:rsidRPr="009F4EBE">
        <w:rPr>
          <w:rFonts w:ascii="Times New Roman" w:eastAsia="Times New Roman" w:hAnsi="Times New Roman" w:cs="Times New Roman"/>
          <w:color w:val="000000"/>
          <w:sz w:val="20"/>
          <w:szCs w:val="20"/>
          <w:lang w:val="en-GB"/>
        </w:rPr>
        <w:t xml:space="preserve"> and encourages Parties to use it to transmit their national reports;</w:t>
      </w:r>
    </w:p>
    <w:p w14:paraId="7A276403" w14:textId="77777777" w:rsidR="009F4EBE" w:rsidRPr="009F4EBE" w:rsidRDefault="009F4EBE" w:rsidP="009F4EBE">
      <w:pPr>
        <w:pStyle w:val="Normalnumber"/>
        <w:numPr>
          <w:ilvl w:val="0"/>
          <w:numId w:val="3"/>
        </w:numPr>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i/>
          <w:color w:val="000000"/>
          <w:sz w:val="20"/>
          <w:szCs w:val="20"/>
          <w:lang w:val="en-GB"/>
        </w:rPr>
        <w:t>Urges</w:t>
      </w:r>
      <w:r w:rsidRPr="009F4EBE">
        <w:rPr>
          <w:rFonts w:ascii="Times New Roman" w:eastAsia="Times New Roman" w:hAnsi="Times New Roman" w:cs="Times New Roman"/>
          <w:color w:val="000000"/>
          <w:sz w:val="20"/>
          <w:szCs w:val="20"/>
          <w:lang w:val="en-GB"/>
        </w:rPr>
        <w:t xml:space="preserve"> Parties that have not yet done so to transmit to the Secretariat their national reports for the year 2017 and for previous years as soon as possible;</w:t>
      </w:r>
    </w:p>
    <w:p w14:paraId="5434B289" w14:textId="77777777" w:rsidR="009F4EBE" w:rsidRPr="009F4EBE" w:rsidRDefault="009F4EBE" w:rsidP="009F4EBE">
      <w:pPr>
        <w:pStyle w:val="Normalnumber"/>
        <w:numPr>
          <w:ilvl w:val="0"/>
          <w:numId w:val="3"/>
        </w:numPr>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i/>
          <w:color w:val="000000"/>
          <w:sz w:val="20"/>
          <w:szCs w:val="20"/>
          <w:lang w:val="en-GB"/>
        </w:rPr>
        <w:t>Takes</w:t>
      </w:r>
      <w:r w:rsidRPr="009F4EBE">
        <w:rPr>
          <w:rFonts w:ascii="Times New Roman" w:eastAsia="Times New Roman" w:hAnsi="Times New Roman" w:cs="Times New Roman"/>
          <w:color w:val="000000"/>
          <w:sz w:val="20"/>
          <w:szCs w:val="20"/>
          <w:lang w:val="en-GB"/>
        </w:rPr>
        <w:t xml:space="preserve"> note of the information provided by the Secretariat on the contribution of the Basel Convention to the 2030 Agenda for Sustainable Development,</w:t>
      </w:r>
      <w:r w:rsidRPr="00BD0DEA">
        <w:rPr>
          <w:rFonts w:ascii="Times New Roman" w:eastAsia="Times New Roman" w:hAnsi="Times New Roman" w:cs="Times New Roman"/>
          <w:color w:val="000000"/>
          <w:sz w:val="20"/>
          <w:szCs w:val="20"/>
          <w:vertAlign w:val="superscript"/>
          <w:lang w:val="en-GB"/>
        </w:rPr>
        <w:footnoteReference w:id="2"/>
      </w:r>
      <w:r w:rsidRPr="009F4EBE">
        <w:rPr>
          <w:rFonts w:ascii="Times New Roman" w:eastAsia="Times New Roman" w:hAnsi="Times New Roman" w:cs="Times New Roman"/>
          <w:color w:val="000000"/>
          <w:sz w:val="20"/>
          <w:szCs w:val="20"/>
          <w:lang w:val="en-GB"/>
        </w:rPr>
        <w:t xml:space="preserve"> and encourages Parties to strengthen their efforts to include information in their national reports on the generation, import, export and disposal of hazardous wastes for the calculation of indicators 12.4.2</w:t>
      </w:r>
      <w:r w:rsidRPr="00BD0DEA">
        <w:rPr>
          <w:rFonts w:ascii="Times New Roman" w:eastAsia="Times New Roman" w:hAnsi="Times New Roman" w:cs="Times New Roman"/>
          <w:color w:val="000000"/>
          <w:sz w:val="20"/>
          <w:szCs w:val="20"/>
          <w:vertAlign w:val="superscript"/>
          <w:lang w:val="en-GB"/>
        </w:rPr>
        <w:footnoteReference w:id="3"/>
      </w:r>
      <w:r w:rsidRPr="009F4EBE">
        <w:rPr>
          <w:rFonts w:ascii="Times New Roman" w:eastAsia="Times New Roman" w:hAnsi="Times New Roman" w:cs="Times New Roman"/>
          <w:color w:val="000000"/>
          <w:sz w:val="20"/>
          <w:szCs w:val="20"/>
          <w:lang w:val="en-GB"/>
        </w:rPr>
        <w:t xml:space="preserve"> and 12.5.1</w:t>
      </w:r>
      <w:r w:rsidRPr="00BD0DEA">
        <w:rPr>
          <w:rFonts w:ascii="Times New Roman" w:eastAsia="Times New Roman" w:hAnsi="Times New Roman" w:cs="Times New Roman"/>
          <w:color w:val="000000"/>
          <w:sz w:val="20"/>
          <w:szCs w:val="20"/>
          <w:vertAlign w:val="superscript"/>
          <w:lang w:val="en-GB"/>
        </w:rPr>
        <w:footnoteReference w:id="4"/>
      </w:r>
      <w:r w:rsidRPr="009F4EBE">
        <w:rPr>
          <w:rFonts w:ascii="Times New Roman" w:eastAsia="Times New Roman" w:hAnsi="Times New Roman" w:cs="Times New Roman"/>
          <w:color w:val="000000"/>
          <w:sz w:val="20"/>
          <w:szCs w:val="20"/>
          <w:lang w:val="en-GB"/>
        </w:rPr>
        <w:t xml:space="preserve"> for measuring progress towards the achievement of Sustainable Development Goal 12;</w:t>
      </w:r>
    </w:p>
    <w:p w14:paraId="04B21DE5" w14:textId="77777777" w:rsidR="009F4EBE" w:rsidRPr="009F4EBE" w:rsidRDefault="009F4EBE" w:rsidP="009F4EBE">
      <w:pPr>
        <w:pStyle w:val="Normalnumber"/>
        <w:numPr>
          <w:ilvl w:val="0"/>
          <w:numId w:val="3"/>
        </w:numPr>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i/>
          <w:color w:val="000000"/>
          <w:sz w:val="20"/>
          <w:szCs w:val="20"/>
          <w:lang w:val="en-GB"/>
        </w:rPr>
        <w:t>Acknowledges</w:t>
      </w:r>
      <w:r w:rsidRPr="009F4EBE">
        <w:rPr>
          <w:rFonts w:ascii="Times New Roman" w:eastAsia="Times New Roman" w:hAnsi="Times New Roman" w:cs="Times New Roman"/>
          <w:color w:val="000000"/>
          <w:sz w:val="20"/>
          <w:szCs w:val="20"/>
          <w:lang w:val="en-GB"/>
        </w:rPr>
        <w:t xml:space="preserve"> the importance of clarity of the information transmitted in national reports related to transit, and encourages Parties to provide responses to questions 3g and 3h of the reporting format;</w:t>
      </w:r>
      <w:r w:rsidRPr="00BD0DEA">
        <w:rPr>
          <w:rFonts w:ascii="Times New Roman" w:eastAsia="Times New Roman" w:hAnsi="Times New Roman" w:cs="Times New Roman"/>
          <w:color w:val="000000"/>
          <w:sz w:val="20"/>
          <w:szCs w:val="20"/>
          <w:vertAlign w:val="superscript"/>
          <w:lang w:val="en-GB"/>
        </w:rPr>
        <w:footnoteReference w:id="5"/>
      </w:r>
    </w:p>
    <w:p w14:paraId="403191CA" w14:textId="77777777" w:rsidR="009F4EBE" w:rsidRPr="009F4EBE" w:rsidRDefault="009F4EBE" w:rsidP="009F4EBE">
      <w:pPr>
        <w:pStyle w:val="Normalnumber"/>
        <w:numPr>
          <w:ilvl w:val="0"/>
          <w:numId w:val="3"/>
        </w:numPr>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i/>
          <w:color w:val="000000"/>
          <w:sz w:val="20"/>
          <w:szCs w:val="20"/>
          <w:lang w:val="en-GB"/>
        </w:rPr>
        <w:t>Adopts</w:t>
      </w:r>
      <w:r w:rsidRPr="009F4EBE">
        <w:rPr>
          <w:rFonts w:ascii="Times New Roman" w:eastAsia="Times New Roman" w:hAnsi="Times New Roman" w:cs="Times New Roman"/>
          <w:color w:val="000000"/>
          <w:sz w:val="20"/>
          <w:szCs w:val="20"/>
          <w:lang w:val="en-GB"/>
        </w:rPr>
        <w:t xml:space="preserve"> the revisions to the reporting format for national reporting set out in annex I to the present decision and agrees that the revised format should be used by Parties for reporting for the year 2018 and onwards;</w:t>
      </w:r>
    </w:p>
    <w:p w14:paraId="48B2C3AE" w14:textId="77777777" w:rsidR="009F4EBE" w:rsidRPr="009F4EBE" w:rsidRDefault="009F4EBE" w:rsidP="009F4EBE">
      <w:pPr>
        <w:pStyle w:val="Normalnumber"/>
        <w:numPr>
          <w:ilvl w:val="0"/>
          <w:numId w:val="3"/>
        </w:numPr>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i/>
          <w:color w:val="000000"/>
          <w:sz w:val="20"/>
          <w:szCs w:val="20"/>
          <w:lang w:val="en-GB"/>
        </w:rPr>
        <w:t>Requests</w:t>
      </w:r>
      <w:r w:rsidRPr="009F4EBE">
        <w:rPr>
          <w:rFonts w:ascii="Times New Roman" w:eastAsia="Times New Roman" w:hAnsi="Times New Roman" w:cs="Times New Roman"/>
          <w:color w:val="000000"/>
          <w:sz w:val="20"/>
          <w:szCs w:val="20"/>
          <w:lang w:val="en-GB"/>
        </w:rPr>
        <w:t xml:space="preserve"> the Secretariat:</w:t>
      </w:r>
    </w:p>
    <w:p w14:paraId="0D09C720" w14:textId="77777777" w:rsidR="009F4EBE" w:rsidRPr="009F4EBE" w:rsidRDefault="009F4EBE" w:rsidP="009F4EBE">
      <w:pPr>
        <w:pStyle w:val="Normalnumber"/>
        <w:numPr>
          <w:ilvl w:val="1"/>
          <w:numId w:val="3"/>
        </w:numPr>
        <w:tabs>
          <w:tab w:val="clear" w:pos="624"/>
          <w:tab w:val="clear" w:pos="1134"/>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To continue to develop the electronic reporting system, including to make the required adaptations to the system to reflect the revisions to the reporting format referred to in paragraph 5 of the present decision, and to support Parties in using it;</w:t>
      </w:r>
    </w:p>
    <w:p w14:paraId="4B28D317" w14:textId="77777777" w:rsidR="009F4EBE" w:rsidRPr="009F4EBE" w:rsidRDefault="009F4EBE" w:rsidP="009F4EBE">
      <w:pPr>
        <w:pStyle w:val="Normalnumber"/>
        <w:numPr>
          <w:ilvl w:val="1"/>
          <w:numId w:val="3"/>
        </w:numPr>
        <w:tabs>
          <w:tab w:val="clear" w:pos="624"/>
          <w:tab w:val="clear" w:pos="1134"/>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To incorporate the revisions to the reporting format referred to in paragraph 5 of the present decision into the manual for completing the format for national reporting under the Basel Convention</w:t>
      </w:r>
      <w:r w:rsidRPr="00BD0DEA">
        <w:rPr>
          <w:rFonts w:ascii="Times New Roman" w:eastAsia="Times New Roman" w:hAnsi="Times New Roman" w:cs="Times New Roman"/>
          <w:color w:val="000000"/>
          <w:sz w:val="20"/>
          <w:szCs w:val="20"/>
          <w:vertAlign w:val="superscript"/>
          <w:lang w:val="en-GB"/>
        </w:rPr>
        <w:footnoteReference w:id="6"/>
      </w:r>
      <w:r w:rsidRPr="009F4EBE">
        <w:rPr>
          <w:rFonts w:ascii="Times New Roman" w:eastAsia="Times New Roman" w:hAnsi="Times New Roman" w:cs="Times New Roman"/>
          <w:color w:val="000000"/>
          <w:sz w:val="20"/>
          <w:szCs w:val="20"/>
          <w:lang w:val="en-GB"/>
        </w:rPr>
        <w:t xml:space="preserve"> and reflect therein the revisions contained in annex II to the present decision;</w:t>
      </w:r>
    </w:p>
    <w:p w14:paraId="78370998" w14:textId="77777777" w:rsidR="009F4EBE" w:rsidRPr="009F4EBE" w:rsidRDefault="009F4EBE" w:rsidP="009F4EBE">
      <w:pPr>
        <w:pStyle w:val="Normalnumber"/>
        <w:numPr>
          <w:ilvl w:val="1"/>
          <w:numId w:val="3"/>
        </w:numPr>
        <w:tabs>
          <w:tab w:val="clear" w:pos="624"/>
          <w:tab w:val="clear" w:pos="1134"/>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 xml:space="preserve">To also incorporate the revisions referred to in paragraph 5 of the present decision into the standardized reporting format for transmitting information under paragraphs 1 (a) and (b) of Article 4 and paragraphs 2 (c) and (d) of Article 13 of the Convention, revised by decision BC-13/9; </w:t>
      </w:r>
    </w:p>
    <w:p w14:paraId="7278102A" w14:textId="77777777" w:rsidR="009F4EBE" w:rsidRPr="009F4EBE" w:rsidRDefault="009F4EBE" w:rsidP="009F4EBE">
      <w:pPr>
        <w:pStyle w:val="Normalnumber"/>
        <w:numPr>
          <w:ilvl w:val="1"/>
          <w:numId w:val="3"/>
        </w:numPr>
        <w:tabs>
          <w:tab w:val="clear" w:pos="624"/>
          <w:tab w:val="clear" w:pos="1134"/>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To translate into English, subject to the availability of resources, any information transmitted by Parties in their national reports in the official languages of the United Nations other than English, and to incorporate such information into the electronic reporting system;</w:t>
      </w:r>
    </w:p>
    <w:p w14:paraId="03111685" w14:textId="77777777" w:rsidR="009F4EBE" w:rsidRPr="009F4EBE" w:rsidRDefault="009F4EBE" w:rsidP="009F4EBE">
      <w:pPr>
        <w:pStyle w:val="Normalnumber"/>
        <w:numPr>
          <w:ilvl w:val="1"/>
          <w:numId w:val="3"/>
        </w:numPr>
        <w:tabs>
          <w:tab w:val="clear" w:pos="624"/>
          <w:tab w:val="clear" w:pos="1134"/>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To develop, subject to the availability of resources, draft practical guidance on the development of inventories for the following waste streams for consideration by the Open</w:t>
      </w:r>
      <w:r w:rsidRPr="009F4EBE">
        <w:rPr>
          <w:rFonts w:ascii="Times New Roman" w:eastAsia="Times New Roman" w:hAnsi="Times New Roman" w:cs="Times New Roman"/>
          <w:color w:val="000000"/>
          <w:sz w:val="20"/>
          <w:szCs w:val="20"/>
          <w:lang w:val="en-GB"/>
        </w:rPr>
        <w:noBreakHyphen/>
        <w:t xml:space="preserve">ended Working Group at its twelfth meeting and the Conference of the Parties at its fifteenth meeting: </w:t>
      </w:r>
    </w:p>
    <w:p w14:paraId="41999826" w14:textId="77777777" w:rsidR="009F4EBE" w:rsidRPr="009F4EBE" w:rsidRDefault="009F4EBE" w:rsidP="009F4EBE">
      <w:pPr>
        <w:pStyle w:val="Normalnumber"/>
        <w:numPr>
          <w:ilvl w:val="2"/>
          <w:numId w:val="3"/>
        </w:numPr>
        <w:tabs>
          <w:tab w:val="num" w:pos="3407"/>
        </w:tabs>
        <w:ind w:left="3119" w:hanging="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With higher priority:</w:t>
      </w:r>
    </w:p>
    <w:p w14:paraId="3C6ECD9D" w14:textId="77777777" w:rsidR="009F4EBE" w:rsidRPr="009F4EBE" w:rsidRDefault="009F4EBE" w:rsidP="009F4EBE">
      <w:pPr>
        <w:numPr>
          <w:ilvl w:val="0"/>
          <w:numId w:val="4"/>
        </w:numPr>
        <w:tabs>
          <w:tab w:val="clear" w:pos="1247"/>
          <w:tab w:val="clear" w:pos="1814"/>
          <w:tab w:val="clear" w:pos="2381"/>
          <w:tab w:val="clear" w:pos="2948"/>
          <w:tab w:val="clear" w:pos="3515"/>
          <w:tab w:val="left" w:pos="624"/>
        </w:tabs>
        <w:spacing w:after="120"/>
        <w:ind w:left="3743" w:hanging="624"/>
        <w:rPr>
          <w:color w:val="000000"/>
          <w:lang w:val="en-GB"/>
        </w:rPr>
      </w:pPr>
      <w:r w:rsidRPr="009F4EBE">
        <w:rPr>
          <w:color w:val="000000"/>
          <w:lang w:val="en-GB"/>
        </w:rPr>
        <w:t>Plastic waste;</w:t>
      </w:r>
    </w:p>
    <w:p w14:paraId="01D2C86C" w14:textId="77777777" w:rsidR="009F4EBE" w:rsidRPr="009F4EBE" w:rsidRDefault="009F4EBE" w:rsidP="009F4EBE">
      <w:pPr>
        <w:numPr>
          <w:ilvl w:val="0"/>
          <w:numId w:val="4"/>
        </w:numPr>
        <w:tabs>
          <w:tab w:val="clear" w:pos="1247"/>
          <w:tab w:val="clear" w:pos="1814"/>
          <w:tab w:val="clear" w:pos="2381"/>
          <w:tab w:val="clear" w:pos="2948"/>
          <w:tab w:val="clear" w:pos="3515"/>
          <w:tab w:val="left" w:pos="624"/>
        </w:tabs>
        <w:spacing w:after="120"/>
        <w:ind w:left="3743" w:hanging="624"/>
        <w:rPr>
          <w:color w:val="000000"/>
          <w:lang w:val="en-GB"/>
        </w:rPr>
      </w:pPr>
      <w:r w:rsidRPr="009F4EBE">
        <w:rPr>
          <w:color w:val="000000"/>
          <w:lang w:val="en-GB"/>
        </w:rPr>
        <w:t>Obsolete pesticides, including pesticide-container waste;</w:t>
      </w:r>
    </w:p>
    <w:p w14:paraId="0E5F762F" w14:textId="77777777" w:rsidR="009F4EBE" w:rsidRPr="009F4EBE" w:rsidRDefault="009F4EBE" w:rsidP="009F4EBE">
      <w:pPr>
        <w:numPr>
          <w:ilvl w:val="0"/>
          <w:numId w:val="4"/>
        </w:numPr>
        <w:tabs>
          <w:tab w:val="clear" w:pos="1247"/>
          <w:tab w:val="clear" w:pos="1814"/>
          <w:tab w:val="clear" w:pos="2381"/>
          <w:tab w:val="clear" w:pos="2948"/>
          <w:tab w:val="clear" w:pos="3515"/>
          <w:tab w:val="left" w:pos="624"/>
        </w:tabs>
        <w:spacing w:after="120"/>
        <w:ind w:left="3743" w:hanging="624"/>
        <w:rPr>
          <w:color w:val="000000"/>
          <w:lang w:val="en-GB"/>
        </w:rPr>
      </w:pPr>
      <w:r w:rsidRPr="009F4EBE">
        <w:rPr>
          <w:color w:val="000000"/>
          <w:lang w:val="en-GB"/>
        </w:rPr>
        <w:t>Waste batteries containing lithium;</w:t>
      </w:r>
    </w:p>
    <w:p w14:paraId="7F459D39" w14:textId="77777777" w:rsidR="009F4EBE" w:rsidRPr="009F4EBE" w:rsidRDefault="009F4EBE" w:rsidP="009F4EBE">
      <w:pPr>
        <w:pStyle w:val="Normalnumber"/>
        <w:keepNext/>
        <w:keepLines/>
        <w:numPr>
          <w:ilvl w:val="2"/>
          <w:numId w:val="3"/>
        </w:numPr>
        <w:tabs>
          <w:tab w:val="num" w:pos="3407"/>
        </w:tabs>
        <w:ind w:left="3119" w:hanging="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With medium priority:</w:t>
      </w:r>
    </w:p>
    <w:p w14:paraId="2CAD94BC" w14:textId="77777777" w:rsidR="009F4EBE" w:rsidRPr="009F4EBE" w:rsidRDefault="009F4EBE" w:rsidP="009F4EBE">
      <w:pPr>
        <w:numPr>
          <w:ilvl w:val="1"/>
          <w:numId w:val="2"/>
        </w:numPr>
        <w:tabs>
          <w:tab w:val="clear" w:pos="1247"/>
          <w:tab w:val="clear" w:pos="1814"/>
          <w:tab w:val="clear" w:pos="2381"/>
          <w:tab w:val="clear" w:pos="2948"/>
          <w:tab w:val="clear" w:pos="3515"/>
          <w:tab w:val="left" w:pos="624"/>
        </w:tabs>
        <w:spacing w:after="120"/>
        <w:ind w:left="3743" w:hanging="624"/>
        <w:rPr>
          <w:color w:val="000000"/>
          <w:lang w:val="en-GB"/>
        </w:rPr>
      </w:pPr>
      <w:r w:rsidRPr="009F4EBE">
        <w:rPr>
          <w:color w:val="000000"/>
          <w:lang w:val="en-GB"/>
        </w:rPr>
        <w:t>Waste cartridges and toners;</w:t>
      </w:r>
    </w:p>
    <w:p w14:paraId="1A2FC20C" w14:textId="77777777" w:rsidR="009F4EBE" w:rsidRPr="009F4EBE" w:rsidRDefault="009F4EBE" w:rsidP="009F4EBE">
      <w:pPr>
        <w:numPr>
          <w:ilvl w:val="1"/>
          <w:numId w:val="2"/>
        </w:numPr>
        <w:tabs>
          <w:tab w:val="clear" w:pos="1247"/>
          <w:tab w:val="clear" w:pos="1814"/>
          <w:tab w:val="clear" w:pos="2381"/>
          <w:tab w:val="clear" w:pos="2948"/>
          <w:tab w:val="clear" w:pos="3515"/>
          <w:tab w:val="left" w:pos="624"/>
        </w:tabs>
        <w:spacing w:after="120"/>
        <w:ind w:left="3743" w:hanging="624"/>
        <w:rPr>
          <w:color w:val="000000"/>
          <w:lang w:val="en-GB"/>
        </w:rPr>
      </w:pPr>
      <w:r w:rsidRPr="009F4EBE">
        <w:rPr>
          <w:color w:val="000000"/>
          <w:lang w:val="en-GB"/>
        </w:rPr>
        <w:t>Olive oil milling waste;</w:t>
      </w:r>
    </w:p>
    <w:p w14:paraId="3534005B" w14:textId="77777777" w:rsidR="009F4EBE" w:rsidRPr="009F4EBE" w:rsidRDefault="009F4EBE" w:rsidP="009F4EBE">
      <w:pPr>
        <w:pStyle w:val="Normalnumber"/>
        <w:numPr>
          <w:ilvl w:val="1"/>
          <w:numId w:val="3"/>
        </w:numPr>
        <w:tabs>
          <w:tab w:val="clear" w:pos="624"/>
          <w:tab w:val="clear" w:pos="1134"/>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lastRenderedPageBreak/>
        <w:t>To continue, subject to the availability of resources, to undertake pilot projects to test the practical guidance for the development of inventories of used lead-acid batteries, waste electrical and electronic equipment and waste oils,</w:t>
      </w:r>
      <w:r w:rsidRPr="00BD0DEA">
        <w:rPr>
          <w:rFonts w:ascii="Times New Roman" w:eastAsia="Times New Roman" w:hAnsi="Times New Roman" w:cs="Times New Roman"/>
          <w:color w:val="000000"/>
          <w:sz w:val="20"/>
          <w:szCs w:val="20"/>
          <w:vertAlign w:val="superscript"/>
          <w:lang w:val="en-GB"/>
        </w:rPr>
        <w:footnoteReference w:id="7"/>
      </w:r>
      <w:r w:rsidRPr="009F4EBE">
        <w:rPr>
          <w:rFonts w:ascii="Times New Roman" w:eastAsia="Times New Roman" w:hAnsi="Times New Roman" w:cs="Times New Roman"/>
          <w:color w:val="000000"/>
          <w:sz w:val="20"/>
          <w:szCs w:val="20"/>
          <w:lang w:val="en-GB"/>
        </w:rPr>
        <w:t xml:space="preserve"> and to prepare, on the basis of the outcomes of those projects and comments received by Parties and observers on their experience in using the guidance, revised practical guidance for consideration by the Conference of the Parties at its fifteenth meeting;</w:t>
      </w:r>
    </w:p>
    <w:p w14:paraId="26FE6D2A" w14:textId="77777777" w:rsidR="009F4EBE" w:rsidRPr="009F4EBE" w:rsidRDefault="009F4EBE" w:rsidP="009F4EBE">
      <w:pPr>
        <w:pStyle w:val="Normalnumber"/>
        <w:numPr>
          <w:ilvl w:val="1"/>
          <w:numId w:val="3"/>
        </w:numPr>
        <w:tabs>
          <w:tab w:val="clear" w:pos="624"/>
          <w:tab w:val="clear" w:pos="1134"/>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To continue, subject to the availability of resources, to provide training to developing countries and other countries that need assistance to meet their reporting obligations by organizing training activities in cooperation with the Basel Convention regional and coordinating centres or by other appropriate means;</w:t>
      </w:r>
    </w:p>
    <w:p w14:paraId="09AEB063" w14:textId="77777777" w:rsidR="009F4EBE" w:rsidRPr="009F4EBE" w:rsidRDefault="009F4EBE" w:rsidP="009F4EBE">
      <w:pPr>
        <w:pStyle w:val="Normalnumber"/>
        <w:numPr>
          <w:ilvl w:val="1"/>
          <w:numId w:val="3"/>
        </w:numPr>
        <w:tabs>
          <w:tab w:val="clear" w:pos="624"/>
          <w:tab w:val="clear" w:pos="1134"/>
        </w:tabs>
        <w:ind w:firstLine="624"/>
        <w:rPr>
          <w:rFonts w:ascii="Times New Roman" w:eastAsia="Times New Roman" w:hAnsi="Times New Roman" w:cs="Times New Roman"/>
          <w:color w:val="000000"/>
          <w:sz w:val="20"/>
          <w:szCs w:val="20"/>
          <w:lang w:val="en-GB"/>
        </w:rPr>
      </w:pPr>
      <w:r w:rsidRPr="009F4EBE">
        <w:rPr>
          <w:rFonts w:ascii="Times New Roman" w:eastAsia="Times New Roman" w:hAnsi="Times New Roman" w:cs="Times New Roman"/>
          <w:color w:val="000000"/>
          <w:sz w:val="20"/>
          <w:szCs w:val="20"/>
          <w:lang w:val="en-GB"/>
        </w:rPr>
        <w:t>To report to the Conference of the Parties at its fifteenth meeting on the implementation of the present decision.</w:t>
      </w:r>
    </w:p>
    <w:p w14:paraId="0DB18E6D" w14:textId="77777777" w:rsidR="009F4EBE" w:rsidRPr="00D722C4" w:rsidRDefault="009F4EBE" w:rsidP="009F4EBE">
      <w:pPr>
        <w:pStyle w:val="CH1"/>
      </w:pPr>
      <w:r w:rsidRPr="00D722C4">
        <w:tab/>
      </w:r>
      <w:r w:rsidRPr="00D722C4">
        <w:tab/>
        <w:t>Annex I to decision BC-14/10</w:t>
      </w:r>
    </w:p>
    <w:p w14:paraId="6FB19182" w14:textId="77777777" w:rsidR="009F4EBE" w:rsidRPr="00D722C4" w:rsidRDefault="009F4EBE" w:rsidP="009F4EBE">
      <w:pPr>
        <w:pStyle w:val="CH1"/>
      </w:pPr>
      <w:r w:rsidRPr="00D722C4">
        <w:tab/>
      </w:r>
      <w:r w:rsidRPr="00D722C4">
        <w:tab/>
        <w:t>Revisions to the reporting format for national reporting under the Basel Convention</w:t>
      </w:r>
    </w:p>
    <w:p w14:paraId="0A2824FC" w14:textId="77777777" w:rsidR="009F4EBE" w:rsidRPr="00D722C4" w:rsidRDefault="009F4EBE" w:rsidP="009F4EBE">
      <w:pPr>
        <w:pStyle w:val="Normalnumber"/>
        <w:numPr>
          <w:ilvl w:val="6"/>
          <w:numId w:val="0"/>
        </w:numPr>
        <w:tabs>
          <w:tab w:val="num" w:pos="8555"/>
        </w:tabs>
        <w:ind w:left="1871" w:hanging="624"/>
        <w:rPr>
          <w:rFonts w:asciiTheme="majorBidi" w:eastAsia="Calibri" w:hAnsiTheme="majorBidi" w:cstheme="majorBidi"/>
          <w:noProof/>
        </w:rPr>
      </w:pPr>
      <w:r w:rsidRPr="00D722C4">
        <w:rPr>
          <w:rFonts w:asciiTheme="majorBidi" w:eastAsia="Calibri" w:hAnsiTheme="majorBidi" w:cstheme="majorBidi"/>
          <w:noProof/>
        </w:rPr>
        <w:t>Question 3 (h) is replaced by the following:</w:t>
      </w:r>
    </w:p>
    <w:tbl>
      <w:tblPr>
        <w:tblW w:w="8307" w:type="dxa"/>
        <w:jc w:val="right"/>
        <w:tblLook w:val="04A0" w:firstRow="1" w:lastRow="0" w:firstColumn="1" w:lastColumn="0" w:noHBand="0" w:noVBand="1"/>
      </w:tblPr>
      <w:tblGrid>
        <w:gridCol w:w="1361"/>
        <w:gridCol w:w="6946"/>
      </w:tblGrid>
      <w:tr w:rsidR="009F4EBE" w:rsidRPr="00B031F0" w14:paraId="7ED26DA0" w14:textId="77777777" w:rsidTr="00934B71">
        <w:trPr>
          <w:jc w:val="right"/>
        </w:trPr>
        <w:tc>
          <w:tcPr>
            <w:tcW w:w="1276" w:type="dxa"/>
            <w:tcBorders>
              <w:top w:val="single" w:sz="4" w:space="0" w:color="auto"/>
              <w:left w:val="single" w:sz="4" w:space="0" w:color="auto"/>
              <w:bottom w:val="single" w:sz="4" w:space="0" w:color="auto"/>
              <w:right w:val="single" w:sz="4" w:space="0" w:color="auto"/>
            </w:tcBorders>
            <w:hideMark/>
          </w:tcPr>
          <w:p w14:paraId="411F9BA8" w14:textId="77777777" w:rsidR="009F4EBE" w:rsidRPr="00D722C4" w:rsidRDefault="009F4EBE" w:rsidP="00934B71">
            <w:pPr>
              <w:keepNext/>
              <w:keepLines/>
              <w:spacing w:before="120"/>
              <w:rPr>
                <w:rFonts w:asciiTheme="majorBidi" w:eastAsia="Calibri" w:hAnsiTheme="majorBidi" w:cstheme="majorBidi"/>
                <w:b/>
                <w:sz w:val="18"/>
                <w:szCs w:val="18"/>
                <w:lang w:val="en-GB" w:eastAsia="x-none"/>
              </w:rPr>
            </w:pPr>
            <w:r w:rsidRPr="00D722C4">
              <w:rPr>
                <w:rFonts w:asciiTheme="majorBidi" w:hAnsiTheme="majorBidi" w:cstheme="majorBidi"/>
                <w:b/>
                <w:sz w:val="18"/>
                <w:szCs w:val="18"/>
                <w:lang w:val="en-GB" w:eastAsia="x-none"/>
              </w:rPr>
              <w:t>3h</w:t>
            </w:r>
          </w:p>
        </w:tc>
        <w:tc>
          <w:tcPr>
            <w:tcW w:w="6515" w:type="dxa"/>
            <w:tcBorders>
              <w:top w:val="single" w:sz="4" w:space="0" w:color="auto"/>
              <w:left w:val="single" w:sz="4" w:space="0" w:color="auto"/>
              <w:bottom w:val="single" w:sz="4" w:space="0" w:color="auto"/>
              <w:right w:val="single" w:sz="4" w:space="0" w:color="auto"/>
            </w:tcBorders>
          </w:tcPr>
          <w:p w14:paraId="74A35A23" w14:textId="77777777" w:rsidR="009F4EBE" w:rsidRPr="00D722C4" w:rsidRDefault="009F4EBE" w:rsidP="00934B71">
            <w:pPr>
              <w:keepNext/>
              <w:keepLines/>
              <w:spacing w:before="120"/>
              <w:rPr>
                <w:rFonts w:asciiTheme="majorBidi" w:hAnsiTheme="majorBidi" w:cstheme="majorBidi"/>
                <w:b/>
                <w:sz w:val="18"/>
                <w:szCs w:val="18"/>
                <w:lang w:val="en-GB" w:eastAsia="x-none"/>
              </w:rPr>
            </w:pPr>
            <w:r w:rsidRPr="00D722C4">
              <w:rPr>
                <w:rFonts w:asciiTheme="majorBidi" w:hAnsiTheme="majorBidi" w:cstheme="majorBidi"/>
                <w:b/>
                <w:sz w:val="18"/>
                <w:szCs w:val="18"/>
                <w:u w:val="single"/>
                <w:lang w:val="en-GB" w:eastAsia="x-none"/>
              </w:rPr>
              <w:t>(</w:t>
            </w:r>
            <w:proofErr w:type="spellStart"/>
            <w:r w:rsidRPr="00D722C4">
              <w:rPr>
                <w:rFonts w:asciiTheme="majorBidi" w:hAnsiTheme="majorBidi" w:cstheme="majorBidi"/>
                <w:b/>
                <w:sz w:val="18"/>
                <w:szCs w:val="18"/>
                <w:u w:val="single"/>
                <w:lang w:val="en-GB" w:eastAsia="x-none"/>
              </w:rPr>
              <w:t>i</w:t>
            </w:r>
            <w:proofErr w:type="spellEnd"/>
            <w:r w:rsidRPr="00D722C4">
              <w:rPr>
                <w:rFonts w:asciiTheme="majorBidi" w:hAnsiTheme="majorBidi" w:cstheme="majorBidi"/>
                <w:b/>
                <w:sz w:val="18"/>
                <w:szCs w:val="18"/>
                <w:u w:val="single"/>
                <w:lang w:val="en-GB" w:eastAsia="x-none"/>
              </w:rPr>
              <w:t>)</w:t>
            </w:r>
            <w:r w:rsidRPr="00D722C4">
              <w:rPr>
                <w:rFonts w:asciiTheme="majorBidi" w:hAnsiTheme="majorBidi" w:cstheme="majorBidi"/>
                <w:b/>
                <w:sz w:val="18"/>
                <w:szCs w:val="18"/>
                <w:lang w:val="en-GB" w:eastAsia="x-none"/>
              </w:rPr>
              <w:t xml:space="preserve"> Does your country have a definition of “State of transit” in its legislation?</w:t>
            </w:r>
          </w:p>
          <w:p w14:paraId="39C5F650" w14:textId="77777777" w:rsidR="009F4EBE" w:rsidRPr="00D722C4" w:rsidRDefault="009F4EBE" w:rsidP="00934B71">
            <w:pPr>
              <w:keepNext/>
              <w:keepLines/>
              <w:spacing w:after="120"/>
              <w:rPr>
                <w:rFonts w:asciiTheme="majorBidi" w:hAnsiTheme="majorBidi" w:cstheme="majorBidi"/>
                <w:sz w:val="18"/>
                <w:szCs w:val="18"/>
                <w:lang w:val="en-GB" w:eastAsia="x-none"/>
              </w:rPr>
            </w:pPr>
            <w:r w:rsidRPr="00D722C4">
              <w:rPr>
                <w:rFonts w:asciiTheme="majorBidi" w:hAnsiTheme="majorBidi" w:cstheme="majorBidi"/>
                <w:color w:val="548DD4"/>
                <w:sz w:val="18"/>
                <w:szCs w:val="18"/>
                <w:lang w:val="en-GB" w:eastAsia="x-none"/>
              </w:rPr>
              <w:t>(Articles 6.4 and 13.3 (c))</w:t>
            </w:r>
            <w:r w:rsidRPr="00D722C4">
              <w:rPr>
                <w:rFonts w:asciiTheme="majorBidi" w:hAnsiTheme="majorBidi" w:cstheme="majorBidi"/>
                <w:sz w:val="18"/>
                <w:szCs w:val="18"/>
                <w:lang w:val="en-GB" w:eastAsia="x-none"/>
              </w:rPr>
              <w:t xml:space="preserve"> </w:t>
            </w:r>
            <w:r w:rsidRPr="00D722C4">
              <w:rPr>
                <w:rFonts w:asciiTheme="majorBidi" w:hAnsiTheme="majorBidi" w:cstheme="majorBidi"/>
                <w:color w:val="FF0000"/>
                <w:sz w:val="18"/>
                <w:szCs w:val="18"/>
                <w:lang w:val="en-GB" w:eastAsia="x-none"/>
              </w:rPr>
              <w:t>(optional)</w:t>
            </w:r>
          </w:p>
          <w:p w14:paraId="7A872FCE" w14:textId="77777777" w:rsidR="009F4EBE" w:rsidRPr="00D722C4" w:rsidRDefault="009F4EBE" w:rsidP="00934B71">
            <w:pPr>
              <w:keepNext/>
              <w:keepLines/>
              <w:spacing w:before="120" w:after="120"/>
              <w:rPr>
                <w:rFonts w:asciiTheme="majorBidi" w:hAnsiTheme="majorBidi" w:cstheme="majorBidi"/>
                <w:sz w:val="18"/>
                <w:szCs w:val="18"/>
                <w:lang w:val="en-GB" w:eastAsia="x-none"/>
              </w:rPr>
            </w:pPr>
            <w:r w:rsidRPr="00D722C4">
              <w:rPr>
                <w:rFonts w:asciiTheme="majorBidi" w:hAnsiTheme="majorBidi" w:cstheme="majorBidi"/>
                <w:sz w:val="18"/>
                <w:szCs w:val="18"/>
                <w:lang w:val="en-GB" w:eastAsia="x-none"/>
              </w:rPr>
              <w:t xml:space="preserve">Yes </w:t>
            </w:r>
            <w:r w:rsidRPr="00D722C4">
              <w:rPr>
                <w:rFonts w:asciiTheme="majorBidi" w:hAnsiTheme="majorBidi" w:cstheme="majorBidi"/>
                <w:sz w:val="18"/>
                <w:szCs w:val="18"/>
                <w:lang w:val="en-GB" w:eastAsia="x-none"/>
              </w:rPr>
              <w:fldChar w:fldCharType="begin">
                <w:ffData>
                  <w:name w:val="Kontrollkästchen2"/>
                  <w:enabled/>
                  <w:calcOnExit w:val="0"/>
                  <w:checkBox>
                    <w:sizeAuto/>
                    <w:default w:val="0"/>
                  </w:checkBox>
                </w:ffData>
              </w:fldChar>
            </w:r>
            <w:r w:rsidRPr="00D722C4">
              <w:rPr>
                <w:rFonts w:asciiTheme="majorBidi" w:hAnsiTheme="majorBidi" w:cstheme="majorBidi"/>
                <w:sz w:val="18"/>
                <w:szCs w:val="18"/>
                <w:lang w:val="en-GB" w:eastAsia="x-none"/>
              </w:rPr>
              <w:instrText xml:space="preserve"> FORMCHECKBOX </w:instrText>
            </w:r>
            <w:r w:rsidR="00B031F0">
              <w:rPr>
                <w:rFonts w:asciiTheme="majorBidi" w:hAnsiTheme="majorBidi" w:cstheme="majorBidi"/>
                <w:sz w:val="18"/>
                <w:szCs w:val="18"/>
                <w:lang w:val="en-GB" w:eastAsia="x-none"/>
              </w:rPr>
            </w:r>
            <w:r w:rsidR="00B031F0">
              <w:rPr>
                <w:rFonts w:asciiTheme="majorBidi" w:hAnsiTheme="majorBidi" w:cstheme="majorBidi"/>
                <w:sz w:val="18"/>
                <w:szCs w:val="18"/>
                <w:lang w:val="en-GB" w:eastAsia="x-none"/>
              </w:rPr>
              <w:fldChar w:fldCharType="separate"/>
            </w:r>
            <w:r w:rsidRPr="00D722C4">
              <w:rPr>
                <w:rFonts w:asciiTheme="majorBidi" w:hAnsiTheme="majorBidi" w:cstheme="majorBidi"/>
                <w:sz w:val="18"/>
                <w:szCs w:val="18"/>
                <w:lang w:val="en-GB" w:eastAsia="x-none"/>
              </w:rPr>
              <w:fldChar w:fldCharType="end"/>
            </w:r>
            <w:r w:rsidRPr="00D722C4">
              <w:rPr>
                <w:rFonts w:asciiTheme="majorBidi" w:hAnsiTheme="majorBidi" w:cstheme="majorBidi"/>
                <w:sz w:val="18"/>
                <w:szCs w:val="18"/>
                <w:lang w:val="en-GB" w:eastAsia="x-none"/>
              </w:rPr>
              <w:tab/>
              <w:t xml:space="preserve">No </w:t>
            </w:r>
            <w:r w:rsidRPr="00D722C4">
              <w:rPr>
                <w:rFonts w:asciiTheme="majorBidi" w:hAnsiTheme="majorBidi" w:cstheme="majorBidi"/>
                <w:sz w:val="18"/>
                <w:szCs w:val="18"/>
                <w:lang w:val="en-GB" w:eastAsia="x-none"/>
              </w:rPr>
              <w:fldChar w:fldCharType="begin">
                <w:ffData>
                  <w:name w:val="Kontrollkästchen2"/>
                  <w:enabled/>
                  <w:calcOnExit w:val="0"/>
                  <w:checkBox>
                    <w:sizeAuto/>
                    <w:default w:val="0"/>
                  </w:checkBox>
                </w:ffData>
              </w:fldChar>
            </w:r>
            <w:r w:rsidRPr="00D722C4">
              <w:rPr>
                <w:rFonts w:asciiTheme="majorBidi" w:hAnsiTheme="majorBidi" w:cstheme="majorBidi"/>
                <w:sz w:val="18"/>
                <w:szCs w:val="18"/>
                <w:lang w:val="en-GB" w:eastAsia="x-none"/>
              </w:rPr>
              <w:instrText xml:space="preserve"> FORMCHECKBOX </w:instrText>
            </w:r>
            <w:r w:rsidR="00B031F0">
              <w:rPr>
                <w:rFonts w:asciiTheme="majorBidi" w:hAnsiTheme="majorBidi" w:cstheme="majorBidi"/>
                <w:sz w:val="18"/>
                <w:szCs w:val="18"/>
                <w:lang w:val="en-GB" w:eastAsia="x-none"/>
              </w:rPr>
            </w:r>
            <w:r w:rsidR="00B031F0">
              <w:rPr>
                <w:rFonts w:asciiTheme="majorBidi" w:hAnsiTheme="majorBidi" w:cstheme="majorBidi"/>
                <w:sz w:val="18"/>
                <w:szCs w:val="18"/>
                <w:lang w:val="en-GB" w:eastAsia="x-none"/>
              </w:rPr>
              <w:fldChar w:fldCharType="separate"/>
            </w:r>
            <w:r w:rsidRPr="00D722C4">
              <w:rPr>
                <w:rFonts w:asciiTheme="majorBidi" w:hAnsiTheme="majorBidi" w:cstheme="majorBidi"/>
                <w:sz w:val="18"/>
                <w:szCs w:val="18"/>
                <w:lang w:val="en-GB" w:eastAsia="x-none"/>
              </w:rPr>
              <w:fldChar w:fldCharType="end"/>
            </w:r>
          </w:p>
          <w:p w14:paraId="2F41DC63" w14:textId="77777777" w:rsidR="009F4EBE" w:rsidRPr="00D722C4" w:rsidRDefault="009F4EBE" w:rsidP="00934B71">
            <w:pPr>
              <w:keepNext/>
              <w:keepLines/>
              <w:spacing w:after="120"/>
              <w:rPr>
                <w:rFonts w:asciiTheme="majorBidi" w:hAnsiTheme="majorBidi" w:cstheme="majorBidi"/>
                <w:sz w:val="18"/>
                <w:szCs w:val="18"/>
                <w:lang w:val="en-GB" w:eastAsia="x-none"/>
              </w:rPr>
            </w:pPr>
            <w:r w:rsidRPr="00D722C4">
              <w:rPr>
                <w:rFonts w:asciiTheme="majorBidi" w:hAnsiTheme="majorBidi" w:cstheme="majorBidi"/>
                <w:b/>
                <w:sz w:val="18"/>
                <w:szCs w:val="18"/>
                <w:lang w:val="en-GB" w:eastAsia="x-none"/>
              </w:rPr>
              <w:t>If yes,</w:t>
            </w:r>
            <w:r w:rsidRPr="00D722C4">
              <w:rPr>
                <w:rFonts w:asciiTheme="majorBidi" w:hAnsiTheme="majorBidi" w:cstheme="majorBidi"/>
                <w:sz w:val="18"/>
                <w:szCs w:val="18"/>
                <w:lang w:val="en-GB" w:eastAsia="x-none"/>
              </w:rPr>
              <w:t xml:space="preserve"> please provide the text of the definition, including any elaboration of the meaning of the term “through which” in the definition of “State of transit” set out in Article 2.12 of the Convention:</w:t>
            </w:r>
          </w:p>
          <w:p w14:paraId="0CB080D5" w14:textId="77777777" w:rsidR="009F4EBE" w:rsidRPr="00D722C4" w:rsidRDefault="009F4EBE" w:rsidP="00934B71">
            <w:pPr>
              <w:keepNext/>
              <w:keepLines/>
              <w:spacing w:after="120"/>
              <w:rPr>
                <w:rFonts w:asciiTheme="majorBidi" w:hAnsiTheme="majorBidi" w:cstheme="majorBidi"/>
                <w:b/>
                <w:sz w:val="18"/>
                <w:szCs w:val="18"/>
                <w:lang w:val="en-GB" w:eastAsia="x-none"/>
              </w:rPr>
            </w:pPr>
            <w:r w:rsidRPr="00D722C4">
              <w:rPr>
                <w:rFonts w:asciiTheme="majorBidi" w:hAnsiTheme="majorBidi" w:cstheme="majorBidi"/>
                <w:b/>
                <w:sz w:val="18"/>
                <w:szCs w:val="18"/>
                <w:lang w:val="en-GB" w:eastAsia="x-none"/>
              </w:rPr>
              <w:t>(ii) Does your country otherwise have a definition of “State of transit” (e.g., in a guidance document)?</w:t>
            </w:r>
            <w:r w:rsidRPr="00D722C4">
              <w:rPr>
                <w:rFonts w:asciiTheme="majorBidi" w:hAnsiTheme="majorBidi" w:cstheme="majorBidi"/>
                <w:color w:val="FF0000"/>
                <w:sz w:val="18"/>
                <w:szCs w:val="18"/>
                <w:lang w:val="en-GB" w:eastAsia="x-none"/>
              </w:rPr>
              <w:t xml:space="preserve"> </w:t>
            </w:r>
            <w:r w:rsidRPr="00D722C4">
              <w:rPr>
                <w:rFonts w:asciiTheme="majorBidi" w:hAnsiTheme="majorBidi" w:cstheme="majorBidi"/>
                <w:color w:val="548DD4"/>
                <w:sz w:val="18"/>
                <w:szCs w:val="18"/>
                <w:lang w:val="en-GB" w:eastAsia="x-none"/>
              </w:rPr>
              <w:t>Articles 6.4 and 13.3 (c))</w:t>
            </w:r>
            <w:r w:rsidRPr="00D722C4">
              <w:rPr>
                <w:rFonts w:asciiTheme="majorBidi" w:hAnsiTheme="majorBidi" w:cstheme="majorBidi"/>
                <w:sz w:val="18"/>
                <w:szCs w:val="18"/>
                <w:lang w:val="en-GB" w:eastAsia="x-none"/>
              </w:rPr>
              <w:t xml:space="preserve"> </w:t>
            </w:r>
            <w:r w:rsidRPr="00D722C4">
              <w:rPr>
                <w:rFonts w:asciiTheme="majorBidi" w:hAnsiTheme="majorBidi" w:cstheme="majorBidi"/>
                <w:color w:val="FF0000"/>
                <w:sz w:val="18"/>
                <w:szCs w:val="18"/>
                <w:lang w:val="en-GB" w:eastAsia="x-none"/>
              </w:rPr>
              <w:t>(optional)</w:t>
            </w:r>
          </w:p>
          <w:p w14:paraId="6A4B2E10" w14:textId="77777777" w:rsidR="009F4EBE" w:rsidRPr="00D722C4" w:rsidRDefault="009F4EBE" w:rsidP="00934B71">
            <w:pPr>
              <w:keepNext/>
              <w:keepLines/>
              <w:spacing w:before="120" w:after="120"/>
              <w:rPr>
                <w:rFonts w:asciiTheme="majorBidi" w:hAnsiTheme="majorBidi" w:cstheme="majorBidi"/>
                <w:sz w:val="18"/>
                <w:szCs w:val="18"/>
                <w:lang w:val="en-GB" w:eastAsia="x-none"/>
              </w:rPr>
            </w:pPr>
            <w:r w:rsidRPr="00D722C4">
              <w:rPr>
                <w:rFonts w:asciiTheme="majorBidi" w:hAnsiTheme="majorBidi" w:cstheme="majorBidi"/>
                <w:sz w:val="18"/>
                <w:szCs w:val="18"/>
                <w:lang w:val="en-GB" w:eastAsia="x-none"/>
              </w:rPr>
              <w:t xml:space="preserve">Yes </w:t>
            </w:r>
            <w:r w:rsidRPr="00D722C4">
              <w:rPr>
                <w:rFonts w:asciiTheme="majorBidi" w:hAnsiTheme="majorBidi" w:cstheme="majorBidi"/>
                <w:sz w:val="18"/>
                <w:szCs w:val="18"/>
                <w:lang w:val="en-GB" w:eastAsia="x-none"/>
              </w:rPr>
              <w:fldChar w:fldCharType="begin">
                <w:ffData>
                  <w:name w:val="Kontrollkästchen2"/>
                  <w:enabled/>
                  <w:calcOnExit w:val="0"/>
                  <w:checkBox>
                    <w:sizeAuto/>
                    <w:default w:val="0"/>
                  </w:checkBox>
                </w:ffData>
              </w:fldChar>
            </w:r>
            <w:r w:rsidRPr="00D722C4">
              <w:rPr>
                <w:rFonts w:asciiTheme="majorBidi" w:hAnsiTheme="majorBidi" w:cstheme="majorBidi"/>
                <w:sz w:val="18"/>
                <w:szCs w:val="18"/>
                <w:lang w:val="en-GB" w:eastAsia="x-none"/>
              </w:rPr>
              <w:instrText xml:space="preserve"> FORMCHECKBOX </w:instrText>
            </w:r>
            <w:r w:rsidR="00B031F0">
              <w:rPr>
                <w:rFonts w:asciiTheme="majorBidi" w:hAnsiTheme="majorBidi" w:cstheme="majorBidi"/>
                <w:sz w:val="18"/>
                <w:szCs w:val="18"/>
                <w:lang w:val="en-GB" w:eastAsia="x-none"/>
              </w:rPr>
            </w:r>
            <w:r w:rsidR="00B031F0">
              <w:rPr>
                <w:rFonts w:asciiTheme="majorBidi" w:hAnsiTheme="majorBidi" w:cstheme="majorBidi"/>
                <w:sz w:val="18"/>
                <w:szCs w:val="18"/>
                <w:lang w:val="en-GB" w:eastAsia="x-none"/>
              </w:rPr>
              <w:fldChar w:fldCharType="separate"/>
            </w:r>
            <w:r w:rsidRPr="00D722C4">
              <w:rPr>
                <w:rFonts w:asciiTheme="majorBidi" w:hAnsiTheme="majorBidi" w:cstheme="majorBidi"/>
                <w:sz w:val="18"/>
                <w:szCs w:val="18"/>
                <w:lang w:val="en-GB" w:eastAsia="x-none"/>
              </w:rPr>
              <w:fldChar w:fldCharType="end"/>
            </w:r>
            <w:r w:rsidRPr="00D722C4">
              <w:rPr>
                <w:rFonts w:asciiTheme="majorBidi" w:hAnsiTheme="majorBidi" w:cstheme="majorBidi"/>
                <w:sz w:val="18"/>
                <w:szCs w:val="18"/>
                <w:lang w:val="en-GB" w:eastAsia="x-none"/>
              </w:rPr>
              <w:tab/>
              <w:t xml:space="preserve">No </w:t>
            </w:r>
            <w:r w:rsidRPr="00D722C4">
              <w:rPr>
                <w:rFonts w:asciiTheme="majorBidi" w:hAnsiTheme="majorBidi" w:cstheme="majorBidi"/>
                <w:sz w:val="18"/>
                <w:szCs w:val="18"/>
                <w:lang w:val="en-GB" w:eastAsia="x-none"/>
              </w:rPr>
              <w:fldChar w:fldCharType="begin">
                <w:ffData>
                  <w:name w:val="Kontrollkästchen2"/>
                  <w:enabled/>
                  <w:calcOnExit w:val="0"/>
                  <w:checkBox>
                    <w:sizeAuto/>
                    <w:default w:val="0"/>
                  </w:checkBox>
                </w:ffData>
              </w:fldChar>
            </w:r>
            <w:r w:rsidRPr="00D722C4">
              <w:rPr>
                <w:rFonts w:asciiTheme="majorBidi" w:hAnsiTheme="majorBidi" w:cstheme="majorBidi"/>
                <w:sz w:val="18"/>
                <w:szCs w:val="18"/>
                <w:lang w:val="en-GB" w:eastAsia="x-none"/>
              </w:rPr>
              <w:instrText xml:space="preserve"> FORMCHECKBOX </w:instrText>
            </w:r>
            <w:r w:rsidR="00B031F0">
              <w:rPr>
                <w:rFonts w:asciiTheme="majorBidi" w:hAnsiTheme="majorBidi" w:cstheme="majorBidi"/>
                <w:sz w:val="18"/>
                <w:szCs w:val="18"/>
                <w:lang w:val="en-GB" w:eastAsia="x-none"/>
              </w:rPr>
            </w:r>
            <w:r w:rsidR="00B031F0">
              <w:rPr>
                <w:rFonts w:asciiTheme="majorBidi" w:hAnsiTheme="majorBidi" w:cstheme="majorBidi"/>
                <w:sz w:val="18"/>
                <w:szCs w:val="18"/>
                <w:lang w:val="en-GB" w:eastAsia="x-none"/>
              </w:rPr>
              <w:fldChar w:fldCharType="separate"/>
            </w:r>
            <w:r w:rsidRPr="00D722C4">
              <w:rPr>
                <w:rFonts w:asciiTheme="majorBidi" w:hAnsiTheme="majorBidi" w:cstheme="majorBidi"/>
                <w:sz w:val="18"/>
                <w:szCs w:val="18"/>
                <w:lang w:val="en-GB" w:eastAsia="x-none"/>
              </w:rPr>
              <w:fldChar w:fldCharType="end"/>
            </w:r>
          </w:p>
          <w:p w14:paraId="61330EFA" w14:textId="77777777" w:rsidR="009F4EBE" w:rsidRPr="00D722C4" w:rsidRDefault="009F4EBE" w:rsidP="00934B71">
            <w:pPr>
              <w:keepNext/>
              <w:keepLines/>
              <w:spacing w:after="120"/>
              <w:rPr>
                <w:rFonts w:asciiTheme="majorBidi" w:hAnsiTheme="majorBidi" w:cstheme="majorBidi"/>
                <w:sz w:val="18"/>
                <w:szCs w:val="18"/>
                <w:lang w:val="en-GB"/>
              </w:rPr>
            </w:pPr>
            <w:r w:rsidRPr="00D722C4">
              <w:rPr>
                <w:rFonts w:asciiTheme="majorBidi" w:hAnsiTheme="majorBidi" w:cstheme="majorBidi"/>
                <w:b/>
                <w:sz w:val="18"/>
                <w:szCs w:val="18"/>
                <w:lang w:val="en-GB" w:eastAsia="x-none"/>
              </w:rPr>
              <w:t>If yes,</w:t>
            </w:r>
            <w:r w:rsidRPr="00D722C4">
              <w:rPr>
                <w:rFonts w:asciiTheme="majorBidi" w:hAnsiTheme="majorBidi" w:cstheme="majorBidi"/>
                <w:sz w:val="18"/>
                <w:szCs w:val="18"/>
                <w:lang w:val="en-GB" w:eastAsia="x-none"/>
              </w:rPr>
              <w:t xml:space="preserve"> please provide the text of the definition, including any elaboration of the meaning of the term “through which” in the definition of “State of transit” set out in Article 2.12 of the Convention:</w:t>
            </w:r>
          </w:p>
        </w:tc>
      </w:tr>
    </w:tbl>
    <w:p w14:paraId="69C48709" w14:textId="77777777" w:rsidR="009F4EBE" w:rsidRPr="00D722C4" w:rsidRDefault="009F4EBE" w:rsidP="009F4EBE">
      <w:pPr>
        <w:pStyle w:val="Normalnumber"/>
        <w:numPr>
          <w:ilvl w:val="6"/>
          <w:numId w:val="0"/>
        </w:numPr>
        <w:tabs>
          <w:tab w:val="num" w:pos="8555"/>
        </w:tabs>
        <w:spacing w:before="120"/>
        <w:ind w:left="1871" w:hanging="624"/>
        <w:rPr>
          <w:rFonts w:asciiTheme="majorBidi" w:eastAsia="Calibri" w:hAnsiTheme="majorBidi" w:cstheme="majorBidi"/>
          <w:lang w:eastAsia="zh-CN"/>
        </w:rPr>
      </w:pPr>
      <w:r w:rsidRPr="00D722C4">
        <w:rPr>
          <w:rFonts w:asciiTheme="majorBidi" w:eastAsia="Calibri" w:hAnsiTheme="majorBidi" w:cstheme="majorBidi"/>
        </w:rPr>
        <w:t>In Table 4, the summary table is replaced by the following:</w:t>
      </w:r>
    </w:p>
    <w:tbl>
      <w:tblPr>
        <w:tblW w:w="830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34"/>
        <w:gridCol w:w="573"/>
      </w:tblGrid>
      <w:tr w:rsidR="009F4EBE" w:rsidRPr="00D722C4" w14:paraId="6C8447A0" w14:textId="77777777" w:rsidTr="00934B71">
        <w:trPr>
          <w:trHeight w:val="200"/>
        </w:trPr>
        <w:tc>
          <w:tcPr>
            <w:tcW w:w="8222" w:type="dxa"/>
            <w:gridSpan w:val="2"/>
            <w:tcBorders>
              <w:top w:val="single" w:sz="4" w:space="0" w:color="auto"/>
              <w:left w:val="single" w:sz="4" w:space="0" w:color="auto"/>
              <w:bottom w:val="single" w:sz="4" w:space="0" w:color="auto"/>
              <w:right w:val="single" w:sz="4" w:space="0" w:color="auto"/>
            </w:tcBorders>
            <w:hideMark/>
          </w:tcPr>
          <w:p w14:paraId="337D6479" w14:textId="77777777" w:rsidR="009F4EBE" w:rsidRPr="00D722C4" w:rsidRDefault="009F4EBE" w:rsidP="00934B71">
            <w:pPr>
              <w:spacing w:before="40" w:after="40" w:line="256" w:lineRule="auto"/>
              <w:jc w:val="center"/>
              <w:rPr>
                <w:rFonts w:asciiTheme="majorBidi" w:hAnsiTheme="majorBidi" w:cstheme="majorBidi"/>
                <w:b/>
                <w:sz w:val="18"/>
                <w:szCs w:val="18"/>
                <w:lang w:val="en-GB"/>
              </w:rPr>
            </w:pPr>
            <w:r w:rsidRPr="00D722C4">
              <w:rPr>
                <w:rFonts w:asciiTheme="majorBidi" w:hAnsiTheme="majorBidi" w:cstheme="majorBidi"/>
                <w:b/>
                <w:sz w:val="18"/>
                <w:szCs w:val="18"/>
                <w:lang w:val="en-GB"/>
              </w:rPr>
              <w:t>Summary data</w:t>
            </w:r>
          </w:p>
        </w:tc>
      </w:tr>
      <w:tr w:rsidR="009F4EBE" w:rsidRPr="00B031F0" w14:paraId="40C2E45B" w14:textId="77777777" w:rsidTr="00934B71">
        <w:trPr>
          <w:trHeight w:val="200"/>
        </w:trPr>
        <w:tc>
          <w:tcPr>
            <w:tcW w:w="7655" w:type="dxa"/>
            <w:tcBorders>
              <w:top w:val="single" w:sz="4" w:space="0" w:color="auto"/>
              <w:left w:val="single" w:sz="4" w:space="0" w:color="auto"/>
              <w:bottom w:val="single" w:sz="4" w:space="0" w:color="auto"/>
              <w:right w:val="single" w:sz="4" w:space="0" w:color="auto"/>
            </w:tcBorders>
            <w:hideMark/>
          </w:tcPr>
          <w:p w14:paraId="29BCC4E1"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A</w:t>
            </w:r>
            <w:r w:rsidRPr="00D722C4">
              <w:rPr>
                <w:rFonts w:asciiTheme="majorBidi" w:hAnsiTheme="majorBidi" w:cstheme="majorBidi"/>
                <w:sz w:val="18"/>
                <w:szCs w:val="18"/>
                <w:lang w:val="en-GB"/>
              </w:rPr>
              <w:tab/>
              <w:t xml:space="preserve">Total amount of hazardous wastes under Art. 1 (1) </w:t>
            </w:r>
            <w:proofErr w:type="gramStart"/>
            <w:r w:rsidRPr="00D722C4">
              <w:rPr>
                <w:rFonts w:asciiTheme="majorBidi" w:hAnsiTheme="majorBidi" w:cstheme="majorBidi"/>
                <w:sz w:val="18"/>
                <w:szCs w:val="18"/>
                <w:lang w:val="en-GB"/>
              </w:rPr>
              <w:t>a</w:t>
            </w:r>
            <w:proofErr w:type="gramEnd"/>
            <w:r w:rsidRPr="00D722C4">
              <w:rPr>
                <w:rFonts w:asciiTheme="majorBidi" w:hAnsiTheme="majorBidi" w:cstheme="majorBidi"/>
                <w:sz w:val="18"/>
                <w:szCs w:val="18"/>
                <w:lang w:val="en-GB"/>
              </w:rPr>
              <w:t xml:space="preserve"> exported:</w:t>
            </w:r>
          </w:p>
        </w:tc>
        <w:tc>
          <w:tcPr>
            <w:tcW w:w="567" w:type="dxa"/>
            <w:tcBorders>
              <w:top w:val="single" w:sz="4" w:space="0" w:color="auto"/>
              <w:left w:val="single" w:sz="4" w:space="0" w:color="auto"/>
              <w:bottom w:val="single" w:sz="4" w:space="0" w:color="auto"/>
              <w:right w:val="single" w:sz="4" w:space="0" w:color="auto"/>
            </w:tcBorders>
          </w:tcPr>
          <w:p w14:paraId="49D9BA0A" w14:textId="77777777" w:rsidR="009F4EBE" w:rsidRPr="00D722C4" w:rsidRDefault="009F4EBE" w:rsidP="00934B71">
            <w:pPr>
              <w:spacing w:before="40" w:after="40" w:line="256" w:lineRule="auto"/>
              <w:rPr>
                <w:rFonts w:asciiTheme="majorBidi" w:hAnsiTheme="majorBidi" w:cstheme="majorBidi"/>
                <w:sz w:val="18"/>
                <w:szCs w:val="18"/>
                <w:lang w:val="en-GB"/>
              </w:rPr>
            </w:pPr>
          </w:p>
        </w:tc>
      </w:tr>
      <w:tr w:rsidR="009F4EBE" w:rsidRPr="00B031F0" w14:paraId="695B99B3" w14:textId="77777777" w:rsidTr="00934B71">
        <w:trPr>
          <w:trHeight w:val="200"/>
        </w:trPr>
        <w:tc>
          <w:tcPr>
            <w:tcW w:w="7655" w:type="dxa"/>
            <w:tcBorders>
              <w:top w:val="single" w:sz="4" w:space="0" w:color="auto"/>
              <w:left w:val="single" w:sz="4" w:space="0" w:color="auto"/>
              <w:bottom w:val="single" w:sz="4" w:space="0" w:color="auto"/>
              <w:right w:val="single" w:sz="4" w:space="0" w:color="auto"/>
            </w:tcBorders>
            <w:hideMark/>
          </w:tcPr>
          <w:p w14:paraId="0FBF3EEB"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B</w:t>
            </w:r>
            <w:r w:rsidRPr="00D722C4">
              <w:rPr>
                <w:rFonts w:asciiTheme="majorBidi" w:hAnsiTheme="majorBidi" w:cstheme="majorBidi"/>
                <w:sz w:val="18"/>
                <w:szCs w:val="18"/>
                <w:lang w:val="en-GB"/>
              </w:rPr>
              <w:tab/>
              <w:t>Total amount of hazardous wastes under Art. 1 (1) b exported:</w:t>
            </w:r>
          </w:p>
        </w:tc>
        <w:tc>
          <w:tcPr>
            <w:tcW w:w="567" w:type="dxa"/>
            <w:tcBorders>
              <w:top w:val="single" w:sz="4" w:space="0" w:color="auto"/>
              <w:left w:val="single" w:sz="4" w:space="0" w:color="auto"/>
              <w:bottom w:val="single" w:sz="4" w:space="0" w:color="auto"/>
              <w:right w:val="single" w:sz="4" w:space="0" w:color="auto"/>
            </w:tcBorders>
          </w:tcPr>
          <w:p w14:paraId="36DD7844" w14:textId="77777777" w:rsidR="009F4EBE" w:rsidRPr="00D722C4" w:rsidRDefault="009F4EBE" w:rsidP="00934B71">
            <w:pPr>
              <w:spacing w:before="40" w:after="40" w:line="256" w:lineRule="auto"/>
              <w:rPr>
                <w:rFonts w:asciiTheme="majorBidi" w:hAnsiTheme="majorBidi" w:cstheme="majorBidi"/>
                <w:sz w:val="18"/>
                <w:szCs w:val="18"/>
                <w:lang w:val="en-GB"/>
              </w:rPr>
            </w:pPr>
          </w:p>
        </w:tc>
      </w:tr>
      <w:tr w:rsidR="009F4EBE" w:rsidRPr="00B031F0" w14:paraId="73580876" w14:textId="77777777" w:rsidTr="00934B71">
        <w:trPr>
          <w:trHeight w:val="200"/>
        </w:trPr>
        <w:tc>
          <w:tcPr>
            <w:tcW w:w="7655" w:type="dxa"/>
            <w:tcBorders>
              <w:top w:val="single" w:sz="4" w:space="0" w:color="auto"/>
              <w:left w:val="single" w:sz="4" w:space="0" w:color="auto"/>
              <w:bottom w:val="single" w:sz="4" w:space="0" w:color="auto"/>
              <w:right w:val="single" w:sz="4" w:space="0" w:color="auto"/>
            </w:tcBorders>
            <w:hideMark/>
          </w:tcPr>
          <w:p w14:paraId="7A244F6D"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A+B</w:t>
            </w:r>
            <w:r w:rsidRPr="00D722C4">
              <w:rPr>
                <w:rFonts w:asciiTheme="majorBidi" w:hAnsiTheme="majorBidi" w:cstheme="majorBidi"/>
                <w:sz w:val="18"/>
                <w:szCs w:val="18"/>
                <w:lang w:val="en-GB"/>
              </w:rPr>
              <w:tab/>
              <w:t>Total amount of hazardous wastes exported:</w:t>
            </w:r>
          </w:p>
        </w:tc>
        <w:tc>
          <w:tcPr>
            <w:tcW w:w="567" w:type="dxa"/>
            <w:tcBorders>
              <w:top w:val="single" w:sz="4" w:space="0" w:color="auto"/>
              <w:left w:val="single" w:sz="4" w:space="0" w:color="auto"/>
              <w:bottom w:val="single" w:sz="4" w:space="0" w:color="auto"/>
              <w:right w:val="single" w:sz="4" w:space="0" w:color="auto"/>
            </w:tcBorders>
          </w:tcPr>
          <w:p w14:paraId="5E07FBE9" w14:textId="77777777" w:rsidR="009F4EBE" w:rsidRPr="00D722C4" w:rsidRDefault="009F4EBE" w:rsidP="00934B71">
            <w:pPr>
              <w:spacing w:before="40" w:after="40" w:line="256" w:lineRule="auto"/>
              <w:rPr>
                <w:rFonts w:asciiTheme="majorBidi" w:hAnsiTheme="majorBidi" w:cstheme="majorBidi"/>
                <w:sz w:val="18"/>
                <w:szCs w:val="18"/>
                <w:lang w:val="en-GB"/>
              </w:rPr>
            </w:pPr>
          </w:p>
        </w:tc>
      </w:tr>
      <w:tr w:rsidR="009F4EBE" w:rsidRPr="00B031F0" w14:paraId="67CF5589" w14:textId="77777777" w:rsidTr="00934B71">
        <w:trPr>
          <w:trHeight w:val="195"/>
        </w:trPr>
        <w:tc>
          <w:tcPr>
            <w:tcW w:w="7655" w:type="dxa"/>
            <w:tcBorders>
              <w:top w:val="single" w:sz="4" w:space="0" w:color="auto"/>
              <w:left w:val="single" w:sz="4" w:space="0" w:color="auto"/>
              <w:bottom w:val="single" w:sz="4" w:space="0" w:color="auto"/>
              <w:right w:val="single" w:sz="4" w:space="0" w:color="auto"/>
            </w:tcBorders>
            <w:hideMark/>
          </w:tcPr>
          <w:p w14:paraId="13498983"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C</w:t>
            </w:r>
            <w:r w:rsidRPr="00D722C4">
              <w:rPr>
                <w:rFonts w:asciiTheme="majorBidi" w:hAnsiTheme="majorBidi" w:cstheme="majorBidi"/>
                <w:sz w:val="18"/>
                <w:szCs w:val="18"/>
                <w:lang w:val="en-GB"/>
              </w:rPr>
              <w:tab/>
              <w:t>Total amount of other wastes exported (Annex II):</w:t>
            </w:r>
          </w:p>
        </w:tc>
        <w:tc>
          <w:tcPr>
            <w:tcW w:w="567" w:type="dxa"/>
            <w:tcBorders>
              <w:top w:val="single" w:sz="4" w:space="0" w:color="auto"/>
              <w:left w:val="single" w:sz="4" w:space="0" w:color="auto"/>
              <w:bottom w:val="single" w:sz="4" w:space="0" w:color="auto"/>
              <w:right w:val="single" w:sz="4" w:space="0" w:color="auto"/>
            </w:tcBorders>
          </w:tcPr>
          <w:p w14:paraId="072D16C6" w14:textId="77777777" w:rsidR="009F4EBE" w:rsidRPr="00D722C4" w:rsidRDefault="009F4EBE" w:rsidP="00934B71">
            <w:pPr>
              <w:spacing w:before="40" w:after="40" w:line="256" w:lineRule="auto"/>
              <w:rPr>
                <w:rFonts w:asciiTheme="majorBidi" w:hAnsiTheme="majorBidi" w:cstheme="majorBidi"/>
                <w:sz w:val="18"/>
                <w:szCs w:val="18"/>
                <w:lang w:val="en-GB"/>
              </w:rPr>
            </w:pPr>
          </w:p>
        </w:tc>
      </w:tr>
      <w:tr w:rsidR="009F4EBE" w:rsidRPr="00B031F0" w14:paraId="609E6957" w14:textId="77777777" w:rsidTr="00934B71">
        <w:trPr>
          <w:trHeight w:val="195"/>
        </w:trPr>
        <w:tc>
          <w:tcPr>
            <w:tcW w:w="7655" w:type="dxa"/>
            <w:tcBorders>
              <w:top w:val="single" w:sz="4" w:space="0" w:color="auto"/>
              <w:left w:val="single" w:sz="4" w:space="0" w:color="auto"/>
              <w:bottom w:val="single" w:sz="4" w:space="0" w:color="auto"/>
              <w:right w:val="single" w:sz="4" w:space="0" w:color="auto"/>
            </w:tcBorders>
            <w:hideMark/>
          </w:tcPr>
          <w:p w14:paraId="18115E09"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A+B+C</w:t>
            </w:r>
            <w:r w:rsidRPr="00D722C4">
              <w:rPr>
                <w:rFonts w:asciiTheme="majorBidi" w:hAnsiTheme="majorBidi" w:cstheme="majorBidi"/>
                <w:sz w:val="18"/>
                <w:szCs w:val="18"/>
                <w:lang w:val="en-GB"/>
              </w:rPr>
              <w:tab/>
              <w:t xml:space="preserve">Total amount of controlled waste exported: </w:t>
            </w:r>
          </w:p>
        </w:tc>
        <w:tc>
          <w:tcPr>
            <w:tcW w:w="567" w:type="dxa"/>
            <w:tcBorders>
              <w:top w:val="single" w:sz="4" w:space="0" w:color="auto"/>
              <w:left w:val="single" w:sz="4" w:space="0" w:color="auto"/>
              <w:bottom w:val="single" w:sz="4" w:space="0" w:color="auto"/>
              <w:right w:val="single" w:sz="4" w:space="0" w:color="auto"/>
            </w:tcBorders>
          </w:tcPr>
          <w:p w14:paraId="6D513D02" w14:textId="77777777" w:rsidR="009F4EBE" w:rsidRPr="00D722C4" w:rsidRDefault="009F4EBE" w:rsidP="00934B71">
            <w:pPr>
              <w:spacing w:before="40" w:after="40" w:line="256" w:lineRule="auto"/>
              <w:rPr>
                <w:rFonts w:asciiTheme="majorBidi" w:hAnsiTheme="majorBidi" w:cstheme="majorBidi"/>
                <w:sz w:val="18"/>
                <w:szCs w:val="18"/>
                <w:lang w:val="en-GB"/>
              </w:rPr>
            </w:pPr>
          </w:p>
        </w:tc>
      </w:tr>
    </w:tbl>
    <w:p w14:paraId="383C12EF" w14:textId="77777777" w:rsidR="009F4EBE" w:rsidRPr="00D722C4" w:rsidRDefault="009F4EBE" w:rsidP="009F4EBE">
      <w:pPr>
        <w:pStyle w:val="Normalnumber"/>
        <w:numPr>
          <w:ilvl w:val="6"/>
          <w:numId w:val="0"/>
        </w:numPr>
        <w:tabs>
          <w:tab w:val="num" w:pos="8555"/>
        </w:tabs>
        <w:spacing w:before="120"/>
        <w:ind w:left="1871" w:hanging="624"/>
        <w:rPr>
          <w:rFonts w:asciiTheme="majorBidi" w:eastAsia="Calibri" w:hAnsiTheme="majorBidi" w:cstheme="majorBidi"/>
          <w:lang w:eastAsia="zh-CN"/>
        </w:rPr>
      </w:pPr>
      <w:r w:rsidRPr="00D722C4">
        <w:rPr>
          <w:rFonts w:asciiTheme="majorBidi" w:eastAsia="Calibri" w:hAnsiTheme="majorBidi" w:cstheme="majorBidi"/>
        </w:rPr>
        <w:t xml:space="preserve">In Table 5, the summary table is replaced by the following: </w:t>
      </w:r>
    </w:p>
    <w:tbl>
      <w:tblPr>
        <w:tblW w:w="830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34"/>
        <w:gridCol w:w="573"/>
      </w:tblGrid>
      <w:tr w:rsidR="009F4EBE" w:rsidRPr="00D722C4" w14:paraId="24C34114" w14:textId="77777777" w:rsidTr="00934B71">
        <w:trPr>
          <w:trHeight w:val="200"/>
        </w:trPr>
        <w:tc>
          <w:tcPr>
            <w:tcW w:w="8222" w:type="dxa"/>
            <w:gridSpan w:val="2"/>
            <w:tcBorders>
              <w:top w:val="single" w:sz="4" w:space="0" w:color="auto"/>
              <w:left w:val="single" w:sz="4" w:space="0" w:color="auto"/>
              <w:bottom w:val="single" w:sz="4" w:space="0" w:color="auto"/>
              <w:right w:val="single" w:sz="4" w:space="0" w:color="auto"/>
            </w:tcBorders>
            <w:hideMark/>
          </w:tcPr>
          <w:p w14:paraId="73AF3CFA" w14:textId="77777777" w:rsidR="009F4EBE" w:rsidRPr="00D722C4" w:rsidRDefault="009F4EBE" w:rsidP="00934B71">
            <w:pPr>
              <w:spacing w:before="40" w:after="40" w:line="256" w:lineRule="auto"/>
              <w:jc w:val="center"/>
              <w:rPr>
                <w:rFonts w:asciiTheme="majorBidi" w:hAnsiTheme="majorBidi" w:cstheme="majorBidi"/>
                <w:b/>
                <w:sz w:val="18"/>
                <w:szCs w:val="18"/>
                <w:lang w:val="en-GB"/>
              </w:rPr>
            </w:pPr>
            <w:r w:rsidRPr="00D722C4">
              <w:rPr>
                <w:rFonts w:asciiTheme="majorBidi" w:hAnsiTheme="majorBidi" w:cstheme="majorBidi"/>
                <w:b/>
                <w:sz w:val="18"/>
                <w:szCs w:val="18"/>
                <w:lang w:val="en-GB"/>
              </w:rPr>
              <w:t xml:space="preserve">Summary data </w:t>
            </w:r>
          </w:p>
        </w:tc>
      </w:tr>
      <w:tr w:rsidR="009F4EBE" w:rsidRPr="00B031F0" w14:paraId="38D27F56" w14:textId="77777777" w:rsidTr="00934B71">
        <w:trPr>
          <w:trHeight w:val="200"/>
        </w:trPr>
        <w:tc>
          <w:tcPr>
            <w:tcW w:w="7655" w:type="dxa"/>
            <w:tcBorders>
              <w:top w:val="single" w:sz="4" w:space="0" w:color="auto"/>
              <w:left w:val="single" w:sz="4" w:space="0" w:color="auto"/>
              <w:bottom w:val="single" w:sz="4" w:space="0" w:color="auto"/>
              <w:right w:val="single" w:sz="4" w:space="0" w:color="auto"/>
            </w:tcBorders>
            <w:hideMark/>
          </w:tcPr>
          <w:p w14:paraId="71A45249"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A</w:t>
            </w:r>
            <w:r w:rsidRPr="00D722C4">
              <w:rPr>
                <w:rFonts w:asciiTheme="majorBidi" w:hAnsiTheme="majorBidi" w:cstheme="majorBidi"/>
                <w:sz w:val="18"/>
                <w:szCs w:val="18"/>
                <w:lang w:val="en-GB"/>
              </w:rPr>
              <w:tab/>
              <w:t xml:space="preserve">Total amount of hazardous wastes under Art. 1 (1) </w:t>
            </w:r>
            <w:proofErr w:type="gramStart"/>
            <w:r w:rsidRPr="00D722C4">
              <w:rPr>
                <w:rFonts w:asciiTheme="majorBidi" w:hAnsiTheme="majorBidi" w:cstheme="majorBidi"/>
                <w:sz w:val="18"/>
                <w:szCs w:val="18"/>
                <w:lang w:val="en-GB"/>
              </w:rPr>
              <w:t>a</w:t>
            </w:r>
            <w:proofErr w:type="gramEnd"/>
            <w:r w:rsidRPr="00D722C4">
              <w:rPr>
                <w:rFonts w:asciiTheme="majorBidi" w:hAnsiTheme="majorBidi" w:cstheme="majorBidi"/>
                <w:sz w:val="18"/>
                <w:szCs w:val="18"/>
                <w:lang w:val="en-GB"/>
              </w:rPr>
              <w:t xml:space="preserve"> imported:</w:t>
            </w:r>
          </w:p>
        </w:tc>
        <w:tc>
          <w:tcPr>
            <w:tcW w:w="567" w:type="dxa"/>
            <w:tcBorders>
              <w:top w:val="single" w:sz="4" w:space="0" w:color="auto"/>
              <w:left w:val="single" w:sz="4" w:space="0" w:color="auto"/>
              <w:bottom w:val="single" w:sz="4" w:space="0" w:color="auto"/>
              <w:right w:val="single" w:sz="4" w:space="0" w:color="auto"/>
            </w:tcBorders>
          </w:tcPr>
          <w:p w14:paraId="47F5B94C" w14:textId="77777777" w:rsidR="009F4EBE" w:rsidRPr="00D722C4" w:rsidRDefault="009F4EBE" w:rsidP="00934B71">
            <w:pPr>
              <w:spacing w:before="40" w:after="40" w:line="256" w:lineRule="auto"/>
              <w:rPr>
                <w:rFonts w:asciiTheme="majorBidi" w:hAnsiTheme="majorBidi" w:cstheme="majorBidi"/>
                <w:sz w:val="18"/>
                <w:szCs w:val="18"/>
                <w:lang w:val="en-GB"/>
              </w:rPr>
            </w:pPr>
          </w:p>
        </w:tc>
      </w:tr>
      <w:tr w:rsidR="009F4EBE" w:rsidRPr="00B031F0" w14:paraId="4BC232CC" w14:textId="77777777" w:rsidTr="00934B71">
        <w:trPr>
          <w:trHeight w:val="200"/>
        </w:trPr>
        <w:tc>
          <w:tcPr>
            <w:tcW w:w="7655" w:type="dxa"/>
            <w:tcBorders>
              <w:top w:val="single" w:sz="4" w:space="0" w:color="auto"/>
              <w:left w:val="single" w:sz="4" w:space="0" w:color="auto"/>
              <w:bottom w:val="single" w:sz="4" w:space="0" w:color="auto"/>
              <w:right w:val="single" w:sz="4" w:space="0" w:color="auto"/>
            </w:tcBorders>
            <w:hideMark/>
          </w:tcPr>
          <w:p w14:paraId="7E6BE134"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B</w:t>
            </w:r>
            <w:r w:rsidRPr="00D722C4">
              <w:rPr>
                <w:rFonts w:asciiTheme="majorBidi" w:hAnsiTheme="majorBidi" w:cstheme="majorBidi"/>
                <w:sz w:val="18"/>
                <w:szCs w:val="18"/>
                <w:lang w:val="en-GB"/>
              </w:rPr>
              <w:tab/>
              <w:t>Total amount of hazardous wastes under Art. 1 (1) b imported:</w:t>
            </w:r>
          </w:p>
        </w:tc>
        <w:tc>
          <w:tcPr>
            <w:tcW w:w="567" w:type="dxa"/>
            <w:tcBorders>
              <w:top w:val="single" w:sz="4" w:space="0" w:color="auto"/>
              <w:left w:val="single" w:sz="4" w:space="0" w:color="auto"/>
              <w:bottom w:val="single" w:sz="4" w:space="0" w:color="auto"/>
              <w:right w:val="single" w:sz="4" w:space="0" w:color="auto"/>
            </w:tcBorders>
          </w:tcPr>
          <w:p w14:paraId="0BAB755D" w14:textId="77777777" w:rsidR="009F4EBE" w:rsidRPr="00D722C4" w:rsidRDefault="009F4EBE" w:rsidP="00934B71">
            <w:pPr>
              <w:spacing w:before="40" w:after="40" w:line="256" w:lineRule="auto"/>
              <w:rPr>
                <w:rFonts w:asciiTheme="majorBidi" w:hAnsiTheme="majorBidi" w:cstheme="majorBidi"/>
                <w:sz w:val="18"/>
                <w:szCs w:val="18"/>
                <w:lang w:val="en-GB"/>
              </w:rPr>
            </w:pPr>
          </w:p>
        </w:tc>
      </w:tr>
      <w:tr w:rsidR="009F4EBE" w:rsidRPr="00B031F0" w14:paraId="045A1053" w14:textId="77777777" w:rsidTr="00934B71">
        <w:trPr>
          <w:trHeight w:val="200"/>
        </w:trPr>
        <w:tc>
          <w:tcPr>
            <w:tcW w:w="7655" w:type="dxa"/>
            <w:tcBorders>
              <w:top w:val="single" w:sz="4" w:space="0" w:color="auto"/>
              <w:left w:val="single" w:sz="4" w:space="0" w:color="auto"/>
              <w:bottom w:val="single" w:sz="4" w:space="0" w:color="auto"/>
              <w:right w:val="single" w:sz="4" w:space="0" w:color="auto"/>
            </w:tcBorders>
            <w:hideMark/>
          </w:tcPr>
          <w:p w14:paraId="742396EB"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A+B</w:t>
            </w:r>
            <w:r w:rsidRPr="00D722C4">
              <w:rPr>
                <w:rFonts w:asciiTheme="majorBidi" w:hAnsiTheme="majorBidi" w:cstheme="majorBidi"/>
                <w:sz w:val="18"/>
                <w:szCs w:val="18"/>
                <w:lang w:val="en-GB"/>
              </w:rPr>
              <w:tab/>
              <w:t>Total amount of hazardous wastes imported:</w:t>
            </w:r>
          </w:p>
        </w:tc>
        <w:tc>
          <w:tcPr>
            <w:tcW w:w="567" w:type="dxa"/>
            <w:tcBorders>
              <w:top w:val="single" w:sz="4" w:space="0" w:color="auto"/>
              <w:left w:val="single" w:sz="4" w:space="0" w:color="auto"/>
              <w:bottom w:val="single" w:sz="4" w:space="0" w:color="auto"/>
              <w:right w:val="single" w:sz="4" w:space="0" w:color="auto"/>
            </w:tcBorders>
          </w:tcPr>
          <w:p w14:paraId="1461BB45" w14:textId="77777777" w:rsidR="009F4EBE" w:rsidRPr="00D722C4" w:rsidRDefault="009F4EBE" w:rsidP="00934B71">
            <w:pPr>
              <w:spacing w:before="40" w:after="40" w:line="256" w:lineRule="auto"/>
              <w:rPr>
                <w:rFonts w:asciiTheme="majorBidi" w:hAnsiTheme="majorBidi" w:cstheme="majorBidi"/>
                <w:sz w:val="18"/>
                <w:szCs w:val="18"/>
                <w:lang w:val="en-GB"/>
              </w:rPr>
            </w:pPr>
          </w:p>
        </w:tc>
      </w:tr>
      <w:tr w:rsidR="009F4EBE" w:rsidRPr="00B031F0" w14:paraId="5313F0F5" w14:textId="77777777" w:rsidTr="00934B71">
        <w:trPr>
          <w:trHeight w:val="195"/>
        </w:trPr>
        <w:tc>
          <w:tcPr>
            <w:tcW w:w="7655" w:type="dxa"/>
            <w:tcBorders>
              <w:top w:val="single" w:sz="4" w:space="0" w:color="auto"/>
              <w:left w:val="single" w:sz="4" w:space="0" w:color="auto"/>
              <w:bottom w:val="single" w:sz="4" w:space="0" w:color="auto"/>
              <w:right w:val="single" w:sz="4" w:space="0" w:color="auto"/>
            </w:tcBorders>
            <w:hideMark/>
          </w:tcPr>
          <w:p w14:paraId="0E30F3DB"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C</w:t>
            </w:r>
            <w:r w:rsidRPr="00D722C4">
              <w:rPr>
                <w:rFonts w:asciiTheme="majorBidi" w:hAnsiTheme="majorBidi" w:cstheme="majorBidi"/>
                <w:sz w:val="18"/>
                <w:szCs w:val="18"/>
                <w:lang w:val="en-GB"/>
              </w:rPr>
              <w:tab/>
              <w:t>Total amount of other wastes imported (Annex II):</w:t>
            </w:r>
          </w:p>
        </w:tc>
        <w:tc>
          <w:tcPr>
            <w:tcW w:w="567" w:type="dxa"/>
            <w:tcBorders>
              <w:top w:val="single" w:sz="4" w:space="0" w:color="auto"/>
              <w:left w:val="single" w:sz="4" w:space="0" w:color="auto"/>
              <w:bottom w:val="single" w:sz="4" w:space="0" w:color="auto"/>
              <w:right w:val="single" w:sz="4" w:space="0" w:color="auto"/>
            </w:tcBorders>
          </w:tcPr>
          <w:p w14:paraId="0707D8C7" w14:textId="77777777" w:rsidR="009F4EBE" w:rsidRPr="00D722C4" w:rsidRDefault="009F4EBE" w:rsidP="00934B71">
            <w:pPr>
              <w:spacing w:before="40" w:after="40" w:line="256" w:lineRule="auto"/>
              <w:rPr>
                <w:rFonts w:asciiTheme="majorBidi" w:hAnsiTheme="majorBidi" w:cstheme="majorBidi"/>
                <w:sz w:val="18"/>
                <w:szCs w:val="18"/>
                <w:lang w:val="en-GB"/>
              </w:rPr>
            </w:pPr>
          </w:p>
        </w:tc>
      </w:tr>
      <w:tr w:rsidR="009F4EBE" w:rsidRPr="00B031F0" w14:paraId="453885C6" w14:textId="77777777" w:rsidTr="00934B71">
        <w:trPr>
          <w:trHeight w:val="195"/>
        </w:trPr>
        <w:tc>
          <w:tcPr>
            <w:tcW w:w="7655" w:type="dxa"/>
            <w:tcBorders>
              <w:top w:val="single" w:sz="4" w:space="0" w:color="auto"/>
              <w:left w:val="single" w:sz="4" w:space="0" w:color="auto"/>
              <w:bottom w:val="single" w:sz="4" w:space="0" w:color="auto"/>
              <w:right w:val="single" w:sz="4" w:space="0" w:color="auto"/>
            </w:tcBorders>
            <w:hideMark/>
          </w:tcPr>
          <w:p w14:paraId="3F0FB65A" w14:textId="77777777" w:rsidR="009F4EBE" w:rsidRPr="00D722C4" w:rsidRDefault="009F4EBE" w:rsidP="00934B71">
            <w:pPr>
              <w:tabs>
                <w:tab w:val="left" w:pos="1069"/>
              </w:tabs>
              <w:spacing w:before="40" w:after="40" w:line="256" w:lineRule="auto"/>
              <w:rPr>
                <w:rFonts w:asciiTheme="majorBidi" w:hAnsiTheme="majorBidi" w:cstheme="majorBidi"/>
                <w:sz w:val="18"/>
                <w:szCs w:val="18"/>
                <w:lang w:val="en-GB"/>
              </w:rPr>
            </w:pPr>
            <w:r w:rsidRPr="00D722C4">
              <w:rPr>
                <w:rFonts w:asciiTheme="majorBidi" w:hAnsiTheme="majorBidi" w:cstheme="majorBidi"/>
                <w:sz w:val="18"/>
                <w:szCs w:val="18"/>
                <w:lang w:val="en-GB"/>
              </w:rPr>
              <w:t>A+B+C</w:t>
            </w:r>
            <w:r w:rsidRPr="00D722C4">
              <w:rPr>
                <w:rFonts w:asciiTheme="majorBidi" w:hAnsiTheme="majorBidi" w:cstheme="majorBidi"/>
                <w:sz w:val="18"/>
                <w:szCs w:val="18"/>
                <w:lang w:val="en-GB"/>
              </w:rPr>
              <w:tab/>
              <w:t xml:space="preserve">Total amount of controlled waste imported: </w:t>
            </w:r>
          </w:p>
        </w:tc>
        <w:tc>
          <w:tcPr>
            <w:tcW w:w="567" w:type="dxa"/>
            <w:tcBorders>
              <w:top w:val="single" w:sz="4" w:space="0" w:color="auto"/>
              <w:left w:val="single" w:sz="4" w:space="0" w:color="auto"/>
              <w:bottom w:val="single" w:sz="4" w:space="0" w:color="auto"/>
              <w:right w:val="single" w:sz="4" w:space="0" w:color="auto"/>
            </w:tcBorders>
          </w:tcPr>
          <w:p w14:paraId="58D3823F" w14:textId="77777777" w:rsidR="009F4EBE" w:rsidRPr="00D722C4" w:rsidRDefault="009F4EBE" w:rsidP="00934B71">
            <w:pPr>
              <w:spacing w:before="40" w:after="40" w:line="256" w:lineRule="auto"/>
              <w:rPr>
                <w:rFonts w:asciiTheme="majorBidi" w:hAnsiTheme="majorBidi" w:cstheme="majorBidi"/>
                <w:sz w:val="18"/>
                <w:szCs w:val="18"/>
                <w:lang w:val="en-GB"/>
              </w:rPr>
            </w:pPr>
          </w:p>
        </w:tc>
      </w:tr>
    </w:tbl>
    <w:p w14:paraId="2470E36F" w14:textId="77777777" w:rsidR="009F4EBE" w:rsidRPr="00D722C4" w:rsidRDefault="009F4EBE" w:rsidP="009F4EBE">
      <w:pPr>
        <w:rPr>
          <w:rFonts w:asciiTheme="majorBidi" w:hAnsiTheme="majorBidi" w:cstheme="majorBidi"/>
          <w:lang w:val="en-GB"/>
        </w:rPr>
      </w:pPr>
    </w:p>
    <w:p w14:paraId="19D1DF63" w14:textId="77777777" w:rsidR="009F4EBE" w:rsidRPr="00D722C4" w:rsidRDefault="009F4EBE" w:rsidP="009F4EBE">
      <w:pPr>
        <w:rPr>
          <w:rFonts w:asciiTheme="majorBidi" w:hAnsiTheme="majorBidi" w:cstheme="majorBidi"/>
          <w:lang w:val="en-GB"/>
        </w:rPr>
        <w:sectPr w:rsidR="009F4EBE" w:rsidRPr="00D722C4" w:rsidSect="009F4EBE">
          <w:footnotePr>
            <w:numRestart w:val="eachSect"/>
          </w:footnotePr>
          <w:pgSz w:w="11907" w:h="16840" w:code="9"/>
          <w:pgMar w:top="1080" w:right="992" w:bottom="1418" w:left="1418" w:header="539" w:footer="975" w:gutter="0"/>
          <w:cols w:space="720"/>
        </w:sectPr>
      </w:pPr>
    </w:p>
    <w:p w14:paraId="23738613" w14:textId="77777777" w:rsidR="009F4EBE" w:rsidRPr="00D722C4" w:rsidRDefault="009F4EBE" w:rsidP="009F4EBE">
      <w:pPr>
        <w:pStyle w:val="CH1"/>
      </w:pPr>
      <w:r w:rsidRPr="00D722C4">
        <w:lastRenderedPageBreak/>
        <w:tab/>
      </w:r>
      <w:r w:rsidRPr="00D722C4">
        <w:tab/>
        <w:t>Annex II to decision BC-14/10</w:t>
      </w:r>
      <w:bookmarkStart w:id="0" w:name="_GoBack"/>
      <w:bookmarkEnd w:id="0"/>
    </w:p>
    <w:p w14:paraId="21EB47B8" w14:textId="77777777" w:rsidR="009F4EBE" w:rsidRPr="00D722C4" w:rsidRDefault="009F4EBE" w:rsidP="009F4EBE">
      <w:pPr>
        <w:pStyle w:val="CH1"/>
        <w:rPr>
          <w:rFonts w:eastAsia="Calibri"/>
        </w:rPr>
      </w:pPr>
      <w:r w:rsidRPr="00D722C4">
        <w:tab/>
      </w:r>
      <w:r w:rsidRPr="00D722C4">
        <w:tab/>
        <w:t>Revisions</w:t>
      </w:r>
      <w:r w:rsidRPr="00D722C4">
        <w:rPr>
          <w:rFonts w:eastAsia="Calibri"/>
        </w:rPr>
        <w:t xml:space="preserve"> to the manual for completing the format for national reporting under the Basel Convention</w:t>
      </w:r>
    </w:p>
    <w:p w14:paraId="5A2B15E4" w14:textId="77777777" w:rsidR="009F4EBE" w:rsidRPr="00D722C4" w:rsidRDefault="009F4EBE" w:rsidP="009F4EBE">
      <w:pPr>
        <w:pStyle w:val="NormalNonumber"/>
        <w:keepNext/>
        <w:keepLines/>
        <w:rPr>
          <w:rFonts w:asciiTheme="majorBidi" w:hAnsiTheme="majorBidi" w:cstheme="majorBidi"/>
        </w:rPr>
      </w:pPr>
      <w:r w:rsidRPr="00D722C4">
        <w:rPr>
          <w:rFonts w:asciiTheme="majorBidi" w:hAnsiTheme="majorBidi" w:cstheme="majorBidi"/>
        </w:rPr>
        <w:t>The last paragraph in the instructions for question 3 is replaced by the following:</w:t>
      </w:r>
    </w:p>
    <w:p w14:paraId="41F3A092" w14:textId="77777777" w:rsidR="009F4EBE" w:rsidRPr="00D722C4" w:rsidRDefault="009F4EBE" w:rsidP="009F4EBE">
      <w:pPr>
        <w:pStyle w:val="NormalNonumber"/>
        <w:keepNext/>
        <w:keepLines/>
        <w:rPr>
          <w:rFonts w:asciiTheme="majorBidi" w:hAnsiTheme="majorBidi" w:cstheme="majorBidi"/>
          <w:lang w:eastAsia="en-GB"/>
        </w:rPr>
      </w:pPr>
      <w:r w:rsidRPr="00D722C4">
        <w:rPr>
          <w:rFonts w:asciiTheme="majorBidi" w:hAnsiTheme="majorBidi" w:cstheme="majorBidi"/>
          <w:lang w:eastAsia="en-GB"/>
        </w:rPr>
        <w:t>For question 3h (</w:t>
      </w:r>
      <w:proofErr w:type="spellStart"/>
      <w:r w:rsidRPr="00D722C4">
        <w:rPr>
          <w:rFonts w:asciiTheme="majorBidi" w:hAnsiTheme="majorBidi" w:cstheme="majorBidi"/>
          <w:lang w:eastAsia="en-GB"/>
        </w:rPr>
        <w:t>i</w:t>
      </w:r>
      <w:proofErr w:type="spellEnd"/>
      <w:r w:rsidRPr="00D722C4">
        <w:rPr>
          <w:rFonts w:asciiTheme="majorBidi" w:hAnsiTheme="majorBidi" w:cstheme="majorBidi"/>
          <w:lang w:eastAsia="en-GB"/>
        </w:rPr>
        <w:t xml:space="preserve">), </w:t>
      </w:r>
      <w:r w:rsidRPr="00D722C4">
        <w:rPr>
          <w:rFonts w:asciiTheme="majorBidi" w:hAnsiTheme="majorBidi" w:cstheme="majorBidi"/>
          <w:b/>
          <w:lang w:eastAsia="en-GB"/>
        </w:rPr>
        <w:t>tick “Yes”</w:t>
      </w:r>
      <w:r w:rsidRPr="00D722C4">
        <w:rPr>
          <w:rFonts w:asciiTheme="majorBidi" w:hAnsiTheme="majorBidi" w:cstheme="majorBidi"/>
          <w:lang w:eastAsia="en-GB"/>
        </w:rPr>
        <w:t xml:space="preserve"> if your country’s legislation includes a definition of “State of transit” and provide its definition; </w:t>
      </w:r>
      <w:r w:rsidRPr="00D722C4">
        <w:rPr>
          <w:rFonts w:asciiTheme="majorBidi" w:hAnsiTheme="majorBidi" w:cstheme="majorBidi"/>
          <w:b/>
          <w:lang w:eastAsia="en-GB"/>
        </w:rPr>
        <w:t>tick “No”</w:t>
      </w:r>
      <w:r w:rsidRPr="00D722C4">
        <w:rPr>
          <w:rFonts w:asciiTheme="majorBidi" w:hAnsiTheme="majorBidi" w:cstheme="majorBidi"/>
          <w:lang w:eastAsia="en-GB"/>
        </w:rPr>
        <w:t xml:space="preserve"> if your country’s legislation does not include a definition of “State of transit”.</w:t>
      </w:r>
    </w:p>
    <w:p w14:paraId="3A63EB96" w14:textId="77777777" w:rsidR="00F935A6" w:rsidRPr="009F4EBE" w:rsidRDefault="009F4EBE" w:rsidP="009F4EBE">
      <w:pPr>
        <w:pStyle w:val="NormalNonumber"/>
      </w:pPr>
      <w:r w:rsidRPr="00D722C4">
        <w:rPr>
          <w:rFonts w:asciiTheme="majorBidi" w:hAnsiTheme="majorBidi" w:cstheme="majorBidi"/>
        </w:rPr>
        <w:t xml:space="preserve">For question 3h (ii), </w:t>
      </w:r>
      <w:r w:rsidRPr="00D722C4">
        <w:rPr>
          <w:rFonts w:asciiTheme="majorBidi" w:hAnsiTheme="majorBidi" w:cstheme="majorBidi"/>
          <w:b/>
        </w:rPr>
        <w:t>tick “Yes”</w:t>
      </w:r>
      <w:r w:rsidRPr="00D722C4">
        <w:rPr>
          <w:rFonts w:asciiTheme="majorBidi" w:hAnsiTheme="majorBidi" w:cstheme="majorBidi"/>
        </w:rPr>
        <w:t xml:space="preserve"> if your country has a definition of “State of transit” included otherwise than in its legislation (e.g., set out in a guidance document), and provide the definition; </w:t>
      </w:r>
      <w:r w:rsidRPr="00D722C4">
        <w:rPr>
          <w:rFonts w:asciiTheme="majorBidi" w:hAnsiTheme="majorBidi" w:cstheme="majorBidi"/>
          <w:b/>
        </w:rPr>
        <w:t>tick “No”</w:t>
      </w:r>
      <w:r w:rsidRPr="00D722C4">
        <w:rPr>
          <w:rFonts w:asciiTheme="majorBidi" w:hAnsiTheme="majorBidi" w:cstheme="majorBidi"/>
        </w:rPr>
        <w:t xml:space="preserve"> if your country does not have a definition of “State of transit” set out otherwise than in its legislation.</w:t>
      </w:r>
    </w:p>
    <w:sectPr w:rsidR="00F935A6" w:rsidRPr="009F4EBE" w:rsidSect="00B031F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1B71" w14:textId="77777777" w:rsidR="00CD75C7" w:rsidRDefault="00CD75C7" w:rsidP="009F4EBE">
      <w:r>
        <w:separator/>
      </w:r>
    </w:p>
  </w:endnote>
  <w:endnote w:type="continuationSeparator" w:id="0">
    <w:p w14:paraId="50D432B7" w14:textId="77777777" w:rsidR="00CD75C7" w:rsidRDefault="00CD75C7" w:rsidP="009F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BE93" w14:textId="77777777" w:rsidR="00CD75C7" w:rsidRDefault="00CD75C7" w:rsidP="009F4EBE">
      <w:r>
        <w:separator/>
      </w:r>
    </w:p>
  </w:footnote>
  <w:footnote w:type="continuationSeparator" w:id="0">
    <w:p w14:paraId="500D2736" w14:textId="77777777" w:rsidR="00CD75C7" w:rsidRDefault="00CD75C7" w:rsidP="009F4EBE">
      <w:r>
        <w:continuationSeparator/>
      </w:r>
    </w:p>
  </w:footnote>
  <w:footnote w:id="1">
    <w:p w14:paraId="0AAE2C92" w14:textId="77777777" w:rsidR="009F4EBE" w:rsidRPr="00750A35" w:rsidRDefault="009F4EBE" w:rsidP="009F4EBE">
      <w:pPr>
        <w:tabs>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Accessible at www.basel.int/Countries/NationalReporting/tabid/3356/Default.aspx.</w:t>
      </w:r>
    </w:p>
  </w:footnote>
  <w:footnote w:id="2">
    <w:p w14:paraId="56F08E7E" w14:textId="77777777" w:rsidR="009F4EBE" w:rsidRPr="00750A35" w:rsidRDefault="009F4EBE" w:rsidP="009F4EBE">
      <w:pPr>
        <w:tabs>
          <w:tab w:val="clear" w:pos="1247"/>
          <w:tab w:val="clear" w:pos="1814"/>
          <w:tab w:val="clear" w:pos="2381"/>
          <w:tab w:val="clear" w:pos="2948"/>
          <w:tab w:val="clear" w:pos="3515"/>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UNEP/CHW.14/20–UNEP/FAO/RC/COP.9/16–UNEP/POPS/COP.9/23.</w:t>
      </w:r>
    </w:p>
  </w:footnote>
  <w:footnote w:id="3">
    <w:p w14:paraId="65974D1D" w14:textId="77777777" w:rsidR="009F4EBE" w:rsidRPr="00750A35" w:rsidRDefault="009F4EBE" w:rsidP="009F4EBE">
      <w:pPr>
        <w:tabs>
          <w:tab w:val="clear" w:pos="1247"/>
          <w:tab w:val="clear" w:pos="1814"/>
          <w:tab w:val="clear" w:pos="2381"/>
          <w:tab w:val="clear" w:pos="2948"/>
          <w:tab w:val="clear" w:pos="3515"/>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Hazardous waste generated per capita and proportion of hazardous waste treated, by type of treatment.</w:t>
      </w:r>
    </w:p>
  </w:footnote>
  <w:footnote w:id="4">
    <w:p w14:paraId="78764D77" w14:textId="77777777" w:rsidR="009F4EBE" w:rsidRPr="00750A35" w:rsidRDefault="009F4EBE" w:rsidP="009F4EBE">
      <w:pPr>
        <w:tabs>
          <w:tab w:val="clear" w:pos="1247"/>
          <w:tab w:val="clear" w:pos="1814"/>
          <w:tab w:val="clear" w:pos="2381"/>
          <w:tab w:val="clear" w:pos="2948"/>
          <w:tab w:val="clear" w:pos="3515"/>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National recycling rate, tons of material recycled.</w:t>
      </w:r>
    </w:p>
  </w:footnote>
  <w:footnote w:id="5">
    <w:p w14:paraId="6D86B8B3" w14:textId="77777777" w:rsidR="009F4EBE" w:rsidRPr="00750A35" w:rsidRDefault="009F4EBE" w:rsidP="009F4EBE">
      <w:pPr>
        <w:tabs>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UNEP/CHW.12/INF/16/Rev.1, revised by decision BC-13/9 and BC-1</w:t>
      </w:r>
      <w:r>
        <w:rPr>
          <w:sz w:val="18"/>
          <w:szCs w:val="18"/>
          <w:lang w:val="en-GB"/>
        </w:rPr>
        <w:t>4</w:t>
      </w:r>
      <w:r w:rsidRPr="00750A35">
        <w:rPr>
          <w:sz w:val="18"/>
          <w:szCs w:val="18"/>
          <w:lang w:val="en-GB"/>
        </w:rPr>
        <w:t>/10.</w:t>
      </w:r>
    </w:p>
  </w:footnote>
  <w:footnote w:id="6">
    <w:p w14:paraId="6468AF93" w14:textId="77777777" w:rsidR="009F4EBE" w:rsidRPr="00750A35" w:rsidRDefault="009F4EBE" w:rsidP="009F4EBE">
      <w:pPr>
        <w:tabs>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UNEP/CHW.13/INF/20/Rev.1.</w:t>
      </w:r>
    </w:p>
  </w:footnote>
  <w:footnote w:id="7">
    <w:p w14:paraId="1F2480AF" w14:textId="77777777" w:rsidR="009F4EBE" w:rsidRPr="00750A35" w:rsidRDefault="009F4EBE" w:rsidP="009F4EBE">
      <w:pPr>
        <w:tabs>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UNEP/CHW.13/INF/22.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3092"/>
    <w:multiLevelType w:val="multilevel"/>
    <w:tmpl w:val="FA762C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4575583A"/>
    <w:multiLevelType w:val="multilevel"/>
    <w:tmpl w:val="D07A6E4C"/>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7A44C3B"/>
    <w:multiLevelType w:val="hybridMultilevel"/>
    <w:tmpl w:val="5070307A"/>
    <w:lvl w:ilvl="0" w:tplc="0409000F">
      <w:start w:val="1"/>
      <w:numFmt w:val="decimal"/>
      <w:lvlText w:val="%1."/>
      <w:lvlJc w:val="left"/>
      <w:pPr>
        <w:ind w:left="4463" w:hanging="360"/>
      </w:pPr>
    </w:lvl>
    <w:lvl w:ilvl="1" w:tplc="2CFC060A">
      <w:start w:val="1"/>
      <w:numFmt w:val="lowerRoman"/>
      <w:lvlText w:val="(%2)"/>
      <w:lvlJc w:val="left"/>
      <w:pPr>
        <w:ind w:left="5543" w:hanging="720"/>
      </w:pPr>
      <w:rPr>
        <w:rFonts w:hint="default"/>
      </w:rPr>
    </w:lvl>
    <w:lvl w:ilvl="2" w:tplc="0409001B" w:tentative="1">
      <w:start w:val="1"/>
      <w:numFmt w:val="lowerRoman"/>
      <w:lvlText w:val="%3."/>
      <w:lvlJc w:val="right"/>
      <w:pPr>
        <w:ind w:left="5903" w:hanging="180"/>
      </w:pPr>
    </w:lvl>
    <w:lvl w:ilvl="3" w:tplc="0409000F" w:tentative="1">
      <w:start w:val="1"/>
      <w:numFmt w:val="decimal"/>
      <w:lvlText w:val="%4."/>
      <w:lvlJc w:val="left"/>
      <w:pPr>
        <w:ind w:left="6623" w:hanging="360"/>
      </w:pPr>
    </w:lvl>
    <w:lvl w:ilvl="4" w:tplc="04090019" w:tentative="1">
      <w:start w:val="1"/>
      <w:numFmt w:val="lowerLetter"/>
      <w:lvlText w:val="%5."/>
      <w:lvlJc w:val="left"/>
      <w:pPr>
        <w:ind w:left="7343" w:hanging="360"/>
      </w:pPr>
    </w:lvl>
    <w:lvl w:ilvl="5" w:tplc="0409001B" w:tentative="1">
      <w:start w:val="1"/>
      <w:numFmt w:val="lowerRoman"/>
      <w:lvlText w:val="%6."/>
      <w:lvlJc w:val="right"/>
      <w:pPr>
        <w:ind w:left="8063" w:hanging="180"/>
      </w:pPr>
    </w:lvl>
    <w:lvl w:ilvl="6" w:tplc="0409000F" w:tentative="1">
      <w:start w:val="1"/>
      <w:numFmt w:val="decimal"/>
      <w:lvlText w:val="%7."/>
      <w:lvlJc w:val="left"/>
      <w:pPr>
        <w:ind w:left="8783" w:hanging="360"/>
      </w:pPr>
    </w:lvl>
    <w:lvl w:ilvl="7" w:tplc="04090019" w:tentative="1">
      <w:start w:val="1"/>
      <w:numFmt w:val="lowerLetter"/>
      <w:lvlText w:val="%8."/>
      <w:lvlJc w:val="left"/>
      <w:pPr>
        <w:ind w:left="9503" w:hanging="360"/>
      </w:pPr>
    </w:lvl>
    <w:lvl w:ilvl="8" w:tplc="0409001B" w:tentative="1">
      <w:start w:val="1"/>
      <w:numFmt w:val="lowerRoman"/>
      <w:lvlText w:val="%9."/>
      <w:lvlJc w:val="right"/>
      <w:pPr>
        <w:ind w:left="10223" w:hanging="180"/>
      </w:pPr>
    </w:lvl>
  </w:abstractNum>
  <w:abstractNum w:abstractNumId="3" w15:restartNumberingAfterBreak="0">
    <w:nsid w:val="68C06C39"/>
    <w:multiLevelType w:val="hybridMultilevel"/>
    <w:tmpl w:val="386AA4B2"/>
    <w:lvl w:ilvl="0" w:tplc="0409000F">
      <w:start w:val="1"/>
      <w:numFmt w:val="decimal"/>
      <w:lvlText w:val="%1."/>
      <w:lvlJc w:val="left"/>
      <w:pPr>
        <w:ind w:left="4462" w:hanging="360"/>
      </w:pPr>
    </w:lvl>
    <w:lvl w:ilvl="1" w:tplc="0409000F">
      <w:start w:val="1"/>
      <w:numFmt w:val="decimal"/>
      <w:lvlText w:val="%2."/>
      <w:lvlJc w:val="left"/>
      <w:pPr>
        <w:ind w:left="5182" w:hanging="360"/>
      </w:pPr>
    </w:lvl>
    <w:lvl w:ilvl="2" w:tplc="0409001B" w:tentative="1">
      <w:start w:val="1"/>
      <w:numFmt w:val="lowerRoman"/>
      <w:lvlText w:val="%3."/>
      <w:lvlJc w:val="right"/>
      <w:pPr>
        <w:ind w:left="5902" w:hanging="180"/>
      </w:pPr>
    </w:lvl>
    <w:lvl w:ilvl="3" w:tplc="0409000F" w:tentative="1">
      <w:start w:val="1"/>
      <w:numFmt w:val="decimal"/>
      <w:lvlText w:val="%4."/>
      <w:lvlJc w:val="left"/>
      <w:pPr>
        <w:ind w:left="6622" w:hanging="360"/>
      </w:pPr>
    </w:lvl>
    <w:lvl w:ilvl="4" w:tplc="04090019" w:tentative="1">
      <w:start w:val="1"/>
      <w:numFmt w:val="lowerLetter"/>
      <w:lvlText w:val="%5."/>
      <w:lvlJc w:val="left"/>
      <w:pPr>
        <w:ind w:left="7342" w:hanging="360"/>
      </w:pPr>
    </w:lvl>
    <w:lvl w:ilvl="5" w:tplc="0409001B" w:tentative="1">
      <w:start w:val="1"/>
      <w:numFmt w:val="lowerRoman"/>
      <w:lvlText w:val="%6."/>
      <w:lvlJc w:val="right"/>
      <w:pPr>
        <w:ind w:left="8062" w:hanging="180"/>
      </w:pPr>
    </w:lvl>
    <w:lvl w:ilvl="6" w:tplc="0409000F" w:tentative="1">
      <w:start w:val="1"/>
      <w:numFmt w:val="decimal"/>
      <w:lvlText w:val="%7."/>
      <w:lvlJc w:val="left"/>
      <w:pPr>
        <w:ind w:left="8782" w:hanging="360"/>
      </w:pPr>
    </w:lvl>
    <w:lvl w:ilvl="7" w:tplc="04090019" w:tentative="1">
      <w:start w:val="1"/>
      <w:numFmt w:val="lowerLetter"/>
      <w:lvlText w:val="%8."/>
      <w:lvlJc w:val="left"/>
      <w:pPr>
        <w:ind w:left="9502" w:hanging="360"/>
      </w:pPr>
    </w:lvl>
    <w:lvl w:ilvl="8" w:tplc="0409001B" w:tentative="1">
      <w:start w:val="1"/>
      <w:numFmt w:val="lowerRoman"/>
      <w:lvlText w:val="%9."/>
      <w:lvlJc w:val="right"/>
      <w:pPr>
        <w:ind w:left="10222" w:hanging="180"/>
      </w:pPr>
    </w:lvl>
  </w:abstractNum>
  <w:num w:numId="1">
    <w:abstractNumId w:val="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E"/>
    <w:rsid w:val="009F4EBE"/>
    <w:rsid w:val="00B031F0"/>
    <w:rsid w:val="00BD0DEA"/>
    <w:rsid w:val="00CD75C7"/>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F278"/>
  <w15:chartTrackingRefBased/>
  <w15:docId w15:val="{87C81A4A-BF05-474B-B620-72CE1168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B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9F4EBE"/>
    <w:pPr>
      <w:keepNext/>
      <w:keepLines/>
      <w:tabs>
        <w:tab w:val="right" w:pos="851"/>
        <w:tab w:val="left" w:pos="4082"/>
      </w:tabs>
      <w:suppressAutoHyphens/>
      <w:spacing w:before="240" w:after="120"/>
      <w:ind w:left="1247" w:right="284" w:hanging="1247"/>
    </w:pPr>
    <w:rPr>
      <w:b/>
      <w:sz w:val="28"/>
      <w:szCs w:val="28"/>
      <w:lang w:val="en-GB"/>
    </w:rPr>
  </w:style>
  <w:style w:type="character" w:customStyle="1" w:styleId="NormalnumberChar">
    <w:name w:val="Normal_number Char"/>
    <w:link w:val="Normalnumber"/>
    <w:rsid w:val="009F4EBE"/>
    <w:rPr>
      <w:lang w:eastAsia="en-US"/>
    </w:rPr>
  </w:style>
  <w:style w:type="paragraph" w:customStyle="1" w:styleId="NormalNonumber">
    <w:name w:val="Normal_No_number"/>
    <w:basedOn w:val="Normal"/>
    <w:link w:val="NormalNonumberChar"/>
    <w:qFormat/>
    <w:rsid w:val="009F4EBE"/>
    <w:pPr>
      <w:tabs>
        <w:tab w:val="left" w:pos="4082"/>
      </w:tabs>
      <w:spacing w:after="120"/>
      <w:ind w:left="1247"/>
    </w:pPr>
    <w:rPr>
      <w:lang w:val="en-GB"/>
    </w:rPr>
  </w:style>
  <w:style w:type="paragraph" w:customStyle="1" w:styleId="Normalnumber">
    <w:name w:val="Normal_number"/>
    <w:basedOn w:val="Normal"/>
    <w:link w:val="NormalnumberChar"/>
    <w:qFormat/>
    <w:rsid w:val="009F4EBE"/>
    <w:pPr>
      <w:numPr>
        <w:numId w:val="1"/>
      </w:numPr>
      <w:tabs>
        <w:tab w:val="clear" w:pos="1247"/>
        <w:tab w:val="clear" w:pos="1814"/>
        <w:tab w:val="clear" w:pos="2381"/>
        <w:tab w:val="clear" w:pos="2948"/>
        <w:tab w:val="clear" w:pos="3515"/>
        <w:tab w:val="left" w:pos="624"/>
      </w:tabs>
      <w:spacing w:after="120"/>
    </w:pPr>
    <w:rPr>
      <w:rFonts w:asciiTheme="minorHAnsi" w:eastAsiaTheme="minorEastAsia" w:hAnsiTheme="minorHAnsi" w:cstheme="minorBidi"/>
      <w:sz w:val="22"/>
      <w:szCs w:val="22"/>
      <w:lang w:val="en-US"/>
    </w:rPr>
  </w:style>
  <w:style w:type="character" w:customStyle="1" w:styleId="NormalNonumberChar">
    <w:name w:val="Normal_No_number Char"/>
    <w:link w:val="NormalNonumber"/>
    <w:locked/>
    <w:rsid w:val="009F4EBE"/>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C1E5-8C4B-4FCC-AFCC-4CDB7229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Ariel Dayao</cp:lastModifiedBy>
  <cp:revision>3</cp:revision>
  <cp:lastPrinted>2020-10-16T12:39:00Z</cp:lastPrinted>
  <dcterms:created xsi:type="dcterms:W3CDTF">2020-01-21T10:04:00Z</dcterms:created>
  <dcterms:modified xsi:type="dcterms:W3CDTF">2020-10-16T12:40:00Z</dcterms:modified>
</cp:coreProperties>
</file>