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A7" w:rsidRPr="00D722C4" w:rsidRDefault="008666A7" w:rsidP="008666A7">
      <w:pPr>
        <w:pStyle w:val="CH1"/>
      </w:pPr>
      <w:r w:rsidRPr="00D722C4">
        <w:tab/>
      </w:r>
      <w:r>
        <w:tab/>
      </w:r>
      <w:r w:rsidRPr="00D722C4">
        <w:t xml:space="preserve">BC-14/2: Addressing the entry into force of the Ban Amendment </w:t>
      </w:r>
    </w:p>
    <w:p w:rsidR="008666A7" w:rsidRPr="00D722C4" w:rsidRDefault="008666A7" w:rsidP="008666A7">
      <w:pPr>
        <w:tabs>
          <w:tab w:val="clear" w:pos="1247"/>
          <w:tab w:val="clear" w:pos="1814"/>
          <w:tab w:val="clear" w:pos="2381"/>
          <w:tab w:val="clear" w:pos="2948"/>
          <w:tab w:val="clear" w:pos="3515"/>
          <w:tab w:val="left" w:pos="624"/>
        </w:tabs>
        <w:spacing w:after="120"/>
        <w:ind w:left="1247" w:firstLine="624"/>
        <w:rPr>
          <w:i/>
          <w:iCs/>
          <w:lang w:val="en-GB"/>
        </w:rPr>
      </w:pPr>
      <w:r w:rsidRPr="00D722C4">
        <w:rPr>
          <w:i/>
          <w:iCs/>
          <w:lang w:val="en-GB"/>
        </w:rPr>
        <w:t>The Conference of the Parties,</w:t>
      </w:r>
    </w:p>
    <w:p w:rsidR="008666A7" w:rsidRPr="00D722C4" w:rsidRDefault="008666A7" w:rsidP="008666A7">
      <w:pPr>
        <w:tabs>
          <w:tab w:val="clear" w:pos="1247"/>
          <w:tab w:val="clear" w:pos="1814"/>
          <w:tab w:val="clear" w:pos="2381"/>
          <w:tab w:val="clear" w:pos="2948"/>
          <w:tab w:val="clear" w:pos="3515"/>
          <w:tab w:val="left" w:pos="624"/>
        </w:tabs>
        <w:spacing w:after="120"/>
        <w:ind w:left="1247" w:firstLine="624"/>
        <w:rPr>
          <w:lang w:val="en-GB"/>
        </w:rPr>
      </w:pPr>
      <w:r w:rsidRPr="00D722C4">
        <w:rPr>
          <w:i/>
          <w:iCs/>
          <w:lang w:val="en-GB"/>
        </w:rPr>
        <w:t xml:space="preserve">Noting </w:t>
      </w:r>
      <w:r w:rsidRPr="00D722C4">
        <w:rPr>
          <w:lang w:val="en-GB"/>
        </w:rPr>
        <w:t>the information regarding the status of ratification of the Basel Convention on the Control of Transboundary Movements of Hazardous Wastes and Their Disposal and of the amendment thereto set out in decision III/1, known as the “Ban Amendment”,</w:t>
      </w:r>
      <w:r w:rsidRPr="00D722C4">
        <w:rPr>
          <w:szCs w:val="18"/>
          <w:vertAlign w:val="superscript"/>
          <w:lang w:val="en-GB"/>
        </w:rPr>
        <w:footnoteReference w:id="1"/>
      </w:r>
    </w:p>
    <w:p w:rsidR="008666A7" w:rsidRPr="00D722C4" w:rsidRDefault="008666A7" w:rsidP="008666A7">
      <w:pPr>
        <w:numPr>
          <w:ilvl w:val="0"/>
          <w:numId w:val="4"/>
        </w:numPr>
        <w:tabs>
          <w:tab w:val="clear" w:pos="1247"/>
          <w:tab w:val="clear" w:pos="1814"/>
          <w:tab w:val="clear" w:pos="2381"/>
          <w:tab w:val="clear" w:pos="2855"/>
          <w:tab w:val="clear" w:pos="2948"/>
          <w:tab w:val="clear" w:pos="3515"/>
          <w:tab w:val="left" w:pos="624"/>
        </w:tabs>
        <w:spacing w:after="120"/>
        <w:ind w:left="1247" w:firstLine="624"/>
        <w:rPr>
          <w:lang w:val="en-GB"/>
        </w:rPr>
      </w:pPr>
      <w:r w:rsidRPr="00D722C4">
        <w:rPr>
          <w:i/>
          <w:lang w:val="en-GB"/>
        </w:rPr>
        <w:t>Welcomes</w:t>
      </w:r>
      <w:r w:rsidRPr="00D722C4">
        <w:rPr>
          <w:lang w:val="en-GB"/>
        </w:rPr>
        <w:t xml:space="preserve"> the ratification and acceptance by additional Parties to the Basel Convention of the Ban Amendment; </w:t>
      </w:r>
    </w:p>
    <w:p w:rsidR="008666A7" w:rsidRPr="00D722C4" w:rsidRDefault="008666A7" w:rsidP="008666A7">
      <w:pPr>
        <w:numPr>
          <w:ilvl w:val="0"/>
          <w:numId w:val="4"/>
        </w:numPr>
        <w:tabs>
          <w:tab w:val="clear" w:pos="1247"/>
          <w:tab w:val="clear" w:pos="1814"/>
          <w:tab w:val="clear" w:pos="2381"/>
          <w:tab w:val="clear" w:pos="2855"/>
          <w:tab w:val="clear" w:pos="2948"/>
          <w:tab w:val="clear" w:pos="3515"/>
          <w:tab w:val="left" w:pos="624"/>
        </w:tabs>
        <w:spacing w:after="120"/>
        <w:ind w:left="1247" w:firstLine="624"/>
        <w:rPr>
          <w:lang w:val="en-GB"/>
        </w:rPr>
      </w:pPr>
      <w:r w:rsidRPr="00D722C4">
        <w:rPr>
          <w:i/>
          <w:lang w:val="en-GB"/>
        </w:rPr>
        <w:t>Calls</w:t>
      </w:r>
      <w:r w:rsidRPr="00D722C4">
        <w:rPr>
          <w:lang w:val="en-GB"/>
        </w:rPr>
        <w:t xml:space="preserve"> </w:t>
      </w:r>
      <w:r w:rsidRPr="00D722C4">
        <w:rPr>
          <w:i/>
          <w:lang w:val="en-GB"/>
        </w:rPr>
        <w:t>upon</w:t>
      </w:r>
      <w:r w:rsidRPr="00D722C4">
        <w:rPr>
          <w:lang w:val="en-GB"/>
        </w:rPr>
        <w:t xml:space="preserve"> Parties that have not yet done so to ratify the Ban Amendment, noting that only two additional instruments of ratification, approval or acceptance need to be deposited by Parties that were Parties to the Convention at the time of adoption of the Amendment </w:t>
      </w:r>
      <w:proofErr w:type="gramStart"/>
      <w:r w:rsidRPr="00D722C4">
        <w:rPr>
          <w:lang w:val="en-GB"/>
        </w:rPr>
        <w:t>in order for</w:t>
      </w:r>
      <w:proofErr w:type="gramEnd"/>
      <w:r w:rsidRPr="00D722C4">
        <w:rPr>
          <w:lang w:val="en-GB"/>
        </w:rPr>
        <w:t xml:space="preserve"> that Amendment to enter into force;</w:t>
      </w:r>
    </w:p>
    <w:p w:rsidR="008666A7" w:rsidRPr="00D722C4" w:rsidRDefault="008666A7" w:rsidP="008666A7">
      <w:pPr>
        <w:numPr>
          <w:ilvl w:val="0"/>
          <w:numId w:val="4"/>
        </w:numPr>
        <w:tabs>
          <w:tab w:val="clear" w:pos="1247"/>
          <w:tab w:val="clear" w:pos="1814"/>
          <w:tab w:val="clear" w:pos="2381"/>
          <w:tab w:val="clear" w:pos="2855"/>
          <w:tab w:val="clear" w:pos="2948"/>
          <w:tab w:val="clear" w:pos="3515"/>
          <w:tab w:val="left" w:pos="624"/>
        </w:tabs>
        <w:spacing w:after="120"/>
        <w:ind w:left="1247" w:firstLine="624"/>
        <w:rPr>
          <w:lang w:val="en-GB"/>
        </w:rPr>
      </w:pPr>
      <w:r w:rsidRPr="00D722C4">
        <w:rPr>
          <w:i/>
          <w:lang w:val="en-GB"/>
        </w:rPr>
        <w:t>Invites</w:t>
      </w:r>
      <w:r w:rsidRPr="00D722C4">
        <w:rPr>
          <w:lang w:val="en-GB"/>
        </w:rPr>
        <w:t xml:space="preserve"> Parties to continue to </w:t>
      </w:r>
      <w:proofErr w:type="gramStart"/>
      <w:r w:rsidRPr="00D722C4">
        <w:rPr>
          <w:lang w:val="en-GB"/>
        </w:rPr>
        <w:t>take action</w:t>
      </w:r>
      <w:proofErr w:type="gramEnd"/>
      <w:r w:rsidRPr="00D722C4">
        <w:rPr>
          <w:lang w:val="en-GB"/>
        </w:rPr>
        <w:t xml:space="preserve"> towards encouraging and assisting other Parties to ratify the Ban Amendment;</w:t>
      </w:r>
    </w:p>
    <w:p w:rsidR="008666A7" w:rsidRPr="00D722C4" w:rsidRDefault="008666A7" w:rsidP="008666A7">
      <w:pPr>
        <w:numPr>
          <w:ilvl w:val="0"/>
          <w:numId w:val="4"/>
        </w:numPr>
        <w:tabs>
          <w:tab w:val="clear" w:pos="1247"/>
          <w:tab w:val="clear" w:pos="1814"/>
          <w:tab w:val="clear" w:pos="2381"/>
          <w:tab w:val="clear" w:pos="2855"/>
          <w:tab w:val="clear" w:pos="2948"/>
          <w:tab w:val="clear" w:pos="3515"/>
          <w:tab w:val="left" w:pos="624"/>
        </w:tabs>
        <w:spacing w:after="120"/>
        <w:ind w:left="1247" w:firstLine="624"/>
        <w:rPr>
          <w:lang w:val="en-GB"/>
        </w:rPr>
      </w:pPr>
      <w:r w:rsidRPr="00D722C4">
        <w:rPr>
          <w:i/>
          <w:lang w:val="en-GB"/>
        </w:rPr>
        <w:t>Requests</w:t>
      </w:r>
      <w:r w:rsidRPr="00D722C4">
        <w:rPr>
          <w:lang w:val="en-GB"/>
        </w:rPr>
        <w:t xml:space="preserve"> the Secretariat, subject to the availability of resources and upon request, to continue to assist Parties that are having difficulties in ratifying the Ban Amendment. </w:t>
      </w:r>
    </w:p>
    <w:p w:rsidR="00F935A6" w:rsidRPr="008666A7" w:rsidRDefault="00F935A6" w:rsidP="008666A7">
      <w:pPr>
        <w:rPr>
          <w:lang w:val="en-GB"/>
        </w:rPr>
      </w:pPr>
      <w:bookmarkStart w:id="0" w:name="_GoBack"/>
      <w:bookmarkEnd w:id="0"/>
    </w:p>
    <w:sectPr w:rsidR="00F935A6" w:rsidRPr="00866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5E0" w:rsidRDefault="00DA55E0" w:rsidP="003B0A20">
      <w:r>
        <w:separator/>
      </w:r>
    </w:p>
  </w:endnote>
  <w:endnote w:type="continuationSeparator" w:id="0">
    <w:p w:rsidR="00DA55E0" w:rsidRDefault="00DA55E0" w:rsidP="003B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5E0" w:rsidRDefault="00DA55E0" w:rsidP="003B0A20">
      <w:r>
        <w:separator/>
      </w:r>
    </w:p>
  </w:footnote>
  <w:footnote w:type="continuationSeparator" w:id="0">
    <w:p w:rsidR="00DA55E0" w:rsidRDefault="00DA55E0" w:rsidP="003B0A20">
      <w:r>
        <w:continuationSeparator/>
      </w:r>
    </w:p>
  </w:footnote>
  <w:footnote w:id="1">
    <w:p w:rsidR="008666A7" w:rsidRPr="00750A35" w:rsidRDefault="008666A7" w:rsidP="008666A7">
      <w:pPr>
        <w:tabs>
          <w:tab w:val="left" w:pos="624"/>
        </w:tabs>
        <w:spacing w:before="20" w:after="40"/>
        <w:ind w:left="1247" w:right="57"/>
        <w:rPr>
          <w:sz w:val="18"/>
          <w:szCs w:val="18"/>
          <w:lang w:val="en-GB"/>
        </w:rPr>
      </w:pPr>
      <w:r w:rsidRPr="00750A35">
        <w:rPr>
          <w:sz w:val="18"/>
          <w:szCs w:val="18"/>
          <w:vertAlign w:val="superscript"/>
          <w:lang w:val="en-GB"/>
        </w:rPr>
        <w:footnoteRef/>
      </w:r>
      <w:r w:rsidRPr="00750A35">
        <w:rPr>
          <w:sz w:val="18"/>
          <w:szCs w:val="18"/>
          <w:vertAlign w:val="superscript"/>
          <w:lang w:val="en-GB"/>
        </w:rPr>
        <w:t xml:space="preserve"> </w:t>
      </w:r>
      <w:r w:rsidRPr="00750A35">
        <w:rPr>
          <w:sz w:val="18"/>
          <w:szCs w:val="18"/>
          <w:lang w:val="en-GB"/>
        </w:rPr>
        <w:t>UNEP/CHW.14/4.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4575583A"/>
    <w:multiLevelType w:val="multilevel"/>
    <w:tmpl w:val="D07A6E4C"/>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311576F"/>
    <w:multiLevelType w:val="hybridMultilevel"/>
    <w:tmpl w:val="00C2650C"/>
    <w:lvl w:ilvl="0" w:tplc="F45AB6C6">
      <w:start w:val="1"/>
      <w:numFmt w:val="decimal"/>
      <w:lvlText w:val="%1."/>
      <w:lvlJc w:val="left"/>
      <w:pPr>
        <w:tabs>
          <w:tab w:val="num" w:pos="2855"/>
        </w:tabs>
        <w:ind w:left="2855" w:hanging="360"/>
      </w:pPr>
      <w:rPr>
        <w:i w:val="0"/>
        <w:lang w:val="en-GB"/>
      </w:rPr>
    </w:lvl>
    <w:lvl w:ilvl="1" w:tplc="04090019">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3" w15:restartNumberingAfterBreak="0">
    <w:nsid w:val="6F7C4406"/>
    <w:multiLevelType w:val="hybridMultilevel"/>
    <w:tmpl w:val="00C2650C"/>
    <w:lvl w:ilvl="0" w:tplc="F45AB6C6">
      <w:start w:val="1"/>
      <w:numFmt w:val="decimal"/>
      <w:lvlText w:val="%1."/>
      <w:lvlJc w:val="left"/>
      <w:pPr>
        <w:tabs>
          <w:tab w:val="num" w:pos="3215"/>
        </w:tabs>
        <w:ind w:left="3215" w:hanging="360"/>
      </w:pPr>
      <w:rPr>
        <w:i w:val="0"/>
        <w:lang w:val="en-GB"/>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3"/>
  </w:num>
  <w:num w:numId="3">
    <w:abstractNumId w:val="0"/>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20"/>
    <w:rsid w:val="003B0A20"/>
    <w:rsid w:val="008666A7"/>
    <w:rsid w:val="00DA55E0"/>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836B"/>
  <w15:chartTrackingRefBased/>
  <w15:docId w15:val="{062F2B51-A36E-4F2B-BBFF-77A8D7A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3B0A20"/>
    <w:pPr>
      <w:keepNext/>
      <w:keepLines/>
      <w:tabs>
        <w:tab w:val="right" w:pos="851"/>
        <w:tab w:val="left" w:pos="4082"/>
      </w:tabs>
      <w:suppressAutoHyphens/>
      <w:spacing w:before="240" w:after="120"/>
      <w:ind w:left="1247" w:right="284" w:hanging="1247"/>
    </w:pPr>
    <w:rPr>
      <w:b/>
      <w:sz w:val="28"/>
      <w:szCs w:val="28"/>
      <w:lang w:val="en-GB"/>
    </w:rPr>
  </w:style>
  <w:style w:type="character" w:customStyle="1" w:styleId="NormalnumberChar">
    <w:name w:val="Normal_number Char"/>
    <w:link w:val="Normalnumber"/>
    <w:rsid w:val="003B0A20"/>
    <w:rPr>
      <w:lang w:eastAsia="en-US"/>
    </w:rPr>
  </w:style>
  <w:style w:type="paragraph" w:customStyle="1" w:styleId="Normalnumber">
    <w:name w:val="Normal_number"/>
    <w:basedOn w:val="Normal"/>
    <w:link w:val="NormalnumberChar"/>
    <w:qFormat/>
    <w:rsid w:val="003B0A20"/>
    <w:pPr>
      <w:numPr>
        <w:numId w:val="1"/>
      </w:numPr>
      <w:tabs>
        <w:tab w:val="clear" w:pos="1247"/>
        <w:tab w:val="clear" w:pos="1814"/>
        <w:tab w:val="clear" w:pos="2381"/>
        <w:tab w:val="clear" w:pos="2948"/>
        <w:tab w:val="clear" w:pos="3515"/>
        <w:tab w:val="left" w:pos="624"/>
      </w:tabs>
      <w:spacing w:after="120"/>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2020-01-21T09:46:00Z</dcterms:created>
  <dcterms:modified xsi:type="dcterms:W3CDTF">2020-01-21T09:46:00Z</dcterms:modified>
</cp:coreProperties>
</file>