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3A15" w14:textId="05142DB9" w:rsidR="0006513D" w:rsidRPr="00F5756E" w:rsidRDefault="0006513D" w:rsidP="0006513D">
      <w:pPr>
        <w:pStyle w:val="CH1"/>
        <w:rPr>
          <w:lang w:val="es-ES_tradnl"/>
        </w:rPr>
      </w:pPr>
      <w:r>
        <w:rPr>
          <w:bCs/>
          <w:lang w:val="es-ES_tradnl"/>
        </w:rPr>
        <w:tab/>
      </w:r>
      <w:r>
        <w:rPr>
          <w:bCs/>
          <w:lang w:val="es-ES_tradnl"/>
        </w:rPr>
        <w:tab/>
      </w:r>
      <w:bookmarkStart w:id="0" w:name="_GoBack"/>
      <w:bookmarkEnd w:id="0"/>
      <w:r w:rsidRPr="00F5756E">
        <w:rPr>
          <w:bCs/>
          <w:lang w:val="es-ES_tradnl"/>
        </w:rPr>
        <w:t>BC-14/23: Mecanismo de intercambio de información</w:t>
      </w:r>
    </w:p>
    <w:p w14:paraId="7BE91643" w14:textId="77777777" w:rsidR="0006513D" w:rsidRPr="00F5756E" w:rsidRDefault="0006513D" w:rsidP="0006513D">
      <w:pPr>
        <w:tabs>
          <w:tab w:val="left" w:pos="624"/>
        </w:tabs>
        <w:autoSpaceDE w:val="0"/>
        <w:autoSpaceDN w:val="0"/>
        <w:adjustRightInd w:val="0"/>
        <w:spacing w:after="120"/>
        <w:ind w:left="1247" w:firstLine="624"/>
        <w:rPr>
          <w:i/>
          <w:iCs/>
        </w:rPr>
      </w:pPr>
      <w:r w:rsidRPr="00F5756E">
        <w:rPr>
          <w:i/>
          <w:iCs/>
        </w:rPr>
        <w:t>La Conferencia de las Partes</w:t>
      </w:r>
    </w:p>
    <w:p w14:paraId="3807F1FD" w14:textId="77777777" w:rsidR="0006513D" w:rsidRPr="00F5756E"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F5756E">
        <w:rPr>
          <w:i/>
          <w:iCs/>
        </w:rPr>
        <w:t>Acoge con beneplácito</w:t>
      </w:r>
      <w:r w:rsidRPr="00F5756E">
        <w:t xml:space="preserve"> el progreso logrado en la aplicación del mecanismo conjunto de intercambio de información;</w:t>
      </w:r>
    </w:p>
    <w:p w14:paraId="23DB553F" w14:textId="77777777" w:rsidR="0006513D" w:rsidRPr="00F5756E"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F5756E">
        <w:rPr>
          <w:i/>
          <w:iCs/>
        </w:rPr>
        <w:t>También acoge con beneplácito</w:t>
      </w:r>
      <w:r w:rsidRPr="00F5756E">
        <w:t xml:space="preserve"> la labor de la Secretaría de redacción de un proyecto de plan de trabajo para la aplicación del mecanismo conjunto de intercambio de información para el bienio 2020</w:t>
      </w:r>
      <w:r w:rsidRPr="00F5756E">
        <w:noBreakHyphen/>
        <w:t>2021</w:t>
      </w:r>
      <w:r w:rsidRPr="00F5756E">
        <w:rPr>
          <w:rStyle w:val="FootnoteReference"/>
        </w:rPr>
        <w:footnoteReference w:id="1"/>
      </w:r>
      <w:r w:rsidRPr="00F5756E">
        <w:t>;</w:t>
      </w:r>
    </w:p>
    <w:p w14:paraId="30621FAA" w14:textId="77777777" w:rsidR="0006513D" w:rsidRPr="00F5756E"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F5756E">
        <w:rPr>
          <w:i/>
          <w:iCs/>
        </w:rPr>
        <w:t>Solicita</w:t>
      </w:r>
      <w:r w:rsidRPr="00F5756E">
        <w:t xml:space="preserve"> a la Secretaría que:</w:t>
      </w:r>
    </w:p>
    <w:p w14:paraId="3F658510" w14:textId="77777777" w:rsidR="0006513D" w:rsidRPr="00F5756E" w:rsidRDefault="0006513D" w:rsidP="0006513D">
      <w:pPr>
        <w:pStyle w:val="Normalpool"/>
        <w:numPr>
          <w:ilvl w:val="0"/>
          <w:numId w:val="8"/>
        </w:numPr>
        <w:tabs>
          <w:tab w:val="clear" w:pos="1247"/>
          <w:tab w:val="clear" w:pos="1814"/>
          <w:tab w:val="clear" w:pos="2381"/>
          <w:tab w:val="clear" w:pos="2948"/>
          <w:tab w:val="clear" w:pos="3515"/>
          <w:tab w:val="clear" w:pos="4082"/>
        </w:tabs>
        <w:spacing w:after="120"/>
        <w:ind w:left="1247" w:firstLine="624"/>
        <w:rPr>
          <w:lang w:val="es-ES_tradnl"/>
        </w:rPr>
      </w:pPr>
      <w:r w:rsidRPr="00F5756E">
        <w:rPr>
          <w:lang w:val="es-ES_tradnl"/>
        </w:rPr>
        <w:t>Continúe aplicando la estrategia del mecanismo conjunto de intercambio de información</w:t>
      </w:r>
      <w:r w:rsidRPr="00F5756E">
        <w:rPr>
          <w:rStyle w:val="FootnoteReference"/>
          <w:lang w:val="es-ES_tradnl"/>
        </w:rPr>
        <w:footnoteReference w:id="2"/>
      </w:r>
      <w:r w:rsidRPr="00F5756E">
        <w:rPr>
          <w:lang w:val="es-ES_tradnl"/>
        </w:rPr>
        <w:t xml:space="preserve"> de forma gradual y eficaz en función de los costos;</w:t>
      </w:r>
    </w:p>
    <w:p w14:paraId="34AE9B84" w14:textId="77777777" w:rsidR="0006513D" w:rsidRPr="00F5756E" w:rsidRDefault="0006513D" w:rsidP="0006513D">
      <w:pPr>
        <w:pStyle w:val="Normalpool"/>
        <w:numPr>
          <w:ilvl w:val="0"/>
          <w:numId w:val="8"/>
        </w:numPr>
        <w:tabs>
          <w:tab w:val="clear" w:pos="1247"/>
          <w:tab w:val="clear" w:pos="1814"/>
          <w:tab w:val="clear" w:pos="2381"/>
          <w:tab w:val="clear" w:pos="2948"/>
          <w:tab w:val="clear" w:pos="3515"/>
          <w:tab w:val="clear" w:pos="4082"/>
        </w:tabs>
        <w:spacing w:after="120"/>
        <w:ind w:left="1247" w:firstLine="624"/>
        <w:rPr>
          <w:lang w:val="es-ES_tradnl"/>
        </w:rPr>
      </w:pPr>
      <w:r w:rsidRPr="00F5756E">
        <w:rPr>
          <w:lang w:val="es-ES_tradnl"/>
        </w:rPr>
        <w:t xml:space="preserve">Realice las actividades de mantenimiento del plan de trabajo para el mecanismo de intercambio de información para el bienio 2020-2021 mencionado en el párrafo 2 de la presente decisión, de conformidad con el programa de trabajo y presupuesto del Convenio de Basilea sobre el Control de los Movimientos Transfronterizos de los Desechos Peligrosos y su Eliminación para el bienio, dando prioridad a las actividades recurrentes, en particular con respecto al mantenimiento de los sistemas existentes; </w:t>
      </w:r>
    </w:p>
    <w:p w14:paraId="2990F597" w14:textId="77777777" w:rsidR="0006513D" w:rsidRPr="00F5756E" w:rsidRDefault="0006513D" w:rsidP="0006513D">
      <w:pPr>
        <w:pStyle w:val="Normalpool"/>
        <w:numPr>
          <w:ilvl w:val="0"/>
          <w:numId w:val="8"/>
        </w:numPr>
        <w:tabs>
          <w:tab w:val="clear" w:pos="1247"/>
          <w:tab w:val="clear" w:pos="1814"/>
          <w:tab w:val="clear" w:pos="2381"/>
          <w:tab w:val="clear" w:pos="2948"/>
          <w:tab w:val="clear" w:pos="3515"/>
          <w:tab w:val="clear" w:pos="4082"/>
        </w:tabs>
        <w:spacing w:after="120"/>
        <w:ind w:left="1247" w:firstLine="624"/>
        <w:rPr>
          <w:lang w:val="es-ES_tradnl"/>
        </w:rPr>
      </w:pPr>
      <w:r w:rsidRPr="00F5756E">
        <w:rPr>
          <w:lang w:val="es-ES_tradnl"/>
        </w:rPr>
        <w:t>Implemente, con sujeción a la disponibilidad de recursos, las nuevas actividades del plan de trabajo del mecanismo de intercambio de información para el bienio 2020</w:t>
      </w:r>
      <w:r w:rsidRPr="00F5756E">
        <w:rPr>
          <w:lang w:val="es-ES_tradnl"/>
        </w:rPr>
        <w:noBreakHyphen/>
        <w:t>2021, que se menciona en el párrafo 2 de la presente decisión de conformidad con el programa de trabajo y presupuesto del Convenio de Basilea para el bienio;</w:t>
      </w:r>
    </w:p>
    <w:p w14:paraId="392A6524" w14:textId="77777777" w:rsidR="0006513D" w:rsidRPr="00F5756E"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F5756E">
        <w:rPr>
          <w:i/>
          <w:iCs/>
        </w:rPr>
        <w:t xml:space="preserve">Solicita también </w:t>
      </w:r>
      <w:r w:rsidRPr="00F5756E">
        <w:t>a la Secretaría que:</w:t>
      </w:r>
    </w:p>
    <w:p w14:paraId="2A76F444" w14:textId="77777777" w:rsidR="0006513D" w:rsidRPr="00F5756E" w:rsidRDefault="0006513D" w:rsidP="0006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F5756E">
        <w:rPr>
          <w:lang w:val="es-ES_tradnl"/>
        </w:rPr>
        <w:t>Vele por que las actividades emprendidas para implantar el mecanismo de intercambio de información sean eficaces en función de los costos, proporcionadas, equilibradas y acordes a la capacidad y los recursos de la Secretaría;</w:t>
      </w:r>
    </w:p>
    <w:p w14:paraId="3085948B" w14:textId="77777777" w:rsidR="0006513D" w:rsidRPr="00F5756E" w:rsidRDefault="0006513D" w:rsidP="0006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F5756E">
        <w:rPr>
          <w:lang w:val="es-ES_tradnl"/>
        </w:rPr>
        <w:t>Participe en las reuniones por medios electrónicos cuando sea posible y utilice traducciones que ya estén disponibles en los seis idiomas oficiales de las Naciones Unidas;</w:t>
      </w:r>
    </w:p>
    <w:p w14:paraId="0FA0690C" w14:textId="77777777" w:rsidR="0006513D" w:rsidRPr="00F5756E" w:rsidRDefault="0006513D" w:rsidP="0006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F5756E">
        <w:rPr>
          <w:lang w:val="es-ES_tradnl"/>
        </w:rPr>
        <w:t>Utilice el mecanismo de intercambio de información para reunir información sobre las iniciativas regionales y nacionales relacionadas con la gestión de desechos, incluidas las relativas a los desechos plásticos, teniendo en cuenta otras iniciativas y en cooperación con ellas;</w:t>
      </w:r>
    </w:p>
    <w:p w14:paraId="17EAAEF4" w14:textId="77777777" w:rsidR="0006513D" w:rsidRPr="00F5756E" w:rsidRDefault="0006513D" w:rsidP="0006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F5756E">
        <w:rPr>
          <w:lang w:val="es-ES_tradnl"/>
        </w:rPr>
        <w:t>Siga potenciando las actividades de cooperación y coordinación con los asociados existentes en lo tocante al intercambio de información, estudie las actividades que podrían realizarse en cooperación con nuevos asociados, cuando corresponda, y garantice la complementariedad y evite la duplicación con las actividades, instrumentos y mecanismos presentes y futuros;</w:t>
      </w:r>
    </w:p>
    <w:p w14:paraId="214685F5" w14:textId="77777777" w:rsidR="0006513D" w:rsidRPr="00F5756E" w:rsidRDefault="0006513D" w:rsidP="0006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F5756E">
        <w:rPr>
          <w:lang w:val="es-ES_tradnl"/>
        </w:rPr>
        <w:t>Amplíe su colaboración con la Secretaría del Convenio de Minamata sobre el Mercurio para intercambiar información y compartir experiencias y mejores prácticas en relación con el uso de los sistemas de intercambio de información existentes;</w:t>
      </w:r>
    </w:p>
    <w:p w14:paraId="298DCE23" w14:textId="77777777" w:rsidR="0006513D" w:rsidRPr="00F5756E"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F5756E">
        <w:rPr>
          <w:i/>
          <w:iCs/>
        </w:rPr>
        <w:t>Invita</w:t>
      </w:r>
      <w:r w:rsidRPr="00F5756E">
        <w:t xml:space="preserve"> a las Partes y a los observadores a participar, cuando proceda, en la elaboración de la estrategia del mecanismo conjunto de intercambio de información y en las actividades pertinentes del plan de trabajo de conformidad con la presente decisión; </w:t>
      </w:r>
    </w:p>
    <w:p w14:paraId="5889C973" w14:textId="68ADC1CE" w:rsidR="00F935A6" w:rsidRPr="0006513D" w:rsidRDefault="0006513D" w:rsidP="0006513D">
      <w:pPr>
        <w:numPr>
          <w:ilvl w:val="0"/>
          <w:numId w:val="6"/>
        </w:numPr>
        <w:tabs>
          <w:tab w:val="clear" w:pos="1247"/>
          <w:tab w:val="clear" w:pos="1814"/>
          <w:tab w:val="clear" w:pos="2381"/>
          <w:tab w:val="clear" w:pos="2948"/>
          <w:tab w:val="clear" w:pos="3215"/>
          <w:tab w:val="clear" w:pos="3515"/>
        </w:tabs>
        <w:autoSpaceDE w:val="0"/>
        <w:autoSpaceDN w:val="0"/>
        <w:adjustRightInd w:val="0"/>
        <w:spacing w:after="120"/>
        <w:ind w:left="1247" w:firstLine="624"/>
      </w:pPr>
      <w:r w:rsidRPr="0006513D">
        <w:rPr>
          <w:i/>
          <w:iCs/>
        </w:rPr>
        <w:t>Solicita</w:t>
      </w:r>
      <w:r w:rsidRPr="00F5756E">
        <w:t xml:space="preserve"> a la Secretaría que examine la estrategia con regularidad para tener en cuenta la experiencia adquirida y los acontecimientos pertinentes respecto de cuestiones como los debates multisectoriales y de múltiples interesados sobre la gestión racional de los productos químicos y los desechos después de 2020.</w:t>
      </w:r>
    </w:p>
    <w:sectPr w:rsidR="00F935A6" w:rsidRPr="0006513D" w:rsidSect="0006513D">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AF88" w14:textId="77777777" w:rsidR="00663CDD" w:rsidRDefault="00663CDD" w:rsidP="00FC2833">
      <w:r>
        <w:separator/>
      </w:r>
    </w:p>
  </w:endnote>
  <w:endnote w:type="continuationSeparator" w:id="0">
    <w:p w14:paraId="53E89C11" w14:textId="77777777" w:rsidR="00663CDD" w:rsidRDefault="00663CDD" w:rsidP="00F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3ED5" w14:textId="77777777" w:rsidR="00663CDD" w:rsidRDefault="00663CDD" w:rsidP="00FC2833">
      <w:r>
        <w:separator/>
      </w:r>
    </w:p>
  </w:footnote>
  <w:footnote w:type="continuationSeparator" w:id="0">
    <w:p w14:paraId="0AE574E8" w14:textId="77777777" w:rsidR="00663CDD" w:rsidRDefault="00663CDD" w:rsidP="00FC2833">
      <w:r>
        <w:continuationSeparator/>
      </w:r>
    </w:p>
  </w:footnote>
  <w:footnote w:id="1">
    <w:p w14:paraId="6004FF7D" w14:textId="77777777" w:rsidR="0006513D" w:rsidRPr="00AB3A6C" w:rsidRDefault="0006513D" w:rsidP="0006513D">
      <w:pPr>
        <w:pStyle w:val="Normalpool"/>
        <w:tabs>
          <w:tab w:val="clear" w:pos="1247"/>
          <w:tab w:val="clear" w:pos="1814"/>
          <w:tab w:val="clear" w:pos="2381"/>
          <w:tab w:val="clear" w:pos="2948"/>
          <w:tab w:val="clear" w:pos="3515"/>
          <w:tab w:val="clear" w:pos="4082"/>
          <w:tab w:val="left" w:pos="624"/>
        </w:tabs>
        <w:spacing w:before="20" w:after="40"/>
        <w:ind w:left="1247" w:right="57"/>
        <w:rPr>
          <w:sz w:val="18"/>
          <w:szCs w:val="18"/>
          <w:lang w:val="en-US"/>
        </w:rPr>
      </w:pPr>
      <w:r w:rsidRPr="00D72107">
        <w:rPr>
          <w:rStyle w:val="FootnoteReference"/>
          <w:color w:val="000000" w:themeColor="text1"/>
          <w:sz w:val="18"/>
          <w:lang w:val="es-ES_tradnl"/>
        </w:rPr>
        <w:footnoteRef/>
      </w:r>
      <w:r w:rsidRPr="00AB3A6C">
        <w:rPr>
          <w:sz w:val="18"/>
          <w:szCs w:val="18"/>
          <w:lang w:val="en-US"/>
        </w:rPr>
        <w:t xml:space="preserve"> UNEP/CHW.14/INF/39</w:t>
      </w:r>
      <w:r w:rsidRPr="00AB3A6C">
        <w:rPr>
          <w:sz w:val="18"/>
          <w:szCs w:val="18"/>
          <w:lang w:val="en-US"/>
        </w:rPr>
        <w:noBreakHyphen/>
        <w:t>UNEP/FAO/RC/COP.9/INF/32</w:t>
      </w:r>
      <w:r w:rsidRPr="00AB3A6C">
        <w:rPr>
          <w:sz w:val="18"/>
          <w:szCs w:val="18"/>
          <w:lang w:val="en-US"/>
        </w:rPr>
        <w:noBreakHyphen/>
        <w:t>UNEP/POPS/COP.9/INF/41.</w:t>
      </w:r>
    </w:p>
  </w:footnote>
  <w:footnote w:id="2">
    <w:p w14:paraId="3ACA55FF" w14:textId="77777777" w:rsidR="0006513D" w:rsidRPr="00AB3A6C" w:rsidRDefault="0006513D" w:rsidP="0006513D">
      <w:pPr>
        <w:pStyle w:val="Normalpool"/>
        <w:tabs>
          <w:tab w:val="clear" w:pos="1247"/>
          <w:tab w:val="clear" w:pos="1814"/>
          <w:tab w:val="clear" w:pos="2381"/>
          <w:tab w:val="clear" w:pos="2948"/>
          <w:tab w:val="clear" w:pos="3515"/>
          <w:tab w:val="clear" w:pos="4082"/>
          <w:tab w:val="left" w:pos="624"/>
        </w:tabs>
        <w:spacing w:before="20" w:after="40"/>
        <w:ind w:left="1247" w:right="57"/>
        <w:rPr>
          <w:sz w:val="18"/>
          <w:szCs w:val="18"/>
          <w:lang w:val="en-US"/>
        </w:rPr>
      </w:pPr>
      <w:r w:rsidRPr="00D72107">
        <w:rPr>
          <w:rStyle w:val="FootnoteReference"/>
          <w:color w:val="000000" w:themeColor="text1"/>
          <w:sz w:val="18"/>
          <w:lang w:val="es-ES_tradnl"/>
        </w:rPr>
        <w:footnoteRef/>
      </w:r>
      <w:r w:rsidRPr="00AB3A6C">
        <w:rPr>
          <w:sz w:val="18"/>
          <w:szCs w:val="18"/>
          <w:lang w:val="en-US"/>
        </w:rPr>
        <w:t xml:space="preserve"> UNEP/CHW.13/INF/47</w:t>
      </w:r>
      <w:r w:rsidRPr="00AB3A6C">
        <w:rPr>
          <w:sz w:val="18"/>
          <w:szCs w:val="18"/>
          <w:lang w:val="en-US"/>
        </w:rPr>
        <w:noBreakHyphen/>
        <w:t>UNEP/FAO/RC/COP.8/INF/33</w:t>
      </w:r>
      <w:r w:rsidRPr="00AB3A6C">
        <w:rPr>
          <w:sz w:val="18"/>
          <w:szCs w:val="18"/>
          <w:lang w:val="en-US"/>
        </w:rPr>
        <w:noBreakHyphen/>
        <w:t>UNEP/POPS/COP.8/INF/50.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D8D"/>
    <w:multiLevelType w:val="hybridMultilevel"/>
    <w:tmpl w:val="BB52EFA8"/>
    <w:lvl w:ilvl="0" w:tplc="7A66FA26">
      <w:start w:val="1"/>
      <w:numFmt w:val="decimal"/>
      <w:lvlText w:val="%1."/>
      <w:lvlJc w:val="left"/>
      <w:pPr>
        <w:tabs>
          <w:tab w:val="num" w:pos="2654"/>
        </w:tabs>
        <w:ind w:left="2654" w:hanging="360"/>
      </w:pPr>
      <w:rPr>
        <w:rFonts w:cs="Times New Roman" w:hint="default"/>
        <w:sz w:val="20"/>
        <w:szCs w:val="20"/>
      </w:rPr>
    </w:lvl>
    <w:lvl w:ilvl="1" w:tplc="6586368C">
      <w:start w:val="1"/>
      <w:numFmt w:val="lowerLetter"/>
      <w:lvlText w:val="(%2)"/>
      <w:lvlJc w:val="left"/>
      <w:pPr>
        <w:tabs>
          <w:tab w:val="num" w:pos="2654"/>
        </w:tabs>
        <w:ind w:left="2654" w:hanging="360"/>
      </w:pPr>
      <w:rPr>
        <w:rFonts w:ascii="Times New Roman" w:hAnsi="Times New Roman" w:cs="Arial" w:hint="default"/>
        <w:b w:val="0"/>
        <w:i w:val="0"/>
        <w:caps w:val="0"/>
        <w:strike w:val="0"/>
        <w:dstrike w:val="0"/>
        <w:vanish w:val="0"/>
        <w:color w:val="000000"/>
        <w:sz w:val="20"/>
        <w:vertAlign w:val="baseline"/>
      </w:rPr>
    </w:lvl>
    <w:lvl w:ilvl="2" w:tplc="FFFFFFFF">
      <w:start w:val="1"/>
      <w:numFmt w:val="lowerRoman"/>
      <w:lvlText w:val="%3."/>
      <w:lvlJc w:val="right"/>
      <w:pPr>
        <w:tabs>
          <w:tab w:val="num" w:pos="3374"/>
        </w:tabs>
        <w:ind w:left="3374" w:hanging="180"/>
      </w:pPr>
      <w:rPr>
        <w:rFonts w:cs="Times New Roman"/>
      </w:rPr>
    </w:lvl>
    <w:lvl w:ilvl="3" w:tplc="FFFFFFFF">
      <w:start w:val="1"/>
      <w:numFmt w:val="decimal"/>
      <w:lvlText w:val="%4."/>
      <w:lvlJc w:val="left"/>
      <w:pPr>
        <w:tabs>
          <w:tab w:val="num" w:pos="4094"/>
        </w:tabs>
        <w:ind w:left="4094" w:hanging="360"/>
      </w:pPr>
      <w:rPr>
        <w:rFonts w:cs="Times New Roman"/>
      </w:rPr>
    </w:lvl>
    <w:lvl w:ilvl="4" w:tplc="FFFFFFFF">
      <w:start w:val="1"/>
      <w:numFmt w:val="lowerLetter"/>
      <w:lvlText w:val="%5."/>
      <w:lvlJc w:val="left"/>
      <w:pPr>
        <w:tabs>
          <w:tab w:val="num" w:pos="4814"/>
        </w:tabs>
        <w:ind w:left="4814" w:hanging="360"/>
      </w:pPr>
      <w:rPr>
        <w:rFonts w:cs="Times New Roman"/>
      </w:rPr>
    </w:lvl>
    <w:lvl w:ilvl="5" w:tplc="FFFFFFFF" w:tentative="1">
      <w:start w:val="1"/>
      <w:numFmt w:val="lowerRoman"/>
      <w:lvlText w:val="%6."/>
      <w:lvlJc w:val="right"/>
      <w:pPr>
        <w:tabs>
          <w:tab w:val="num" w:pos="5534"/>
        </w:tabs>
        <w:ind w:left="5534" w:hanging="180"/>
      </w:pPr>
      <w:rPr>
        <w:rFonts w:cs="Times New Roman"/>
      </w:rPr>
    </w:lvl>
    <w:lvl w:ilvl="6" w:tplc="FFFFFFFF" w:tentative="1">
      <w:start w:val="1"/>
      <w:numFmt w:val="decimal"/>
      <w:lvlText w:val="%7."/>
      <w:lvlJc w:val="left"/>
      <w:pPr>
        <w:tabs>
          <w:tab w:val="num" w:pos="6254"/>
        </w:tabs>
        <w:ind w:left="6254" w:hanging="360"/>
      </w:pPr>
      <w:rPr>
        <w:rFonts w:cs="Times New Roman"/>
      </w:rPr>
    </w:lvl>
    <w:lvl w:ilvl="7" w:tplc="FFFFFFFF" w:tentative="1">
      <w:start w:val="1"/>
      <w:numFmt w:val="lowerLetter"/>
      <w:lvlText w:val="%8."/>
      <w:lvlJc w:val="left"/>
      <w:pPr>
        <w:tabs>
          <w:tab w:val="num" w:pos="6974"/>
        </w:tabs>
        <w:ind w:left="6974" w:hanging="360"/>
      </w:pPr>
      <w:rPr>
        <w:rFonts w:cs="Times New Roman"/>
      </w:rPr>
    </w:lvl>
    <w:lvl w:ilvl="8" w:tplc="FFFFFFFF" w:tentative="1">
      <w:start w:val="1"/>
      <w:numFmt w:val="lowerRoman"/>
      <w:lvlText w:val="%9."/>
      <w:lvlJc w:val="right"/>
      <w:pPr>
        <w:tabs>
          <w:tab w:val="num" w:pos="7694"/>
        </w:tabs>
        <w:ind w:left="7694" w:hanging="180"/>
      </w:pPr>
      <w:rPr>
        <w:rFonts w:cs="Times New Roman"/>
      </w:rPr>
    </w:lvl>
  </w:abstractNum>
  <w:abstractNum w:abstractNumId="1" w15:restartNumberingAfterBreak="0">
    <w:nsid w:val="1B746A4D"/>
    <w:multiLevelType w:val="hybridMultilevel"/>
    <w:tmpl w:val="D1762344"/>
    <w:lvl w:ilvl="0" w:tplc="4BC8A4B8">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E02F0"/>
    <w:multiLevelType w:val="hybridMultilevel"/>
    <w:tmpl w:val="DB723F7A"/>
    <w:lvl w:ilvl="0" w:tplc="0409000F">
      <w:start w:val="1"/>
      <w:numFmt w:val="decimal"/>
      <w:lvlText w:val="%1."/>
      <w:lvlJc w:val="left"/>
      <w:pPr>
        <w:tabs>
          <w:tab w:val="num" w:pos="3215"/>
        </w:tabs>
        <w:ind w:left="3215" w:hanging="360"/>
      </w:p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3" w15:restartNumberingAfterBreak="0">
    <w:nsid w:val="4BFD5D50"/>
    <w:multiLevelType w:val="hybridMultilevel"/>
    <w:tmpl w:val="D1762344"/>
    <w:lvl w:ilvl="0" w:tplc="4BC8A4B8">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66A9D"/>
    <w:multiLevelType w:val="multilevel"/>
    <w:tmpl w:val="ED4C0FA0"/>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94336FF"/>
    <w:multiLevelType w:val="hybridMultilevel"/>
    <w:tmpl w:val="DA8E18EA"/>
    <w:lvl w:ilvl="0" w:tplc="4BC8A4B8">
      <w:start w:val="1"/>
      <w:numFmt w:val="lowerLetter"/>
      <w:lvlText w:val="(%1)"/>
      <w:lvlJc w:val="left"/>
      <w:pPr>
        <w:ind w:left="720" w:hanging="360"/>
      </w:pPr>
      <w:rPr>
        <w:rFonts w:ascii="Times New Roman" w:eastAsiaTheme="minorEastAsia" w:hAnsi="Times New Roman"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C11C1"/>
    <w:multiLevelType w:val="hybridMultilevel"/>
    <w:tmpl w:val="57F00248"/>
    <w:lvl w:ilvl="0" w:tplc="E9DC57A4">
      <w:start w:val="1"/>
      <w:numFmt w:val="decimal"/>
      <w:lvlText w:val="%1."/>
      <w:lvlJc w:val="left"/>
      <w:pPr>
        <w:tabs>
          <w:tab w:val="num" w:pos="3215"/>
        </w:tabs>
        <w:ind w:left="3215" w:hanging="360"/>
      </w:pPr>
      <w:rPr>
        <w:b w:val="0"/>
        <w:sz w:val="20"/>
        <w:szCs w:val="20"/>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4"/>
  </w:num>
  <w:num w:numId="2">
    <w:abstractNumId w:val="0"/>
    <w:lvlOverride w:ilvl="1">
      <w:lvl w:ilvl="1" w:tplc="6586368C">
        <w:start w:val="1"/>
        <w:numFmt w:val="lowerLetter"/>
        <w:lvlText w:val="%2)"/>
        <w:lvlJc w:val="left"/>
        <w:pPr>
          <w:tabs>
            <w:tab w:val="num" w:pos="2654"/>
          </w:tabs>
          <w:ind w:left="2654" w:hanging="360"/>
        </w:pPr>
        <w:rPr>
          <w:rFonts w:ascii="Times New Roman" w:hAnsi="Times New Roman" w:cs="Arial" w:hint="default"/>
          <w:b w:val="0"/>
          <w:i w:val="0"/>
          <w:caps w:val="0"/>
          <w:strike w:val="0"/>
          <w:dstrike w:val="0"/>
          <w:vanish w:val="0"/>
          <w:color w:val="000000"/>
          <w:sz w:val="20"/>
          <w:vertAlign w:val="baseline"/>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3">
      <w:lvl w:ilvl="3" w:tplc="0409000F">
        <w:start w:val="1"/>
        <w:numFmt w:val="decimal"/>
        <w:lvlText w:val="%4."/>
        <w:lvlJc w:val="left"/>
        <w:pPr>
          <w:tabs>
            <w:tab w:val="num" w:pos="5375"/>
          </w:tabs>
          <w:ind w:left="5375" w:hanging="360"/>
        </w:pPr>
      </w:lvl>
    </w:lvlOverride>
  </w:num>
  <w:num w:numId="5">
    <w:abstractNumId w:val="1"/>
    <w:lvlOverride w:ilvl="0">
      <w:lvl w:ilvl="0" w:tplc="4BC8A4B8">
        <w:start w:val="1"/>
        <w:numFmt w:val="lowerLetter"/>
        <w:lvlText w:val="%1)"/>
        <w:lvlJc w:val="left"/>
        <w:pPr>
          <w:ind w:left="720" w:hanging="360"/>
        </w:pPr>
        <w:rPr>
          <w:rFonts w:ascii="Times New Roman" w:eastAsiaTheme="minorEastAsia" w:hAnsi="Times New Roman" w:cstheme="minorBidi"/>
        </w:rPr>
      </w:lvl>
    </w:lvlOverride>
  </w:num>
  <w:num w:numId="6">
    <w:abstractNumId w:val="6"/>
    <w:lvlOverride w:ilvl="0">
      <w:lvl w:ilvl="0" w:tplc="E9DC57A4">
        <w:start w:val="1"/>
        <w:numFmt w:val="decimal"/>
        <w:lvlText w:val="%1."/>
        <w:lvlJc w:val="left"/>
        <w:pPr>
          <w:tabs>
            <w:tab w:val="num" w:pos="3215"/>
          </w:tabs>
          <w:ind w:left="3215" w:hanging="360"/>
        </w:pPr>
        <w:rPr>
          <w:b w:val="0"/>
          <w:sz w:val="20"/>
          <w:szCs w:val="20"/>
        </w:rPr>
      </w:lvl>
    </w:lvlOverride>
  </w:num>
  <w:num w:numId="7">
    <w:abstractNumId w:val="5"/>
    <w:lvlOverride w:ilvl="0">
      <w:lvl w:ilvl="0" w:tplc="4BC8A4B8">
        <w:start w:val="1"/>
        <w:numFmt w:val="lowerLetter"/>
        <w:lvlText w:val="%1)"/>
        <w:lvlJc w:val="left"/>
        <w:pPr>
          <w:ind w:left="720" w:hanging="360"/>
        </w:pPr>
        <w:rPr>
          <w:rFonts w:ascii="Times New Roman" w:eastAsiaTheme="minorEastAsia" w:hAnsi="Times New Roman" w:cstheme="minorBidi"/>
        </w:rPr>
      </w:lvl>
    </w:lvlOverride>
  </w:num>
  <w:num w:numId="8">
    <w:abstractNumId w:val="3"/>
    <w:lvlOverride w:ilvl="0">
      <w:lvl w:ilvl="0" w:tplc="4BC8A4B8">
        <w:start w:val="1"/>
        <w:numFmt w:val="lowerLetter"/>
        <w:lvlText w:val="%1)"/>
        <w:lvlJc w:val="left"/>
        <w:pPr>
          <w:ind w:left="720" w:hanging="360"/>
        </w:pPr>
        <w:rPr>
          <w:rFonts w:ascii="Times New Roman" w:eastAsiaTheme="minorEastAsia" w:hAnsi="Times New Roman" w:cstheme="minorBid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33"/>
    <w:rsid w:val="0006513D"/>
    <w:rsid w:val="00663CDD"/>
    <w:rsid w:val="00C87AFE"/>
    <w:rsid w:val="00F935A6"/>
    <w:rsid w:val="00FA6F08"/>
    <w:rsid w:val="00FC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E2A5"/>
  <w15:chartTrackingRefBased/>
  <w15:docId w15:val="{2181F3B5-EFB0-4F1C-A646-E0C7365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AF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FC2833"/>
    <w:pPr>
      <w:keepNext/>
      <w:keepLines/>
      <w:tabs>
        <w:tab w:val="right" w:pos="851"/>
        <w:tab w:val="left" w:pos="4082"/>
      </w:tabs>
      <w:suppressAutoHyphens/>
      <w:spacing w:before="240" w:after="120"/>
      <w:ind w:left="1247" w:right="284" w:hanging="1247"/>
    </w:pPr>
    <w:rPr>
      <w:b/>
      <w:sz w:val="28"/>
      <w:szCs w:val="28"/>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Text"/>
    <w:basedOn w:val="DefaultParagraphFont"/>
    <w:link w:val="BVIfnrCharCharCharChar"/>
    <w:uiPriority w:val="99"/>
    <w:qFormat/>
    <w:rsid w:val="00FC2833"/>
    <w:rPr>
      <w:rFonts w:ascii="Times New Roman" w:hAnsi="Times New Roman"/>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Ch"/>
    <w:basedOn w:val="Normal"/>
    <w:link w:val="FootnoteTextChar"/>
    <w:uiPriority w:val="99"/>
    <w:qFormat/>
    <w:rsid w:val="00FC2833"/>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basedOn w:val="DefaultParagraphFont"/>
    <w:link w:val="FootnoteText"/>
    <w:uiPriority w:val="99"/>
    <w:rsid w:val="00FC2833"/>
    <w:rPr>
      <w:rFonts w:ascii="Times New Roman" w:eastAsia="Times New Roman" w:hAnsi="Times New Roman" w:cs="Times New Roman"/>
      <w:sz w:val="18"/>
      <w:szCs w:val="20"/>
      <w:lang w:val="fr-FR" w:eastAsia="en-US"/>
    </w:rPr>
  </w:style>
  <w:style w:type="character" w:customStyle="1" w:styleId="NormalnumberChar">
    <w:name w:val="Normal_number Char"/>
    <w:link w:val="Normalnumber"/>
    <w:rsid w:val="00FC2833"/>
    <w:rPr>
      <w:lang w:eastAsia="en-US"/>
    </w:rPr>
  </w:style>
  <w:style w:type="numbering" w:customStyle="1" w:styleId="Normallist">
    <w:name w:val="Normal_list"/>
    <w:basedOn w:val="NoList"/>
    <w:rsid w:val="00FC2833"/>
    <w:pPr>
      <w:numPr>
        <w:numId w:val="1"/>
      </w:numPr>
    </w:pPr>
  </w:style>
  <w:style w:type="paragraph" w:customStyle="1" w:styleId="NormalNonumber">
    <w:name w:val="Normal_No_number"/>
    <w:basedOn w:val="Normal"/>
    <w:link w:val="NormalNonumberChar"/>
    <w:qFormat/>
    <w:rsid w:val="00FC2833"/>
    <w:pPr>
      <w:tabs>
        <w:tab w:val="left" w:pos="4082"/>
      </w:tabs>
      <w:spacing w:after="120"/>
      <w:ind w:left="1247"/>
    </w:pPr>
    <w:rPr>
      <w:lang w:val="en-GB"/>
    </w:rPr>
  </w:style>
  <w:style w:type="paragraph" w:customStyle="1" w:styleId="Normalnumber">
    <w:name w:val="Normal_number"/>
    <w:basedOn w:val="Normal"/>
    <w:link w:val="NormalnumberChar"/>
    <w:qFormat/>
    <w:rsid w:val="00FC2833"/>
    <w:pPr>
      <w:tabs>
        <w:tab w:val="left" w:pos="624"/>
      </w:tabs>
      <w:spacing w:after="120"/>
    </w:pPr>
  </w:style>
  <w:style w:type="character" w:customStyle="1" w:styleId="NormalNonumberChar">
    <w:name w:val="Normal_No_number Char"/>
    <w:link w:val="NormalNonumber"/>
    <w:locked/>
    <w:rsid w:val="00FC2833"/>
    <w:rPr>
      <w:rFonts w:ascii="Times New Roman" w:eastAsia="Times New Roman" w:hAnsi="Times New Roman" w:cs="Times New Roman"/>
      <w:sz w:val="20"/>
      <w:szCs w:val="20"/>
      <w:lang w:val="en-GB" w:eastAsia="en-US"/>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uiPriority w:val="99"/>
    <w:rsid w:val="00FC2833"/>
    <w:pPr>
      <w:spacing w:before="120" w:line="240" w:lineRule="exact"/>
    </w:pPr>
    <w:rPr>
      <w:szCs w:val="18"/>
      <w:vertAlign w:val="superscript"/>
    </w:rPr>
  </w:style>
  <w:style w:type="paragraph" w:customStyle="1" w:styleId="Normalpool">
    <w:name w:val="Normal_pool"/>
    <w:link w:val="NormalpoolChar"/>
    <w:rsid w:val="000651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Normal-pool">
    <w:name w:val="Normal-pool"/>
    <w:link w:val="Normal-poolChar"/>
    <w:qFormat/>
    <w:rsid w:val="000651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06513D"/>
    <w:rPr>
      <w:rFonts w:ascii="Times New Roman" w:eastAsia="Times New Roman" w:hAnsi="Times New Roman" w:cs="Times New Roman"/>
      <w:sz w:val="20"/>
      <w:szCs w:val="20"/>
      <w:lang w:val="en-GB" w:eastAsia="en-US"/>
    </w:rPr>
  </w:style>
  <w:style w:type="character" w:customStyle="1" w:styleId="NormalpoolChar">
    <w:name w:val="Normal_pool Char"/>
    <w:link w:val="Normalpool"/>
    <w:rsid w:val="0006513D"/>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2020-02-01T17:09:00Z</dcterms:created>
  <dcterms:modified xsi:type="dcterms:W3CDTF">2020-02-01T17:09:00Z</dcterms:modified>
</cp:coreProperties>
</file>