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20EB" w14:textId="77777777" w:rsidR="00633344" w:rsidRPr="000E52B3" w:rsidRDefault="00633344" w:rsidP="00633344">
      <w:pPr>
        <w:tabs>
          <w:tab w:val="left" w:pos="2409"/>
        </w:tabs>
        <w:spacing w:after="120" w:line="400" w:lineRule="exact"/>
        <w:ind w:left="1128"/>
        <w:jc w:val="both"/>
        <w:rPr>
          <w:rFonts w:ascii="Traditional Arabic" w:hAnsi="Traditional Arabic" w:cs="Traditional Arabic"/>
          <w:b/>
          <w:bCs/>
          <w:sz w:val="32"/>
          <w:szCs w:val="32"/>
          <w:lang w:val="en-GB" w:eastAsia="zh-TW"/>
        </w:rPr>
      </w:pPr>
      <w:r w:rsidRPr="000E52B3">
        <w:rPr>
          <w:rFonts w:ascii="Traditional Arabic" w:hAnsi="Traditional Arabic" w:cs="Traditional Arabic"/>
          <w:b/>
          <w:bCs/>
          <w:sz w:val="32"/>
          <w:szCs w:val="32"/>
          <w:rtl/>
          <w:lang w:val="en-GB" w:eastAsia="zh-TW"/>
        </w:rPr>
        <w:t>ا ب-</w:t>
      </w:r>
      <w:r>
        <w:rPr>
          <w:rFonts w:ascii="Traditional Arabic" w:hAnsi="Traditional Arabic" w:cs="Traditional Arabic"/>
          <w:b/>
          <w:bCs/>
          <w:sz w:val="32"/>
          <w:szCs w:val="32"/>
          <w:rtl/>
          <w:lang w:val="en-GB" w:eastAsia="zh-TW"/>
        </w:rPr>
        <w:t>14</w:t>
      </w:r>
      <w:r w:rsidRPr="000E52B3">
        <w:rPr>
          <w:rFonts w:ascii="Traditional Arabic" w:hAnsi="Traditional Arabic" w:cs="Traditional Arabic"/>
          <w:b/>
          <w:bCs/>
          <w:sz w:val="32"/>
          <w:szCs w:val="32"/>
          <w:rtl/>
          <w:lang w:val="en-GB" w:eastAsia="zh-TW"/>
        </w:rPr>
        <w:t>/3:</w:t>
      </w:r>
      <w:r w:rsidRPr="000E52B3">
        <w:rPr>
          <w:rFonts w:ascii="Traditional Arabic" w:hAnsi="Traditional Arabic" w:cs="Traditional Arabic"/>
          <w:b/>
          <w:bCs/>
          <w:sz w:val="32"/>
          <w:szCs w:val="32"/>
          <w:rtl/>
          <w:lang w:val="en-GB" w:eastAsia="zh-TW"/>
        </w:rPr>
        <w:tab/>
      </w:r>
      <w:r w:rsidRPr="00930107">
        <w:rPr>
          <w:rFonts w:ascii="Traditional Arabic" w:hAnsi="Traditional Arabic" w:cs="Traditional Arabic"/>
          <w:b/>
          <w:bCs/>
          <w:sz w:val="32"/>
          <w:szCs w:val="32"/>
          <w:rtl/>
          <w:lang w:eastAsia="zh-TW"/>
        </w:rPr>
        <w:t>وضع مبادئ توجيهية للإدارة السليمة بيئياً</w:t>
      </w:r>
    </w:p>
    <w:p w14:paraId="38BE7E1C" w14:textId="77777777" w:rsidR="00633344" w:rsidRPr="003752D5" w:rsidRDefault="00633344" w:rsidP="00633344">
      <w:pPr>
        <w:tabs>
          <w:tab w:val="left" w:pos="2267"/>
        </w:tabs>
        <w:spacing w:after="120" w:line="400" w:lineRule="exact"/>
        <w:ind w:left="1133" w:firstLine="709"/>
        <w:jc w:val="both"/>
        <w:rPr>
          <w:rFonts w:cs="Traditional Arabic"/>
          <w:sz w:val="20"/>
          <w:szCs w:val="30"/>
          <w:rtl/>
          <w:lang w:val="en-GB"/>
        </w:rPr>
      </w:pPr>
      <w:r w:rsidRPr="002C21B5">
        <w:rPr>
          <w:rFonts w:cs="Traditional Arabic"/>
          <w:i/>
          <w:iCs/>
          <w:sz w:val="20"/>
          <w:szCs w:val="30"/>
          <w:rtl/>
        </w:rPr>
        <w:t xml:space="preserve">إن </w:t>
      </w:r>
      <w:r>
        <w:rPr>
          <w:rFonts w:cs="Traditional Arabic"/>
          <w:i/>
          <w:iCs/>
          <w:sz w:val="20"/>
          <w:szCs w:val="30"/>
          <w:rtl/>
        </w:rPr>
        <w:t>مؤتمر الأطراف</w:t>
      </w:r>
      <w:r>
        <w:rPr>
          <w:rFonts w:cs="Traditional Arabic"/>
          <w:i/>
          <w:iCs/>
          <w:sz w:val="20"/>
          <w:szCs w:val="30"/>
          <w:rtl/>
          <w:lang w:val="en-GB"/>
        </w:rPr>
        <w:t>،</w:t>
      </w:r>
    </w:p>
    <w:p w14:paraId="7EF8CE7C" w14:textId="77777777" w:rsidR="00633344" w:rsidRPr="00930107" w:rsidRDefault="00633344" w:rsidP="00633344">
      <w:pPr>
        <w:numPr>
          <w:ilvl w:val="0"/>
          <w:numId w:val="2"/>
        </w:numPr>
        <w:tabs>
          <w:tab w:val="clear" w:pos="567"/>
          <w:tab w:val="left" w:pos="2409"/>
        </w:tabs>
        <w:spacing w:after="120" w:line="400" w:lineRule="exact"/>
        <w:ind w:left="1133" w:firstLine="709"/>
        <w:jc w:val="both"/>
        <w:textDirection w:val="tbRlV"/>
        <w:rPr>
          <w:rFonts w:eastAsia="Calibri" w:cs="Traditional Arabic"/>
          <w:sz w:val="20"/>
          <w:szCs w:val="30"/>
          <w:rtl/>
          <w:lang w:val="x-none" w:eastAsia="zh-TW"/>
        </w:rPr>
      </w:pPr>
      <w:r w:rsidRPr="00930107">
        <w:rPr>
          <w:rFonts w:cs="Traditional Arabic"/>
          <w:i/>
          <w:iCs/>
          <w:sz w:val="20"/>
          <w:szCs w:val="30"/>
          <w:rtl/>
          <w:lang w:val="x-none" w:eastAsia="zh-TW"/>
        </w:rPr>
        <w:t>يرحب</w:t>
      </w:r>
      <w:r w:rsidRPr="00930107">
        <w:rPr>
          <w:rFonts w:cs="Traditional Arabic"/>
          <w:sz w:val="20"/>
          <w:szCs w:val="30"/>
          <w:rtl/>
          <w:lang w:val="x-none" w:eastAsia="zh-TW"/>
        </w:rPr>
        <w:t xml:space="preserve"> بالعمل الذي قام به فريق الخبراء العامل المعني بالإدارة السليمة بيئياً ويحيط علماً بالتقرير عن الأنشطة التي اضطلع بها الفريق</w:t>
      </w:r>
      <w:r w:rsidRPr="00930107">
        <w:rPr>
          <w:rFonts w:cs="Traditional Arabic"/>
          <w:sz w:val="20"/>
          <w:szCs w:val="30"/>
          <w:vertAlign w:val="superscript"/>
          <w:rtl/>
          <w:lang w:val="x-none" w:eastAsia="zh-TW"/>
        </w:rPr>
        <w:t>(</w:t>
      </w:r>
      <w:r w:rsidRPr="00930107">
        <w:rPr>
          <w:rFonts w:eastAsia="Calibri" w:cs="Traditional Arabic"/>
          <w:sz w:val="20"/>
          <w:szCs w:val="30"/>
          <w:vertAlign w:val="superscript"/>
          <w:rtl/>
          <w:lang w:val="x-none" w:eastAsia="zh-TW"/>
        </w:rPr>
        <w:footnoteReference w:id="1"/>
      </w:r>
      <w:r w:rsidRPr="00930107">
        <w:rPr>
          <w:rFonts w:cs="Traditional Arabic"/>
          <w:sz w:val="20"/>
          <w:szCs w:val="30"/>
          <w:vertAlign w:val="superscript"/>
          <w:rtl/>
          <w:lang w:val="x-none" w:eastAsia="zh-TW"/>
        </w:rPr>
        <w:t>)</w:t>
      </w:r>
      <w:r w:rsidRPr="00930107">
        <w:rPr>
          <w:rFonts w:cs="Traditional Arabic"/>
          <w:sz w:val="20"/>
          <w:szCs w:val="30"/>
          <w:rtl/>
          <w:lang w:val="x-none" w:eastAsia="zh-TW"/>
        </w:rPr>
        <w:t>؛</w:t>
      </w:r>
    </w:p>
    <w:p w14:paraId="2A1674D7"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cs="Traditional Arabic"/>
          <w:sz w:val="20"/>
          <w:szCs w:val="30"/>
          <w:lang w:val="x-none" w:eastAsia="zh-TW"/>
        </w:rPr>
      </w:pPr>
      <w:r w:rsidRPr="00930107">
        <w:rPr>
          <w:rFonts w:cs="Traditional Arabic"/>
          <w:i/>
          <w:iCs/>
          <w:sz w:val="20"/>
          <w:szCs w:val="30"/>
          <w:rtl/>
          <w:lang w:val="x-none" w:eastAsia="zh-TW"/>
        </w:rPr>
        <w:t>يعتمد</w:t>
      </w:r>
      <w:r w:rsidRPr="00930107">
        <w:rPr>
          <w:rFonts w:cs="Traditional Arabic"/>
          <w:sz w:val="20"/>
          <w:szCs w:val="30"/>
          <w:rtl/>
          <w:lang w:val="x-none" w:eastAsia="zh-TW"/>
        </w:rPr>
        <w:t xml:space="preserve"> الدليلين العمليين بشأن المسؤولية </w:t>
      </w:r>
      <w:r>
        <w:rPr>
          <w:rFonts w:cs="Traditional Arabic"/>
          <w:sz w:val="20"/>
          <w:szCs w:val="30"/>
          <w:rtl/>
          <w:lang w:val="x-none" w:eastAsia="zh-TW"/>
        </w:rPr>
        <w:t>الممتدة</w:t>
      </w:r>
      <w:r w:rsidRPr="00930107">
        <w:rPr>
          <w:rFonts w:cs="Traditional Arabic"/>
          <w:sz w:val="20"/>
          <w:szCs w:val="30"/>
          <w:rtl/>
          <w:lang w:val="x-none" w:eastAsia="zh-TW"/>
        </w:rPr>
        <w:t xml:space="preserve"> للمنتج ونظم تمويل الإدارة السليمة بيئياً</w:t>
      </w:r>
      <w:r w:rsidRPr="00930107">
        <w:rPr>
          <w:rFonts w:cs="Traditional Arabic"/>
          <w:sz w:val="20"/>
          <w:szCs w:val="30"/>
          <w:vertAlign w:val="superscript"/>
          <w:rtl/>
          <w:lang w:val="x-none" w:eastAsia="zh-TW"/>
        </w:rPr>
        <w:t>(</w:t>
      </w:r>
      <w:r w:rsidRPr="00930107">
        <w:rPr>
          <w:rFonts w:cs="Traditional Arabic"/>
          <w:sz w:val="20"/>
          <w:szCs w:val="30"/>
          <w:vertAlign w:val="superscript"/>
          <w:rtl/>
          <w:lang w:val="x-none" w:eastAsia="zh-TW"/>
        </w:rPr>
        <w:footnoteReference w:id="2"/>
      </w:r>
      <w:r w:rsidRPr="00930107">
        <w:rPr>
          <w:rFonts w:cs="Traditional Arabic"/>
          <w:sz w:val="20"/>
          <w:szCs w:val="30"/>
          <w:vertAlign w:val="superscript"/>
          <w:rtl/>
          <w:lang w:val="x-none" w:eastAsia="zh-TW"/>
        </w:rPr>
        <w:t>)</w:t>
      </w:r>
      <w:r w:rsidRPr="00930107">
        <w:rPr>
          <w:rFonts w:cs="Traditional Arabic"/>
          <w:sz w:val="20"/>
          <w:szCs w:val="30"/>
          <w:rtl/>
          <w:lang w:val="x-none" w:eastAsia="zh-TW"/>
        </w:rPr>
        <w:t>، وتوجيهات مساعدة الأطراف في وضع استراتيجيات فعالة من أجل تحقيق إعادة تدوير النفايات الخطرة وغيرها من النفايات واستعادتها</w:t>
      </w:r>
      <w:r w:rsidRPr="00930107">
        <w:rPr>
          <w:rFonts w:cs="Traditional Arabic"/>
          <w:sz w:val="20"/>
          <w:szCs w:val="30"/>
          <w:vertAlign w:val="superscript"/>
          <w:rtl/>
          <w:lang w:val="x-none" w:eastAsia="zh-TW"/>
        </w:rPr>
        <w:t>(</w:t>
      </w:r>
      <w:r w:rsidRPr="00930107">
        <w:rPr>
          <w:rFonts w:cs="Traditional Arabic"/>
          <w:sz w:val="20"/>
          <w:szCs w:val="30"/>
          <w:vertAlign w:val="superscript"/>
          <w:rtl/>
          <w:lang w:val="x-none" w:eastAsia="zh-TW"/>
        </w:rPr>
        <w:footnoteReference w:id="3"/>
      </w:r>
      <w:r w:rsidRPr="00930107">
        <w:rPr>
          <w:rFonts w:cs="Traditional Arabic"/>
          <w:sz w:val="20"/>
          <w:szCs w:val="30"/>
          <w:vertAlign w:val="superscript"/>
          <w:rtl/>
          <w:lang w:val="x-none" w:eastAsia="zh-TW"/>
        </w:rPr>
        <w:t>)</w:t>
      </w:r>
      <w:r w:rsidRPr="00930107">
        <w:rPr>
          <w:rFonts w:cs="Traditional Arabic"/>
          <w:sz w:val="20"/>
          <w:szCs w:val="30"/>
          <w:rtl/>
          <w:lang w:val="x-none" w:eastAsia="zh-TW"/>
        </w:rPr>
        <w:t>، والتوجيهات بشأن كيفية معالجة الإدارة السليمة بيئياً في القطاع غير الرسمي</w:t>
      </w:r>
      <w:r w:rsidRPr="00930107">
        <w:rPr>
          <w:rFonts w:cs="Traditional Arabic"/>
          <w:sz w:val="20"/>
          <w:szCs w:val="30"/>
          <w:vertAlign w:val="superscript"/>
          <w:rtl/>
          <w:lang w:val="x-none" w:eastAsia="zh-TW"/>
        </w:rPr>
        <w:t>(</w:t>
      </w:r>
      <w:r w:rsidRPr="00930107">
        <w:rPr>
          <w:rFonts w:cs="Traditional Arabic"/>
          <w:sz w:val="20"/>
          <w:szCs w:val="30"/>
          <w:vertAlign w:val="superscript"/>
          <w:rtl/>
          <w:lang w:val="x-none" w:eastAsia="zh-TW"/>
        </w:rPr>
        <w:footnoteReference w:id="4"/>
      </w:r>
      <w:r w:rsidRPr="00930107">
        <w:rPr>
          <w:rFonts w:cs="Traditional Arabic"/>
          <w:sz w:val="20"/>
          <w:szCs w:val="30"/>
          <w:vertAlign w:val="superscript"/>
          <w:rtl/>
          <w:lang w:val="x-none" w:eastAsia="zh-TW"/>
        </w:rPr>
        <w:t>)</w:t>
      </w:r>
      <w:r w:rsidRPr="00930107">
        <w:rPr>
          <w:rFonts w:cs="Traditional Arabic"/>
          <w:sz w:val="20"/>
          <w:szCs w:val="30"/>
          <w:rtl/>
          <w:lang w:val="x-none" w:eastAsia="zh-TW"/>
        </w:rPr>
        <w:t>؛</w:t>
      </w:r>
    </w:p>
    <w:p w14:paraId="3A8D3772"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cs="Traditional Arabic"/>
          <w:sz w:val="20"/>
          <w:szCs w:val="30"/>
          <w:lang w:val="x-none" w:eastAsia="zh-TW"/>
        </w:rPr>
      </w:pPr>
      <w:r w:rsidRPr="00930107">
        <w:rPr>
          <w:rFonts w:cs="Traditional Arabic"/>
          <w:i/>
          <w:iCs/>
          <w:sz w:val="20"/>
          <w:szCs w:val="30"/>
          <w:rtl/>
          <w:lang w:val="x-none" w:eastAsia="zh-TW"/>
        </w:rPr>
        <w:t>يطلب</w:t>
      </w:r>
      <w:r w:rsidRPr="00930107">
        <w:rPr>
          <w:rFonts w:cs="Traditional Arabic"/>
          <w:sz w:val="20"/>
          <w:szCs w:val="30"/>
          <w:rtl/>
          <w:lang w:val="x-none" w:eastAsia="zh-TW"/>
        </w:rPr>
        <w:t xml:space="preserve"> إلى الأمانة أن تدمج الدليلين العمليين المشار إليهما في الفقرة ٢ من هذا المقرر في مجموعة أدوات الإدارة السليمة بيئياً؛</w:t>
      </w:r>
    </w:p>
    <w:p w14:paraId="5694D400"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cs="Traditional Arabic"/>
          <w:sz w:val="20"/>
          <w:szCs w:val="30"/>
          <w:rtl/>
          <w:lang w:val="x-none" w:eastAsia="zh-TW"/>
        </w:rPr>
      </w:pPr>
      <w:r w:rsidRPr="00930107">
        <w:rPr>
          <w:rFonts w:cs="Traditional Arabic"/>
          <w:i/>
          <w:iCs/>
          <w:sz w:val="20"/>
          <w:szCs w:val="30"/>
          <w:rtl/>
          <w:lang w:val="x-none" w:eastAsia="zh-TW"/>
        </w:rPr>
        <w:t>يرحب</w:t>
      </w:r>
      <w:r w:rsidRPr="00930107">
        <w:rPr>
          <w:rFonts w:cs="Traditional Arabic"/>
          <w:sz w:val="20"/>
          <w:szCs w:val="30"/>
          <w:rtl/>
          <w:lang w:val="x-none" w:eastAsia="zh-TW"/>
        </w:rPr>
        <w:t xml:space="preserve"> بالدليل العملي المنقح للجهات صاحبة المصلحة لضمان استيفاء الإخطارات بالنقل عبر الحدود لمتطلبات الإدارة السليمة بيئياً</w:t>
      </w:r>
      <w:r w:rsidRPr="00930107">
        <w:rPr>
          <w:rFonts w:cs="Traditional Arabic"/>
          <w:sz w:val="20"/>
          <w:szCs w:val="30"/>
          <w:vertAlign w:val="superscript"/>
          <w:rtl/>
          <w:lang w:val="x-none" w:eastAsia="zh-TW"/>
        </w:rPr>
        <w:t>(</w:t>
      </w:r>
      <w:r w:rsidRPr="00930107">
        <w:rPr>
          <w:rFonts w:cs="Traditional Arabic"/>
          <w:sz w:val="20"/>
          <w:szCs w:val="30"/>
          <w:vertAlign w:val="superscript"/>
          <w:rtl/>
          <w:lang w:val="x-none" w:eastAsia="zh-TW"/>
        </w:rPr>
        <w:footnoteReference w:id="5"/>
      </w:r>
      <w:r w:rsidRPr="00930107">
        <w:rPr>
          <w:rFonts w:cs="Traditional Arabic"/>
          <w:sz w:val="20"/>
          <w:szCs w:val="30"/>
          <w:vertAlign w:val="superscript"/>
          <w:rtl/>
          <w:lang w:val="x-none" w:eastAsia="zh-TW"/>
        </w:rPr>
        <w:t>)</w:t>
      </w:r>
      <w:r w:rsidRPr="00930107">
        <w:rPr>
          <w:rFonts w:cs="Traditional Arabic"/>
          <w:sz w:val="20"/>
          <w:szCs w:val="30"/>
          <w:rtl/>
          <w:lang w:val="x-none" w:eastAsia="zh-TW"/>
        </w:rPr>
        <w:t>،</w:t>
      </w:r>
    </w:p>
    <w:p w14:paraId="2695D7B2"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cs="Traditional Arabic"/>
          <w:sz w:val="20"/>
          <w:szCs w:val="30"/>
          <w:rtl/>
          <w:lang w:val="x-none" w:eastAsia="zh-TW"/>
        </w:rPr>
      </w:pPr>
      <w:r w:rsidRPr="00930107">
        <w:rPr>
          <w:rFonts w:cs="Traditional Arabic"/>
          <w:i/>
          <w:iCs/>
          <w:sz w:val="20"/>
          <w:szCs w:val="30"/>
          <w:rtl/>
          <w:lang w:val="x-none" w:eastAsia="zh-TW"/>
        </w:rPr>
        <w:t>يشجع</w:t>
      </w:r>
      <w:r w:rsidRPr="00930107">
        <w:rPr>
          <w:rFonts w:cs="Traditional Arabic"/>
          <w:sz w:val="20"/>
          <w:szCs w:val="30"/>
          <w:rtl/>
          <w:lang w:val="x-none" w:eastAsia="zh-TW"/>
        </w:rPr>
        <w:t xml:space="preserve"> الأطراف والجهات الأخرى على نشر مجموعة أدوات الإدارة السليمة بيئياً واستخدامها؛</w:t>
      </w:r>
    </w:p>
    <w:p w14:paraId="5D809D61" w14:textId="77777777" w:rsidR="00633344" w:rsidRPr="00930107" w:rsidRDefault="00633344" w:rsidP="00633344">
      <w:pPr>
        <w:numPr>
          <w:ilvl w:val="0"/>
          <w:numId w:val="2"/>
        </w:numPr>
        <w:tabs>
          <w:tab w:val="left" w:pos="624"/>
          <w:tab w:val="left" w:pos="2409"/>
          <w:tab w:val="left" w:pos="2833"/>
          <w:tab w:val="left" w:pos="3515"/>
          <w:tab w:val="left" w:pos="4082"/>
        </w:tabs>
        <w:spacing w:after="120" w:line="400" w:lineRule="exact"/>
        <w:ind w:left="1133" w:firstLine="708"/>
        <w:jc w:val="both"/>
        <w:textDirection w:val="tbRlV"/>
        <w:rPr>
          <w:rFonts w:cs="Traditional Arabic"/>
          <w:sz w:val="20"/>
          <w:szCs w:val="30"/>
          <w:rtl/>
          <w:lang w:val="x-none" w:eastAsia="zh-TW"/>
        </w:rPr>
      </w:pPr>
      <w:r w:rsidRPr="00930107">
        <w:rPr>
          <w:rFonts w:cs="Traditional Arabic"/>
          <w:i/>
          <w:iCs/>
          <w:sz w:val="20"/>
          <w:szCs w:val="30"/>
          <w:rtl/>
          <w:lang w:val="x-none" w:eastAsia="zh-TW"/>
        </w:rPr>
        <w:t>يدعو</w:t>
      </w:r>
      <w:r w:rsidRPr="00930107">
        <w:rPr>
          <w:rFonts w:cs="Traditional Arabic"/>
          <w:sz w:val="20"/>
          <w:szCs w:val="30"/>
          <w:rtl/>
          <w:lang w:val="x-none" w:eastAsia="zh-TW"/>
        </w:rPr>
        <w:t xml:space="preserve"> الأطراف والجهات الأخرى إلى تزويد الأمانة بمعلومات عن الأنشطة المضطلع بها لكفالة الإدارة السليمة بيئياً للنفايات الخطرة والنفايات الأخرى، بما في ذلك التجارب ودراسات الحالات الإفرادية بشأن المسؤولية الممتدة للمنتج ونظم التمويل واستراتيجيات إعادة التدوير والاستعادة للنفايات الخطرة وغيرها من النفايات، وبشأن معالجة الإدارة السليمة بيئياً في القطاع غير الرسمي، ويطلب إلى الأمانة أن تتيح هذه المعلومات على الموقع الشبكي لاتفاقية بازل</w:t>
      </w:r>
      <w:r>
        <w:rPr>
          <w:rFonts w:cs="Traditional Arabic"/>
          <w:sz w:val="20"/>
          <w:szCs w:val="30"/>
          <w:rtl/>
          <w:lang w:val="x-none" w:eastAsia="zh-TW"/>
        </w:rPr>
        <w:t xml:space="preserve"> بشأن التحكم في نقل النفايات الخطرة والتخلص منها عبر الحدود</w:t>
      </w:r>
      <w:r w:rsidRPr="00930107">
        <w:rPr>
          <w:rFonts w:cs="Traditional Arabic"/>
          <w:sz w:val="20"/>
          <w:szCs w:val="30"/>
          <w:rtl/>
          <w:lang w:val="x-none" w:eastAsia="zh-TW"/>
        </w:rPr>
        <w:t>؛</w:t>
      </w:r>
    </w:p>
    <w:p w14:paraId="2A228AA6"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eastAsia="Calibri" w:cs="Traditional Arabic"/>
          <w:sz w:val="20"/>
          <w:szCs w:val="30"/>
          <w:lang w:val="x-none" w:eastAsia="zh-TW"/>
        </w:rPr>
      </w:pPr>
      <w:r w:rsidRPr="00930107">
        <w:rPr>
          <w:rFonts w:cs="Traditional Arabic"/>
          <w:i/>
          <w:iCs/>
          <w:sz w:val="20"/>
          <w:szCs w:val="30"/>
          <w:rtl/>
          <w:lang w:val="x-none" w:eastAsia="zh-TW"/>
        </w:rPr>
        <w:t>يطلب</w:t>
      </w:r>
      <w:r w:rsidRPr="00930107">
        <w:rPr>
          <w:rFonts w:cs="Traditional Arabic"/>
          <w:sz w:val="20"/>
          <w:szCs w:val="30"/>
          <w:rtl/>
          <w:lang w:val="x-none" w:eastAsia="zh-TW"/>
        </w:rPr>
        <w:t xml:space="preserve"> إلى الأمانة، رهناً بتوافر الموارد، أن تقوم بأنشطة لتعزيز ونشر مجموعة الأدوات في سياق الأنشطة المضطلع بها في برنامج عملها لفترة السنتين 2020-2021؛</w:t>
      </w:r>
    </w:p>
    <w:p w14:paraId="0A2DD82D"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eastAsia="Calibri" w:cs="Traditional Arabic"/>
          <w:sz w:val="20"/>
          <w:szCs w:val="30"/>
          <w:lang w:val="x-none" w:eastAsia="zh-TW"/>
        </w:rPr>
      </w:pPr>
      <w:r w:rsidRPr="00930107">
        <w:rPr>
          <w:rFonts w:eastAsia="Calibri" w:cs="Traditional Arabic"/>
          <w:i/>
          <w:iCs/>
          <w:sz w:val="20"/>
          <w:szCs w:val="30"/>
          <w:rtl/>
          <w:lang w:val="x-none" w:eastAsia="zh-TW"/>
        </w:rPr>
        <w:t>يدعو</w:t>
      </w:r>
      <w:r w:rsidRPr="00930107">
        <w:rPr>
          <w:rFonts w:eastAsia="Calibri" w:cs="Traditional Arabic"/>
          <w:sz w:val="20"/>
          <w:szCs w:val="30"/>
          <w:rtl/>
          <w:lang w:val="x-none" w:eastAsia="zh-TW"/>
        </w:rPr>
        <w:t xml:space="preserve"> الأطراف والجهات الأخرى إلى أن تقدم إلى الأمانة التعليقات على المشروع المنقح للدليل العملي المشار إليه في الفقرة 4 من هذا المقرر، وذلك بحلول 30 حزيران/يونيه 2019؛</w:t>
      </w:r>
    </w:p>
    <w:p w14:paraId="1BCAEFF8" w14:textId="77777777" w:rsidR="00633344" w:rsidRPr="00930107" w:rsidRDefault="00633344" w:rsidP="00633344">
      <w:pPr>
        <w:numPr>
          <w:ilvl w:val="0"/>
          <w:numId w:val="2"/>
        </w:numPr>
        <w:tabs>
          <w:tab w:val="clear" w:pos="567"/>
          <w:tab w:val="left" w:pos="2409"/>
        </w:tabs>
        <w:spacing w:after="120" w:line="400" w:lineRule="exact"/>
        <w:ind w:left="1133" w:firstLine="708"/>
        <w:jc w:val="both"/>
        <w:textDirection w:val="tbRlV"/>
        <w:rPr>
          <w:rFonts w:eastAsia="Calibri" w:cs="Traditional Arabic"/>
          <w:sz w:val="20"/>
          <w:szCs w:val="30"/>
          <w:lang w:val="x-none" w:eastAsia="zh-TW"/>
        </w:rPr>
      </w:pPr>
      <w:r w:rsidRPr="00930107">
        <w:rPr>
          <w:rFonts w:eastAsia="Calibri" w:cs="Traditional Arabic"/>
          <w:i/>
          <w:iCs/>
          <w:sz w:val="20"/>
          <w:szCs w:val="30"/>
          <w:rtl/>
          <w:lang w:val="x-none" w:eastAsia="zh-TW"/>
        </w:rPr>
        <w:t>يطلب</w:t>
      </w:r>
      <w:r w:rsidRPr="00930107">
        <w:rPr>
          <w:rFonts w:eastAsia="Calibri" w:cs="Traditional Arabic"/>
          <w:sz w:val="20"/>
          <w:szCs w:val="30"/>
          <w:rtl/>
          <w:lang w:val="x-none" w:eastAsia="zh-TW"/>
        </w:rPr>
        <w:t xml:space="preserve"> إلى الأمانة أن تعد صيغة خضعت لمزيد من التنقيح لمشروع الدليل العملي المشار إليه في الفقرة ٤ من هذا المقرر، آخذة في الاعتبار التعليقات الواردة من الأطراف والجهات الأخرى بموجب الفقرة ٨ </w:t>
      </w:r>
      <w:r w:rsidRPr="00930107">
        <w:rPr>
          <w:rFonts w:eastAsia="Calibri" w:cs="Traditional Arabic"/>
          <w:sz w:val="20"/>
          <w:szCs w:val="30"/>
          <w:rtl/>
          <w:lang w:val="x-none" w:eastAsia="zh-TW"/>
        </w:rPr>
        <w:lastRenderedPageBreak/>
        <w:t>من القرار، وأن تقدمها لكي ينظر فيها الفريق العامل المفتوح العضوية في اجتماعه الثاني عشر ومؤتمر الأطراف في اجتماعه الخامس عشر؛</w:t>
      </w:r>
    </w:p>
    <w:p w14:paraId="5364CAB8" w14:textId="77777777" w:rsidR="00633344" w:rsidRPr="00930107" w:rsidRDefault="00633344" w:rsidP="00633344">
      <w:pPr>
        <w:numPr>
          <w:ilvl w:val="0"/>
          <w:numId w:val="2"/>
        </w:numPr>
        <w:tabs>
          <w:tab w:val="left" w:pos="624"/>
          <w:tab w:val="left" w:pos="2409"/>
          <w:tab w:val="left" w:pos="2833"/>
        </w:tabs>
        <w:spacing w:after="120" w:line="400" w:lineRule="exact"/>
        <w:ind w:left="1133" w:firstLine="708"/>
        <w:jc w:val="both"/>
        <w:textDirection w:val="tbRlV"/>
        <w:rPr>
          <w:rFonts w:cs="Traditional Arabic"/>
          <w:sz w:val="20"/>
          <w:szCs w:val="30"/>
          <w:lang w:val="x-none" w:eastAsia="zh-TW"/>
        </w:rPr>
      </w:pPr>
      <w:r w:rsidRPr="00930107">
        <w:rPr>
          <w:rFonts w:eastAsia="Calibri" w:cs="Traditional Arabic"/>
          <w:i/>
          <w:iCs/>
          <w:sz w:val="20"/>
          <w:szCs w:val="30"/>
          <w:rtl/>
          <w:lang w:val="x-none" w:eastAsia="zh-TW"/>
        </w:rPr>
        <w:t>يقرر</w:t>
      </w:r>
      <w:r w:rsidRPr="00930107">
        <w:rPr>
          <w:rFonts w:eastAsia="Calibri" w:cs="Traditional Arabic"/>
          <w:sz w:val="20"/>
          <w:szCs w:val="30"/>
          <w:rtl/>
          <w:lang w:val="x-none" w:eastAsia="zh-TW"/>
        </w:rPr>
        <w:t xml:space="preserve"> أن فريق الخبراء العامل المعني بالإدارة السليمة بيئياً قد أنجز ولايته بنجاح وأنه بالتالي سيُحَلّ؛</w:t>
      </w:r>
    </w:p>
    <w:p w14:paraId="5CC1D593" w14:textId="77777777" w:rsidR="00633344" w:rsidRPr="006A290F" w:rsidRDefault="00633344" w:rsidP="00633344">
      <w:pPr>
        <w:numPr>
          <w:ilvl w:val="0"/>
          <w:numId w:val="2"/>
        </w:numPr>
        <w:tabs>
          <w:tab w:val="clear" w:pos="567"/>
          <w:tab w:val="left" w:pos="2409"/>
        </w:tabs>
        <w:spacing w:line="400" w:lineRule="exact"/>
        <w:ind w:left="1133" w:firstLine="708"/>
        <w:jc w:val="both"/>
        <w:textDirection w:val="tbRlV"/>
        <w:rPr>
          <w:rFonts w:cs="Traditional Arabic"/>
          <w:w w:val="98"/>
          <w:sz w:val="20"/>
          <w:szCs w:val="30"/>
          <w:rtl/>
          <w:lang w:val="x-none" w:eastAsia="zh-TW"/>
        </w:rPr>
      </w:pPr>
      <w:r w:rsidRPr="006A290F">
        <w:rPr>
          <w:rFonts w:eastAsia="Calibri" w:cs="Traditional Arabic"/>
          <w:i/>
          <w:iCs/>
          <w:w w:val="98"/>
          <w:sz w:val="20"/>
          <w:szCs w:val="30"/>
          <w:rtl/>
          <w:lang w:val="x-none" w:eastAsia="zh-TW"/>
        </w:rPr>
        <w:t>يطلب</w:t>
      </w:r>
      <w:r w:rsidRPr="006A290F">
        <w:rPr>
          <w:rFonts w:eastAsia="Calibri" w:cs="Traditional Arabic"/>
          <w:w w:val="98"/>
          <w:sz w:val="20"/>
          <w:szCs w:val="30"/>
          <w:rtl/>
          <w:lang w:val="x-none" w:eastAsia="zh-TW"/>
        </w:rPr>
        <w:t xml:space="preserve"> إلى الأمانة أن تقوم، رهنا بتوافر الموارد، بإكمال العمل على تحديث مجموعة الأدوات على نحو يعكس المعلومات المستمدة من المشاريع التجريبية التي نفذت وفقا لبرنامج عمل فريق الخبراء العامل</w:t>
      </w:r>
      <w:r w:rsidRPr="006A290F">
        <w:rPr>
          <w:rFonts w:eastAsia="Calibri" w:cs="Traditional Arabic"/>
          <w:w w:val="98"/>
          <w:sz w:val="20"/>
          <w:szCs w:val="30"/>
          <w:vertAlign w:val="superscript"/>
          <w:rtl/>
          <w:lang w:val="x-none" w:eastAsia="zh-TW"/>
        </w:rPr>
        <w:t>(</w:t>
      </w:r>
      <w:r w:rsidRPr="006A290F">
        <w:rPr>
          <w:rFonts w:eastAsia="Calibri" w:cs="Traditional Arabic"/>
          <w:w w:val="98"/>
          <w:sz w:val="20"/>
          <w:szCs w:val="30"/>
          <w:vertAlign w:val="superscript"/>
          <w:rtl/>
          <w:lang w:val="x-none" w:eastAsia="zh-TW"/>
        </w:rPr>
        <w:footnoteReference w:id="6"/>
      </w:r>
      <w:r w:rsidRPr="006A290F">
        <w:rPr>
          <w:rFonts w:eastAsia="Calibri" w:cs="Traditional Arabic"/>
          <w:w w:val="98"/>
          <w:sz w:val="20"/>
          <w:szCs w:val="30"/>
          <w:vertAlign w:val="superscript"/>
          <w:rtl/>
          <w:lang w:val="x-none" w:eastAsia="zh-TW"/>
        </w:rPr>
        <w:t>)</w:t>
      </w:r>
      <w:r w:rsidRPr="006A290F">
        <w:rPr>
          <w:rFonts w:eastAsia="Calibri" w:cs="Traditional Arabic"/>
          <w:w w:val="98"/>
          <w:sz w:val="20"/>
          <w:szCs w:val="30"/>
          <w:rtl/>
          <w:lang w:val="x-none" w:eastAsia="zh-TW"/>
        </w:rPr>
        <w:t>، بمشاركة الأطراف المعنية وغيرها من الجهات بالعمل بالوسائل الإلكترونية، وأن تقدم سعياً إلى هذه الغاية مشاريع وثائق منقحة لكي ينظر فيها الفريق العامل المفتوح العضوية في اجتماعه الثاني عشر ومؤتمر الأطراف في اجتماعه الخامس عشر</w:t>
      </w:r>
      <w:r w:rsidRPr="006A290F">
        <w:rPr>
          <w:rFonts w:cs="Traditional Arabic"/>
          <w:w w:val="98"/>
          <w:sz w:val="30"/>
          <w:szCs w:val="30"/>
          <w:rtl/>
        </w:rPr>
        <w:t>.</w:t>
      </w:r>
    </w:p>
    <w:p w14:paraId="78DAD821" w14:textId="590E033D" w:rsidR="00F935A6" w:rsidRPr="00633344" w:rsidRDefault="00F935A6" w:rsidP="00633344">
      <w:bookmarkStart w:id="0" w:name="_GoBack"/>
      <w:bookmarkEnd w:id="0"/>
    </w:p>
    <w:sectPr w:rsidR="00F935A6" w:rsidRPr="00633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F8E6" w14:textId="77777777" w:rsidR="00E0777B" w:rsidRDefault="00E0777B" w:rsidP="00AA3D1E">
      <w:r>
        <w:separator/>
      </w:r>
    </w:p>
  </w:endnote>
  <w:endnote w:type="continuationSeparator" w:id="0">
    <w:p w14:paraId="1FCA3358" w14:textId="77777777" w:rsidR="00E0777B" w:rsidRDefault="00E0777B" w:rsidP="00AA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5139" w14:textId="77777777" w:rsidR="00E0777B" w:rsidRDefault="00E0777B" w:rsidP="00AA3D1E">
      <w:r>
        <w:separator/>
      </w:r>
    </w:p>
  </w:footnote>
  <w:footnote w:type="continuationSeparator" w:id="0">
    <w:p w14:paraId="161BB337" w14:textId="77777777" w:rsidR="00E0777B" w:rsidRDefault="00E0777B" w:rsidP="00AA3D1E">
      <w:r>
        <w:continuationSeparator/>
      </w:r>
    </w:p>
  </w:footnote>
  <w:footnote w:id="1">
    <w:p w14:paraId="132B555A" w14:textId="77777777" w:rsidR="00633344" w:rsidRPr="00ED5B8A" w:rsidRDefault="00633344" w:rsidP="00633344">
      <w:pPr>
        <w:pStyle w:val="NormalNonumber"/>
        <w:tabs>
          <w:tab w:val="clear" w:pos="1247"/>
          <w:tab w:val="clear" w:pos="1814"/>
          <w:tab w:val="clear" w:pos="2381"/>
          <w:tab w:val="clear" w:pos="2948"/>
          <w:tab w:val="clear" w:pos="3515"/>
          <w:tab w:val="clear" w:pos="4082"/>
        </w:tabs>
        <w:bidi/>
        <w:spacing w:after="40" w:line="300" w:lineRule="exact"/>
        <w:ind w:left="1134"/>
        <w:textDirection w:val="tbRlV"/>
        <w:rPr>
          <w:rFonts w:cs="Traditional Arabic"/>
          <w:sz w:val="18"/>
          <w:szCs w:val="26"/>
          <w:rtl/>
          <w:lang w:eastAsia="zh-TW"/>
        </w:rPr>
      </w:pPr>
      <w:r w:rsidRPr="00ED5B8A">
        <w:rPr>
          <w:rFonts w:cs="Traditional Arabic"/>
          <w:sz w:val="18"/>
          <w:szCs w:val="26"/>
          <w:rtl/>
          <w:lang w:eastAsia="zh-TW"/>
        </w:rPr>
        <w:t>(</w:t>
      </w:r>
      <w:r w:rsidRPr="00ED5B8A">
        <w:rPr>
          <w:rFonts w:cs="Traditional Arabic"/>
          <w:sz w:val="18"/>
          <w:szCs w:val="26"/>
          <w:rtl/>
        </w:rPr>
        <w:footnoteRef/>
      </w:r>
      <w:r w:rsidRPr="00ED5B8A">
        <w:rPr>
          <w:rFonts w:cs="Traditional Arabic"/>
          <w:sz w:val="18"/>
          <w:szCs w:val="26"/>
          <w:rtl/>
          <w:lang w:eastAsia="zh-TW"/>
        </w:rPr>
        <w:t>)</w:t>
      </w:r>
      <w:r>
        <w:rPr>
          <w:rFonts w:cs="Traditional Arabic" w:hint="cs"/>
          <w:sz w:val="18"/>
          <w:szCs w:val="26"/>
          <w:rtl/>
          <w:lang w:eastAsia="zh-TW"/>
        </w:rPr>
        <w:t xml:space="preserve"> </w:t>
      </w:r>
      <w:r w:rsidRPr="00ED5B8A">
        <w:rPr>
          <w:rFonts w:cs="Traditional Arabic"/>
          <w:sz w:val="18"/>
          <w:szCs w:val="26"/>
          <w:rtl/>
          <w:lang w:eastAsia="zh-TW"/>
        </w:rPr>
        <w:t xml:space="preserve"> </w:t>
      </w:r>
      <w:r w:rsidRPr="00ED5B8A">
        <w:rPr>
          <w:rFonts w:cs="Traditional Arabic"/>
          <w:sz w:val="18"/>
          <w:szCs w:val="26"/>
          <w:lang w:eastAsia="zh-TW"/>
        </w:rPr>
        <w:t>UNEP/CHW.14/5</w:t>
      </w:r>
      <w:r w:rsidRPr="00ED5B8A">
        <w:rPr>
          <w:rFonts w:cs="Traditional Arabic"/>
          <w:sz w:val="18"/>
          <w:szCs w:val="26"/>
          <w:rtl/>
          <w:lang w:eastAsia="zh-TW"/>
        </w:rPr>
        <w:t>، المرفق.</w:t>
      </w:r>
    </w:p>
  </w:footnote>
  <w:footnote w:id="2">
    <w:p w14:paraId="00761539" w14:textId="77777777" w:rsidR="00633344" w:rsidRPr="00ED5B8A" w:rsidRDefault="00633344" w:rsidP="00633344">
      <w:pPr>
        <w:pStyle w:val="NormalNonumber"/>
        <w:tabs>
          <w:tab w:val="clear" w:pos="1247"/>
          <w:tab w:val="clear" w:pos="1814"/>
          <w:tab w:val="clear" w:pos="2381"/>
          <w:tab w:val="clear" w:pos="2948"/>
          <w:tab w:val="clear" w:pos="3515"/>
          <w:tab w:val="clear" w:pos="4082"/>
        </w:tabs>
        <w:bidi/>
        <w:spacing w:after="40" w:line="300" w:lineRule="exact"/>
        <w:ind w:left="1134"/>
        <w:textDirection w:val="tbRlV"/>
        <w:rPr>
          <w:rFonts w:cs="Traditional Arabic"/>
          <w:sz w:val="18"/>
          <w:szCs w:val="26"/>
          <w:rtl/>
          <w:lang w:eastAsia="zh-TW"/>
        </w:rPr>
      </w:pPr>
      <w:r w:rsidRPr="00ED5B8A">
        <w:rPr>
          <w:rFonts w:cs="Traditional Arabic"/>
          <w:sz w:val="18"/>
          <w:szCs w:val="26"/>
          <w:rtl/>
          <w:lang w:eastAsia="zh-TW"/>
        </w:rPr>
        <w:t>(</w:t>
      </w:r>
      <w:r w:rsidRPr="00ED5B8A">
        <w:rPr>
          <w:rFonts w:cs="Traditional Arabic"/>
          <w:sz w:val="18"/>
          <w:szCs w:val="26"/>
          <w:rtl/>
        </w:rPr>
        <w:footnoteRef/>
      </w:r>
      <w:r w:rsidRPr="00ED5B8A">
        <w:rPr>
          <w:rFonts w:cs="Traditional Arabic"/>
          <w:sz w:val="18"/>
          <w:szCs w:val="26"/>
          <w:rtl/>
          <w:lang w:eastAsia="zh-TW"/>
        </w:rPr>
        <w:t xml:space="preserve">)  </w:t>
      </w:r>
      <w:r w:rsidRPr="00ED5B8A">
        <w:rPr>
          <w:rFonts w:cs="Traditional Arabic"/>
          <w:sz w:val="18"/>
          <w:szCs w:val="26"/>
          <w:lang w:eastAsia="zh-TW"/>
        </w:rPr>
        <w:t>UNEP/CHW.14/5/Add.1</w:t>
      </w:r>
      <w:r w:rsidRPr="00ED5B8A">
        <w:rPr>
          <w:rFonts w:cs="Traditional Arabic"/>
          <w:sz w:val="18"/>
          <w:szCs w:val="26"/>
          <w:rtl/>
          <w:lang w:eastAsia="zh-TW"/>
        </w:rPr>
        <w:t>.</w:t>
      </w:r>
    </w:p>
  </w:footnote>
  <w:footnote w:id="3">
    <w:p w14:paraId="4D18CFAC" w14:textId="77777777" w:rsidR="00633344" w:rsidRPr="00ED5B8A" w:rsidRDefault="00633344" w:rsidP="00633344">
      <w:pPr>
        <w:pStyle w:val="NormalNonumber"/>
        <w:tabs>
          <w:tab w:val="clear" w:pos="1247"/>
          <w:tab w:val="clear" w:pos="1814"/>
          <w:tab w:val="clear" w:pos="2381"/>
          <w:tab w:val="clear" w:pos="2948"/>
          <w:tab w:val="clear" w:pos="3515"/>
          <w:tab w:val="clear" w:pos="4082"/>
        </w:tabs>
        <w:bidi/>
        <w:spacing w:after="40" w:line="300" w:lineRule="exact"/>
        <w:ind w:left="1134"/>
        <w:textDirection w:val="tbRlV"/>
        <w:rPr>
          <w:rFonts w:cs="Traditional Arabic"/>
          <w:sz w:val="18"/>
          <w:szCs w:val="26"/>
          <w:rtl/>
          <w:lang w:eastAsia="zh-TW"/>
        </w:rPr>
      </w:pPr>
      <w:r w:rsidRPr="00ED5B8A">
        <w:rPr>
          <w:rFonts w:cs="Traditional Arabic"/>
          <w:sz w:val="18"/>
          <w:szCs w:val="26"/>
          <w:rtl/>
          <w:lang w:eastAsia="zh-TW"/>
        </w:rPr>
        <w:t>(</w:t>
      </w:r>
      <w:r w:rsidRPr="00ED5B8A">
        <w:rPr>
          <w:rFonts w:cs="Traditional Arabic"/>
          <w:sz w:val="18"/>
          <w:szCs w:val="26"/>
          <w:rtl/>
        </w:rPr>
        <w:footnoteRef/>
      </w:r>
      <w:r w:rsidRPr="00ED5B8A">
        <w:rPr>
          <w:rFonts w:cs="Traditional Arabic"/>
          <w:sz w:val="18"/>
          <w:szCs w:val="26"/>
          <w:rtl/>
          <w:lang w:eastAsia="zh-TW"/>
        </w:rPr>
        <w:t xml:space="preserve">)  </w:t>
      </w:r>
      <w:r w:rsidRPr="00ED5B8A">
        <w:rPr>
          <w:rFonts w:cs="Traditional Arabic"/>
          <w:sz w:val="18"/>
          <w:szCs w:val="26"/>
          <w:lang w:eastAsia="zh-TW"/>
        </w:rPr>
        <w:t>UNEP/CHW.14/INF/7</w:t>
      </w:r>
      <w:r w:rsidRPr="00ED5B8A">
        <w:rPr>
          <w:rFonts w:cs="Traditional Arabic"/>
          <w:sz w:val="18"/>
          <w:szCs w:val="26"/>
          <w:rtl/>
          <w:lang w:eastAsia="zh-TW"/>
        </w:rPr>
        <w:t>.</w:t>
      </w:r>
    </w:p>
  </w:footnote>
  <w:footnote w:id="4">
    <w:p w14:paraId="4BE3DA84" w14:textId="77777777" w:rsidR="00633344" w:rsidRPr="00ED5B8A" w:rsidRDefault="00633344" w:rsidP="00633344">
      <w:pPr>
        <w:pStyle w:val="NormalNonumber"/>
        <w:tabs>
          <w:tab w:val="clear" w:pos="1247"/>
          <w:tab w:val="clear" w:pos="1814"/>
          <w:tab w:val="clear" w:pos="2381"/>
          <w:tab w:val="clear" w:pos="2948"/>
          <w:tab w:val="clear" w:pos="3515"/>
          <w:tab w:val="clear" w:pos="4082"/>
        </w:tabs>
        <w:bidi/>
        <w:spacing w:after="40" w:line="300" w:lineRule="exact"/>
        <w:ind w:left="1134"/>
        <w:textDirection w:val="tbRlV"/>
        <w:rPr>
          <w:rFonts w:cs="Traditional Arabic"/>
          <w:sz w:val="18"/>
          <w:szCs w:val="26"/>
          <w:rtl/>
          <w:lang w:eastAsia="zh-TW"/>
        </w:rPr>
      </w:pPr>
      <w:r w:rsidRPr="00ED5B8A">
        <w:rPr>
          <w:rFonts w:cs="Traditional Arabic"/>
          <w:sz w:val="18"/>
          <w:szCs w:val="26"/>
          <w:rtl/>
          <w:lang w:eastAsia="zh-TW"/>
        </w:rPr>
        <w:t>(</w:t>
      </w:r>
      <w:r w:rsidRPr="00ED5B8A">
        <w:rPr>
          <w:rFonts w:cs="Traditional Arabic"/>
          <w:sz w:val="18"/>
          <w:szCs w:val="26"/>
          <w:rtl/>
        </w:rPr>
        <w:footnoteRef/>
      </w:r>
      <w:r w:rsidRPr="00ED5B8A">
        <w:rPr>
          <w:rFonts w:cs="Traditional Arabic"/>
          <w:sz w:val="18"/>
          <w:szCs w:val="26"/>
          <w:rtl/>
          <w:lang w:eastAsia="zh-TW"/>
        </w:rPr>
        <w:t xml:space="preserve">)  </w:t>
      </w:r>
      <w:r w:rsidRPr="00ED5B8A">
        <w:rPr>
          <w:rFonts w:cs="Traditional Arabic"/>
          <w:sz w:val="18"/>
          <w:szCs w:val="26"/>
          <w:lang w:eastAsia="zh-TW"/>
        </w:rPr>
        <w:t>UNEP/CHW.14/INF/8</w:t>
      </w:r>
      <w:r w:rsidRPr="00ED5B8A">
        <w:rPr>
          <w:rFonts w:cs="Traditional Arabic"/>
          <w:sz w:val="18"/>
          <w:szCs w:val="26"/>
          <w:rtl/>
          <w:lang w:eastAsia="zh-TW"/>
        </w:rPr>
        <w:t>.</w:t>
      </w:r>
    </w:p>
  </w:footnote>
  <w:footnote w:id="5">
    <w:p w14:paraId="7F42E7DF" w14:textId="77777777" w:rsidR="00633344" w:rsidRPr="00ED5B8A" w:rsidRDefault="00633344" w:rsidP="00633344">
      <w:pPr>
        <w:pStyle w:val="NormalNonumber"/>
        <w:tabs>
          <w:tab w:val="clear" w:pos="1247"/>
          <w:tab w:val="clear" w:pos="1814"/>
          <w:tab w:val="clear" w:pos="2381"/>
          <w:tab w:val="clear" w:pos="2948"/>
          <w:tab w:val="clear" w:pos="3515"/>
          <w:tab w:val="clear" w:pos="4082"/>
        </w:tabs>
        <w:bidi/>
        <w:spacing w:after="40" w:line="300" w:lineRule="exact"/>
        <w:ind w:left="1134"/>
        <w:textDirection w:val="tbRlV"/>
        <w:rPr>
          <w:rFonts w:cs="Traditional Arabic"/>
          <w:sz w:val="18"/>
          <w:szCs w:val="26"/>
          <w:rtl/>
          <w:lang w:eastAsia="zh-TW"/>
        </w:rPr>
      </w:pPr>
      <w:r w:rsidRPr="00ED5B8A">
        <w:rPr>
          <w:rFonts w:cs="Traditional Arabic"/>
          <w:sz w:val="18"/>
          <w:szCs w:val="26"/>
          <w:rtl/>
          <w:lang w:eastAsia="zh-TW"/>
        </w:rPr>
        <w:t>(</w:t>
      </w:r>
      <w:r w:rsidRPr="00ED5B8A">
        <w:rPr>
          <w:rFonts w:cs="Traditional Arabic"/>
          <w:sz w:val="18"/>
          <w:szCs w:val="26"/>
          <w:rtl/>
        </w:rPr>
        <w:footnoteRef/>
      </w:r>
      <w:r w:rsidRPr="00ED5B8A">
        <w:rPr>
          <w:rFonts w:cs="Traditional Arabic"/>
          <w:sz w:val="18"/>
          <w:szCs w:val="26"/>
          <w:rtl/>
          <w:lang w:eastAsia="zh-TW"/>
        </w:rPr>
        <w:t xml:space="preserve">)  </w:t>
      </w:r>
      <w:r w:rsidRPr="00ED5B8A">
        <w:rPr>
          <w:rFonts w:cs="Traditional Arabic"/>
          <w:sz w:val="18"/>
          <w:szCs w:val="26"/>
          <w:lang w:eastAsia="zh-TW"/>
        </w:rPr>
        <w:t>UNEP/CHW.14/INF/6</w:t>
      </w:r>
      <w:r w:rsidRPr="00ED5B8A">
        <w:rPr>
          <w:rFonts w:cs="Traditional Arabic"/>
          <w:sz w:val="18"/>
          <w:szCs w:val="26"/>
          <w:rtl/>
          <w:lang w:eastAsia="zh-TW"/>
        </w:rPr>
        <w:t>.</w:t>
      </w:r>
    </w:p>
  </w:footnote>
  <w:footnote w:id="6">
    <w:p w14:paraId="44C641C2" w14:textId="77777777" w:rsidR="00633344" w:rsidRPr="00ED5B8A" w:rsidRDefault="00633344" w:rsidP="00633344">
      <w:pPr>
        <w:pStyle w:val="NormalNonumber"/>
        <w:tabs>
          <w:tab w:val="clear" w:pos="1247"/>
          <w:tab w:val="clear" w:pos="1814"/>
          <w:tab w:val="clear" w:pos="2381"/>
          <w:tab w:val="clear" w:pos="2948"/>
          <w:tab w:val="clear" w:pos="3515"/>
          <w:tab w:val="clear" w:pos="4082"/>
        </w:tabs>
        <w:bidi/>
        <w:spacing w:after="40" w:line="300" w:lineRule="exact"/>
        <w:ind w:left="1134"/>
        <w:rPr>
          <w:rFonts w:cs="Traditional Arabic"/>
          <w:sz w:val="18"/>
          <w:szCs w:val="26"/>
          <w:rtl/>
          <w:lang w:val="en-US"/>
        </w:rPr>
      </w:pPr>
      <w:r w:rsidRPr="00ED5B8A">
        <w:rPr>
          <w:rFonts w:cs="Traditional Arabic"/>
          <w:sz w:val="18"/>
          <w:szCs w:val="26"/>
          <w:rtl/>
          <w:lang w:eastAsia="zh-TW"/>
        </w:rPr>
        <w:t>(</w:t>
      </w:r>
      <w:r w:rsidRPr="00ED5B8A">
        <w:rPr>
          <w:rFonts w:cs="Traditional Arabic"/>
          <w:sz w:val="18"/>
          <w:szCs w:val="26"/>
          <w:rtl/>
          <w:lang w:eastAsia="zh-TW"/>
        </w:rPr>
        <w:footnoteRef/>
      </w:r>
      <w:r w:rsidRPr="00ED5B8A">
        <w:rPr>
          <w:rFonts w:cs="Traditional Arabic"/>
          <w:sz w:val="18"/>
          <w:szCs w:val="26"/>
          <w:rtl/>
          <w:lang w:eastAsia="zh-TW"/>
        </w:rPr>
        <w:t xml:space="preserve">) </w:t>
      </w:r>
      <w:r>
        <w:rPr>
          <w:rFonts w:cs="Traditional Arabic" w:hint="cs"/>
          <w:sz w:val="18"/>
          <w:szCs w:val="26"/>
          <w:rtl/>
          <w:lang w:eastAsia="zh-TW"/>
        </w:rPr>
        <w:t xml:space="preserve"> </w:t>
      </w:r>
      <w:r w:rsidRPr="00ED5B8A">
        <w:rPr>
          <w:rFonts w:cs="Traditional Arabic"/>
          <w:sz w:val="18"/>
          <w:szCs w:val="26"/>
          <w:rtl/>
          <w:lang w:eastAsia="zh-TW"/>
        </w:rPr>
        <w:t>المقرر ا ب-13/2، المرفق الأول.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6BB4"/>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7C4406"/>
    <w:multiLevelType w:val="hybridMultilevel"/>
    <w:tmpl w:val="DD128278"/>
    <w:lvl w:ilvl="0" w:tplc="A76ECFDC">
      <w:start w:val="1"/>
      <w:numFmt w:val="decimal"/>
      <w:lvlText w:val="%1."/>
      <w:lvlJc w:val="left"/>
      <w:pPr>
        <w:tabs>
          <w:tab w:val="num" w:pos="3215"/>
        </w:tabs>
        <w:ind w:left="3215" w:hanging="360"/>
      </w:pPr>
    </w:lvl>
    <w:lvl w:ilvl="1" w:tplc="04090019" w:tentative="1">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1"/>
    <w:lvlOverride w:ilvl="0">
      <w:lvl w:ilvl="0" w:tplc="A76ECFDC">
        <w:start w:val="1"/>
        <w:numFmt w:val="decimal"/>
        <w:lvlText w:val="%1-"/>
        <w:lvlJc w:val="left"/>
        <w:pPr>
          <w:tabs>
            <w:tab w:val="num" w:pos="3215"/>
          </w:tabs>
          <w:ind w:left="3215" w:hanging="360"/>
        </w:pPr>
        <w:rPr>
          <w:b w:val="0"/>
          <w:bCs w:val="0"/>
        </w:rPr>
      </w:lvl>
    </w:lvlOverride>
  </w:num>
  <w:num w:numId="2">
    <w:abstractNumId w:val="0"/>
    <w:lvlOverride w:ilvl="0">
      <w:lvl w:ilvl="0">
        <w:start w:val="1"/>
        <w:numFmt w:val="decimal"/>
        <w:lvlText w:val="%1-"/>
        <w:lvlJc w:val="left"/>
        <w:pPr>
          <w:tabs>
            <w:tab w:val="num" w:pos="567"/>
          </w:tabs>
          <w:ind w:left="1247"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1E"/>
    <w:rsid w:val="00633344"/>
    <w:rsid w:val="00AA3D1E"/>
    <w:rsid w:val="00E0777B"/>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939F"/>
  <w15:chartTrackingRefBased/>
  <w15:docId w15:val="{05DEF0E6-9893-4C2E-8C84-7552C90C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D1E"/>
    <w:pPr>
      <w:bidi/>
      <w:spacing w:after="0" w:line="240" w:lineRule="auto"/>
    </w:pPr>
    <w:rPr>
      <w:rFonts w:ascii="Times New Roman" w:eastAsia="Times New Roman" w:hAnsi="Times New Roman" w:cs="Simplified Arabic"/>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
    <w:basedOn w:val="Normal"/>
    <w:link w:val="FootnoteTextChar"/>
    <w:qFormat/>
    <w:rsid w:val="00AA3D1E"/>
    <w:rPr>
      <w:sz w:val="20"/>
      <w:szCs w:val="20"/>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
    <w:basedOn w:val="DefaultParagraphFont"/>
    <w:link w:val="FootnoteText"/>
    <w:rsid w:val="00AA3D1E"/>
    <w:rPr>
      <w:rFonts w:ascii="Times New Roman" w:eastAsia="Times New Roman" w:hAnsi="Times New Roman" w:cs="Simplified Arabic"/>
      <w:sz w:val="20"/>
      <w:szCs w:val="20"/>
      <w:lang w:eastAsia="en-US"/>
    </w:rPr>
  </w:style>
  <w:style w:type="paragraph" w:customStyle="1" w:styleId="NormalNonumber">
    <w:name w:val="Normal_No_number"/>
    <w:basedOn w:val="Normal"/>
    <w:link w:val="NormalNonumberChar"/>
    <w:qFormat/>
    <w:rsid w:val="00633344"/>
    <w:pPr>
      <w:tabs>
        <w:tab w:val="left" w:pos="1247"/>
        <w:tab w:val="left" w:pos="1814"/>
        <w:tab w:val="left" w:pos="2381"/>
        <w:tab w:val="left" w:pos="2948"/>
        <w:tab w:val="left" w:pos="3515"/>
        <w:tab w:val="left" w:pos="4082"/>
      </w:tabs>
      <w:bidi w:val="0"/>
      <w:spacing w:after="120"/>
      <w:ind w:left="1247"/>
    </w:pPr>
    <w:rPr>
      <w:rFonts w:cs="Times New Roman"/>
      <w:sz w:val="20"/>
      <w:szCs w:val="20"/>
      <w:lang w:val="en-GB"/>
    </w:rPr>
  </w:style>
  <w:style w:type="character" w:customStyle="1" w:styleId="NormalNonumberChar">
    <w:name w:val="Normal_No_number Char"/>
    <w:link w:val="NormalNonumber"/>
    <w:locked/>
    <w:rsid w:val="00633344"/>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2020-01-30T09:05:00Z</dcterms:created>
  <dcterms:modified xsi:type="dcterms:W3CDTF">2020-01-30T09:05:00Z</dcterms:modified>
</cp:coreProperties>
</file>