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3BC0" w14:textId="77777777" w:rsidR="00197135" w:rsidRPr="00E27A3E" w:rsidRDefault="00197135" w:rsidP="00197135">
      <w:pPr>
        <w:spacing w:after="120" w:line="400" w:lineRule="exact"/>
        <w:ind w:left="1128"/>
        <w:jc w:val="both"/>
        <w:rPr>
          <w:rFonts w:ascii="Traditional Arabic" w:hAnsi="Traditional Arabic" w:cs="Traditional Arabic"/>
          <w:b/>
          <w:bCs/>
          <w:w w:val="96"/>
          <w:sz w:val="32"/>
          <w:szCs w:val="32"/>
          <w:lang w:val="en-GB" w:eastAsia="zh-TW"/>
        </w:rPr>
      </w:pPr>
      <w:r w:rsidRPr="00E27A3E">
        <w:rPr>
          <w:rFonts w:ascii="Traditional Arabic" w:hAnsi="Traditional Arabic" w:cs="Traditional Arabic"/>
          <w:b/>
          <w:bCs/>
          <w:w w:val="96"/>
          <w:sz w:val="32"/>
          <w:szCs w:val="32"/>
          <w:rtl/>
          <w:lang w:val="en-GB" w:eastAsia="zh-TW"/>
        </w:rPr>
        <w:t>ا ب-14/9: التعاون مع منظمة الجمارك العالمية بشأن النظام المتناسق لتوصيف السلع الأساسية وترميزها</w:t>
      </w:r>
    </w:p>
    <w:p w14:paraId="4CD109DE" w14:textId="77777777" w:rsidR="00197135" w:rsidRPr="00120B3A" w:rsidRDefault="00197135" w:rsidP="00197135">
      <w:pPr>
        <w:pStyle w:val="Normal-pool"/>
        <w:tabs>
          <w:tab w:val="clear" w:pos="1247"/>
          <w:tab w:val="clear" w:pos="1814"/>
          <w:tab w:val="clear" w:pos="2381"/>
          <w:tab w:val="clear" w:pos="2948"/>
          <w:tab w:val="clear" w:pos="3515"/>
        </w:tabs>
        <w:spacing w:after="120" w:line="400" w:lineRule="exact"/>
        <w:ind w:left="1134" w:firstLine="708"/>
        <w:jc w:val="both"/>
        <w:textDirection w:val="tbRlV"/>
        <w:rPr>
          <w:rFonts w:ascii="Traditional Arabic" w:hAnsi="Traditional Arabic" w:cs="Traditional Arabic"/>
          <w:sz w:val="30"/>
          <w:szCs w:val="30"/>
          <w:rtl/>
          <w:lang w:eastAsia="zh-TW"/>
        </w:rPr>
      </w:pPr>
      <w:proofErr w:type="spellStart"/>
      <w:r w:rsidRPr="006E0BF4">
        <w:rPr>
          <w:rFonts w:ascii="Traditional Arabic" w:hAnsi="Traditional Arabic" w:cs="Traditional Arabic"/>
          <w:i/>
          <w:iCs/>
          <w:sz w:val="30"/>
          <w:szCs w:val="30"/>
          <w:lang w:eastAsia="zh-TW"/>
        </w:rPr>
        <w:t>إن</w:t>
      </w:r>
      <w:proofErr w:type="spellEnd"/>
      <w:r w:rsidRPr="006E0BF4">
        <w:rPr>
          <w:rFonts w:ascii="Traditional Arabic" w:hAnsi="Traditional Arabic" w:cs="Traditional Arabic"/>
          <w:i/>
          <w:iCs/>
          <w:sz w:val="30"/>
          <w:szCs w:val="30"/>
          <w:lang w:eastAsia="zh-TW"/>
        </w:rPr>
        <w:t xml:space="preserve"> </w:t>
      </w:r>
      <w:proofErr w:type="spellStart"/>
      <w:r w:rsidRPr="006E0BF4">
        <w:rPr>
          <w:rFonts w:ascii="Traditional Arabic" w:hAnsi="Traditional Arabic" w:cs="Traditional Arabic"/>
          <w:i/>
          <w:iCs/>
          <w:sz w:val="30"/>
          <w:szCs w:val="30"/>
          <w:lang w:eastAsia="zh-TW"/>
        </w:rPr>
        <w:t>مؤتمر</w:t>
      </w:r>
      <w:proofErr w:type="spellEnd"/>
      <w:r w:rsidRPr="006E0BF4">
        <w:rPr>
          <w:rFonts w:ascii="Traditional Arabic" w:hAnsi="Traditional Arabic" w:cs="Traditional Arabic"/>
          <w:i/>
          <w:iCs/>
          <w:sz w:val="30"/>
          <w:szCs w:val="30"/>
          <w:lang w:eastAsia="zh-TW"/>
        </w:rPr>
        <w:t xml:space="preserve"> </w:t>
      </w:r>
      <w:proofErr w:type="spellStart"/>
      <w:r w:rsidRPr="006E0BF4">
        <w:rPr>
          <w:rFonts w:ascii="Traditional Arabic" w:hAnsi="Traditional Arabic" w:cs="Traditional Arabic"/>
          <w:i/>
          <w:iCs/>
          <w:sz w:val="30"/>
          <w:szCs w:val="30"/>
          <w:lang w:eastAsia="zh-TW"/>
        </w:rPr>
        <w:t>الأطراف</w:t>
      </w:r>
      <w:proofErr w:type="spellEnd"/>
      <w:r w:rsidRPr="006E0BF4">
        <w:rPr>
          <w:rFonts w:ascii="Traditional Arabic" w:hAnsi="Traditional Arabic" w:cs="Traditional Arabic"/>
          <w:i/>
          <w:iCs/>
          <w:sz w:val="30"/>
          <w:szCs w:val="30"/>
          <w:lang w:eastAsia="zh-TW"/>
        </w:rPr>
        <w:t>،</w:t>
      </w:r>
    </w:p>
    <w:p w14:paraId="0A7470AE" w14:textId="77777777" w:rsidR="00197135" w:rsidRPr="00D401D4" w:rsidRDefault="00197135" w:rsidP="00197135">
      <w:pPr>
        <w:numPr>
          <w:ilvl w:val="0"/>
          <w:numId w:val="2"/>
        </w:numPr>
        <w:tabs>
          <w:tab w:val="left" w:pos="2409"/>
        </w:tabs>
        <w:spacing w:after="120" w:line="400" w:lineRule="exact"/>
        <w:ind w:left="1133" w:firstLine="709"/>
        <w:jc w:val="both"/>
        <w:textDirection w:val="tbRlV"/>
        <w:rPr>
          <w:rFonts w:ascii="Traditional Arabic" w:hAnsi="Traditional Arabic" w:cs="Traditional Arabic"/>
          <w:sz w:val="30"/>
          <w:szCs w:val="30"/>
          <w:rtl/>
          <w:lang w:val="fr-FR" w:eastAsia="zh-TW"/>
        </w:rPr>
      </w:pPr>
      <w:r w:rsidRPr="00D401D4">
        <w:rPr>
          <w:rFonts w:ascii="Traditional Arabic" w:hAnsi="Traditional Arabic" w:cs="Traditional Arabic"/>
          <w:i/>
          <w:iCs/>
          <w:sz w:val="30"/>
          <w:szCs w:val="30"/>
          <w:rtl/>
          <w:lang w:val="en-GB" w:eastAsia="zh-TW"/>
        </w:rPr>
        <w:t>يحيط علماً</w:t>
      </w:r>
      <w:r w:rsidRPr="00D401D4">
        <w:rPr>
          <w:rFonts w:ascii="Traditional Arabic" w:hAnsi="Traditional Arabic" w:cs="Traditional Arabic"/>
          <w:sz w:val="30"/>
          <w:szCs w:val="30"/>
          <w:rtl/>
          <w:lang w:val="en-GB" w:eastAsia="zh-TW"/>
        </w:rPr>
        <w:t xml:space="preserve"> بالتقرير عن حالة عمل منظمة الجمارك العالمية بشأن النظام </w:t>
      </w:r>
      <w:r>
        <w:rPr>
          <w:rFonts w:ascii="Traditional Arabic" w:hAnsi="Traditional Arabic" w:cs="Traditional Arabic"/>
          <w:sz w:val="30"/>
          <w:szCs w:val="30"/>
          <w:rtl/>
          <w:lang w:val="en-GB" w:eastAsia="zh-TW"/>
        </w:rPr>
        <w:t>المتناسق</w:t>
      </w:r>
      <w:r w:rsidRPr="00D401D4">
        <w:rPr>
          <w:rFonts w:ascii="Traditional Arabic" w:hAnsi="Traditional Arabic" w:cs="Traditional Arabic"/>
          <w:sz w:val="30"/>
          <w:szCs w:val="30"/>
          <w:rtl/>
          <w:lang w:val="en-GB" w:eastAsia="zh-TW"/>
        </w:rPr>
        <w:t xml:space="preserve"> لتوصيف السلع الأساسية وترميزها ذي الصلة باتفاقية بازل بشأن التحكم في نقل النفايات الخطرة والتخلص منها عبر الحدود</w:t>
      </w:r>
      <w:r w:rsidRPr="00D401D4">
        <w:rPr>
          <w:rFonts w:ascii="Traditional Arabic" w:hAnsi="Traditional Arabic" w:cs="Traditional Arabic"/>
          <w:sz w:val="30"/>
          <w:szCs w:val="30"/>
          <w:vertAlign w:val="superscript"/>
          <w:rtl/>
          <w:lang w:val="en-GB" w:eastAsia="zh-TW"/>
        </w:rPr>
        <w:t>(</w:t>
      </w:r>
      <w:r w:rsidRPr="00D401D4">
        <w:rPr>
          <w:rFonts w:ascii="Traditional Arabic" w:hAnsi="Traditional Arabic" w:cs="Traditional Arabic"/>
          <w:sz w:val="30"/>
          <w:szCs w:val="30"/>
          <w:vertAlign w:val="superscript"/>
          <w:rtl/>
          <w:lang w:val="en-GB" w:eastAsia="zh-TW"/>
        </w:rPr>
        <w:footnoteReference w:id="1"/>
      </w:r>
      <w:r w:rsidRPr="00D401D4">
        <w:rPr>
          <w:rFonts w:ascii="Traditional Arabic" w:hAnsi="Traditional Arabic" w:cs="Traditional Arabic"/>
          <w:sz w:val="30"/>
          <w:szCs w:val="30"/>
          <w:vertAlign w:val="superscript"/>
          <w:rtl/>
          <w:lang w:val="en-GB" w:eastAsia="zh-TW"/>
        </w:rPr>
        <w:t>)</w:t>
      </w:r>
      <w:r w:rsidRPr="00D401D4">
        <w:rPr>
          <w:rFonts w:ascii="Traditional Arabic" w:hAnsi="Traditional Arabic" w:cs="Traditional Arabic"/>
          <w:sz w:val="30"/>
          <w:szCs w:val="30"/>
          <w:rtl/>
          <w:lang w:val="en-GB" w:eastAsia="zh-TW"/>
        </w:rPr>
        <w:t>؛</w:t>
      </w:r>
    </w:p>
    <w:p w14:paraId="30136D52" w14:textId="77777777" w:rsidR="00197135" w:rsidRPr="00D401D4" w:rsidRDefault="00197135" w:rsidP="00197135">
      <w:pPr>
        <w:numPr>
          <w:ilvl w:val="0"/>
          <w:numId w:val="2"/>
        </w:numPr>
        <w:tabs>
          <w:tab w:val="left" w:pos="2409"/>
        </w:tabs>
        <w:spacing w:after="120" w:line="400" w:lineRule="exact"/>
        <w:ind w:left="1133" w:firstLine="709"/>
        <w:jc w:val="both"/>
        <w:textDirection w:val="tbRlV"/>
        <w:rPr>
          <w:rFonts w:ascii="Traditional Arabic" w:hAnsi="Traditional Arabic" w:cs="Traditional Arabic"/>
          <w:sz w:val="30"/>
          <w:szCs w:val="30"/>
          <w:lang w:val="fr-FR" w:eastAsia="zh-TW"/>
        </w:rPr>
      </w:pPr>
      <w:r w:rsidRPr="00D401D4">
        <w:rPr>
          <w:rFonts w:ascii="Traditional Arabic" w:hAnsi="Traditional Arabic" w:cs="Traditional Arabic"/>
          <w:i/>
          <w:iCs/>
          <w:sz w:val="30"/>
          <w:szCs w:val="30"/>
          <w:rtl/>
          <w:lang w:val="en-GB" w:eastAsia="zh-TW"/>
        </w:rPr>
        <w:t>يحيط علماً أيضاً</w:t>
      </w:r>
      <w:r w:rsidRPr="00D401D4">
        <w:rPr>
          <w:rFonts w:ascii="Traditional Arabic" w:hAnsi="Traditional Arabic" w:cs="Traditional Arabic"/>
          <w:sz w:val="30"/>
          <w:szCs w:val="30"/>
          <w:rtl/>
          <w:lang w:val="en-GB" w:eastAsia="zh-TW"/>
        </w:rPr>
        <w:t xml:space="preserve"> بالقائمة المنقحة بأنواع النفايات التي قدمتها الأطراف استجابةً للمقرر ا ب-10/10، مع </w:t>
      </w:r>
      <w:r>
        <w:rPr>
          <w:rFonts w:ascii="Traditional Arabic" w:hAnsi="Traditional Arabic" w:cs="Traditional Arabic"/>
          <w:sz w:val="30"/>
          <w:szCs w:val="30"/>
          <w:rtl/>
          <w:lang w:val="en-GB" w:eastAsia="zh-TW"/>
        </w:rPr>
        <w:t>مراعاة</w:t>
      </w:r>
      <w:r w:rsidRPr="00D401D4">
        <w:rPr>
          <w:rFonts w:ascii="Traditional Arabic" w:hAnsi="Traditional Arabic" w:cs="Traditional Arabic"/>
          <w:sz w:val="30"/>
          <w:szCs w:val="30"/>
          <w:rtl/>
          <w:lang w:val="en-GB" w:eastAsia="zh-TW"/>
        </w:rPr>
        <w:t xml:space="preserve"> التقدم الذي أحرزته اللجنة المعنية بالنظام المتناسق واللجنة الفرعية لاستعراض النظام </w:t>
      </w:r>
      <w:r>
        <w:rPr>
          <w:rFonts w:ascii="Traditional Arabic" w:hAnsi="Traditional Arabic" w:cs="Traditional Arabic"/>
          <w:sz w:val="30"/>
          <w:szCs w:val="30"/>
          <w:rtl/>
          <w:lang w:val="en-GB" w:eastAsia="zh-TW"/>
        </w:rPr>
        <w:t>المتناسق</w:t>
      </w:r>
      <w:r w:rsidRPr="00D401D4">
        <w:rPr>
          <w:rFonts w:ascii="Traditional Arabic" w:hAnsi="Traditional Arabic" w:cs="Traditional Arabic"/>
          <w:sz w:val="30"/>
          <w:szCs w:val="30"/>
          <w:rtl/>
          <w:lang w:val="en-GB" w:eastAsia="zh-TW"/>
        </w:rPr>
        <w:t xml:space="preserve"> التابعة لها، فضلاً عن المعلومات الواردة من الأطراف بشأن أنواع النفايات التي سيكون من المفيد فيما يخصها أن يُطلب إلى منظمة الجمارك العالمية إدخال رموز في النظام </w:t>
      </w:r>
      <w:r>
        <w:rPr>
          <w:rFonts w:ascii="Traditional Arabic" w:hAnsi="Traditional Arabic" w:cs="Traditional Arabic"/>
          <w:sz w:val="30"/>
          <w:szCs w:val="30"/>
          <w:rtl/>
          <w:lang w:val="en-GB" w:eastAsia="zh-TW"/>
        </w:rPr>
        <w:t>المتناسق</w:t>
      </w:r>
      <w:r w:rsidRPr="00D401D4">
        <w:rPr>
          <w:rFonts w:ascii="Traditional Arabic" w:hAnsi="Traditional Arabic" w:cs="Traditional Arabic"/>
          <w:sz w:val="30"/>
          <w:szCs w:val="30"/>
          <w:rtl/>
          <w:lang w:val="en-GB" w:eastAsia="zh-TW"/>
        </w:rPr>
        <w:t xml:space="preserve"> لتوصيف السلع الأساسية وترميزها</w:t>
      </w:r>
      <w:r w:rsidRPr="00D401D4">
        <w:rPr>
          <w:rFonts w:ascii="Traditional Arabic" w:hAnsi="Traditional Arabic" w:cs="Traditional Arabic"/>
          <w:sz w:val="30"/>
          <w:szCs w:val="30"/>
          <w:vertAlign w:val="superscript"/>
          <w:rtl/>
          <w:lang w:val="en-GB" w:eastAsia="zh-TW"/>
        </w:rPr>
        <w:t>(</w:t>
      </w:r>
      <w:r w:rsidRPr="00D401D4">
        <w:rPr>
          <w:rFonts w:ascii="Traditional Arabic" w:hAnsi="Traditional Arabic" w:cs="Traditional Arabic"/>
          <w:sz w:val="30"/>
          <w:szCs w:val="30"/>
          <w:vertAlign w:val="superscript"/>
          <w:rtl/>
          <w:lang w:val="en-GB" w:eastAsia="zh-TW"/>
        </w:rPr>
        <w:footnoteReference w:id="2"/>
      </w:r>
      <w:r w:rsidRPr="00D401D4">
        <w:rPr>
          <w:rFonts w:ascii="Traditional Arabic" w:hAnsi="Traditional Arabic" w:cs="Traditional Arabic"/>
          <w:sz w:val="30"/>
          <w:szCs w:val="30"/>
          <w:vertAlign w:val="superscript"/>
          <w:rtl/>
          <w:lang w:val="en-GB" w:eastAsia="zh-TW"/>
        </w:rPr>
        <w:t>)</w:t>
      </w:r>
      <w:r w:rsidRPr="00D401D4">
        <w:rPr>
          <w:rFonts w:ascii="Traditional Arabic" w:hAnsi="Traditional Arabic" w:cs="Traditional Arabic"/>
          <w:sz w:val="30"/>
          <w:szCs w:val="30"/>
          <w:rtl/>
          <w:lang w:val="en-GB" w:eastAsia="zh-TW"/>
        </w:rPr>
        <w:t>؛</w:t>
      </w:r>
    </w:p>
    <w:p w14:paraId="7455BFC6" w14:textId="77777777" w:rsidR="00197135" w:rsidRPr="00D401D4" w:rsidRDefault="00197135" w:rsidP="00197135">
      <w:pPr>
        <w:keepNext/>
        <w:keepLines/>
        <w:numPr>
          <w:ilvl w:val="0"/>
          <w:numId w:val="2"/>
        </w:numPr>
        <w:tabs>
          <w:tab w:val="left" w:pos="2409"/>
        </w:tabs>
        <w:spacing w:after="120" w:line="400" w:lineRule="exact"/>
        <w:ind w:left="1133" w:firstLine="709"/>
        <w:jc w:val="both"/>
        <w:textDirection w:val="tbRlV"/>
        <w:rPr>
          <w:rFonts w:ascii="Traditional Arabic" w:hAnsi="Traditional Arabic" w:cs="Traditional Arabic"/>
          <w:sz w:val="30"/>
          <w:szCs w:val="30"/>
          <w:rtl/>
          <w:lang w:val="fr-FR" w:eastAsia="zh-TW"/>
        </w:rPr>
      </w:pPr>
      <w:r w:rsidRPr="00D401D4">
        <w:rPr>
          <w:rFonts w:ascii="Traditional Arabic" w:hAnsi="Traditional Arabic" w:cs="Traditional Arabic"/>
          <w:i/>
          <w:iCs/>
          <w:sz w:val="30"/>
          <w:szCs w:val="30"/>
          <w:rtl/>
          <w:lang w:val="en-GB" w:eastAsia="zh-TW"/>
        </w:rPr>
        <w:t>يطلب</w:t>
      </w:r>
      <w:r w:rsidRPr="00D401D4">
        <w:rPr>
          <w:rFonts w:ascii="Traditional Arabic" w:hAnsi="Traditional Arabic" w:cs="Traditional Arabic"/>
          <w:sz w:val="30"/>
          <w:szCs w:val="30"/>
          <w:rtl/>
          <w:lang w:val="en-GB" w:eastAsia="zh-TW"/>
        </w:rPr>
        <w:t xml:space="preserve"> إلى الأمانة ما يلي:</w:t>
      </w:r>
    </w:p>
    <w:p w14:paraId="18AAF8BB" w14:textId="77777777" w:rsidR="00197135" w:rsidRPr="00D401D4" w:rsidRDefault="00197135" w:rsidP="00197135">
      <w:pPr>
        <w:keepNext/>
        <w:keepLines/>
        <w:numPr>
          <w:ilvl w:val="0"/>
          <w:numId w:val="3"/>
        </w:numPr>
        <w:tabs>
          <w:tab w:val="left" w:pos="2975"/>
        </w:tabs>
        <w:spacing w:after="120" w:line="400" w:lineRule="exact"/>
        <w:ind w:left="1133" w:firstLine="1276"/>
        <w:jc w:val="both"/>
        <w:textDirection w:val="tbRlV"/>
        <w:rPr>
          <w:rFonts w:ascii="Traditional Arabic" w:hAnsi="Traditional Arabic" w:cs="Traditional Arabic"/>
          <w:i/>
          <w:color w:val="000000"/>
          <w:sz w:val="30"/>
          <w:szCs w:val="30"/>
          <w:rtl/>
          <w:lang w:val="fr-FR" w:eastAsia="zh-TW"/>
        </w:rPr>
      </w:pPr>
      <w:r w:rsidRPr="00D401D4">
        <w:rPr>
          <w:rFonts w:ascii="Traditional Arabic" w:hAnsi="Traditional Arabic" w:cs="Traditional Arabic"/>
          <w:sz w:val="30"/>
          <w:szCs w:val="30"/>
          <w:rtl/>
          <w:lang w:val="en-GB" w:eastAsia="zh-TW"/>
        </w:rPr>
        <w:t xml:space="preserve">أن تقدم إلى منظمة الجمارك العالمية اقتراحاً بتعديل النظام </w:t>
      </w:r>
      <w:r>
        <w:rPr>
          <w:rFonts w:ascii="Traditional Arabic" w:hAnsi="Traditional Arabic" w:cs="Traditional Arabic"/>
          <w:sz w:val="30"/>
          <w:szCs w:val="30"/>
          <w:rtl/>
          <w:lang w:val="en-GB" w:eastAsia="zh-TW"/>
        </w:rPr>
        <w:t>المتناسق</w:t>
      </w:r>
      <w:r w:rsidRPr="00D401D4">
        <w:rPr>
          <w:rFonts w:ascii="Traditional Arabic" w:hAnsi="Traditional Arabic" w:cs="Traditional Arabic"/>
          <w:sz w:val="30"/>
          <w:szCs w:val="30"/>
          <w:rtl/>
          <w:lang w:val="en-GB" w:eastAsia="zh-TW"/>
        </w:rPr>
        <w:t xml:space="preserve"> لتوصيف السلع الأساسية وترميزها للسماح بتحديد الأنواع التالية من النفايات</w:t>
      </w:r>
      <w:bookmarkStart w:id="1" w:name="_Hlk8090703"/>
      <w:r w:rsidRPr="00D401D4">
        <w:rPr>
          <w:rFonts w:ascii="Traditional Arabic" w:hAnsi="Traditional Arabic" w:cs="Traditional Arabic"/>
          <w:sz w:val="30"/>
          <w:szCs w:val="30"/>
          <w:rtl/>
          <w:lang w:val="en-GB" w:eastAsia="zh-TW"/>
        </w:rPr>
        <w:t>:</w:t>
      </w:r>
      <w:bookmarkEnd w:id="1"/>
    </w:p>
    <w:p w14:paraId="7214E3B0" w14:textId="77777777" w:rsidR="00197135" w:rsidRPr="00D401D4" w:rsidRDefault="00197135" w:rsidP="00197135">
      <w:pPr>
        <w:widowControl w:val="0"/>
        <w:tabs>
          <w:tab w:val="left" w:pos="3543"/>
        </w:tabs>
        <w:spacing w:after="120" w:line="400" w:lineRule="exact"/>
        <w:ind w:left="2551" w:firstLine="425"/>
        <w:jc w:val="both"/>
        <w:textDirection w:val="tbRlV"/>
        <w:rPr>
          <w:rFonts w:ascii="Traditional Arabic" w:hAnsi="Traditional Arabic" w:cs="Traditional Arabic"/>
          <w:i/>
          <w:color w:val="000000"/>
          <w:sz w:val="30"/>
          <w:szCs w:val="30"/>
          <w:rtl/>
          <w:lang w:val="x-none" w:eastAsia="zh-TW"/>
        </w:rPr>
      </w:pPr>
      <w:r>
        <w:rPr>
          <w:rFonts w:ascii="Traditional Arabic" w:hAnsi="Traditional Arabic" w:cs="Traditional Arabic" w:hint="cs"/>
          <w:sz w:val="30"/>
          <w:szCs w:val="30"/>
          <w:rtl/>
          <w:lang w:val="en-GB" w:eastAsia="zh-TW"/>
        </w:rPr>
        <w:t>’1‘</w:t>
      </w:r>
      <w:r>
        <w:rPr>
          <w:rFonts w:ascii="Traditional Arabic" w:hAnsi="Traditional Arabic" w:cs="Traditional Arabic"/>
          <w:sz w:val="30"/>
          <w:szCs w:val="30"/>
          <w:rtl/>
          <w:lang w:val="en-GB" w:eastAsia="zh-TW"/>
        </w:rPr>
        <w:tab/>
      </w:r>
      <w:r w:rsidRPr="00D401D4">
        <w:rPr>
          <w:rFonts w:ascii="Traditional Arabic" w:hAnsi="Traditional Arabic" w:cs="Traditional Arabic"/>
          <w:sz w:val="30"/>
          <w:szCs w:val="30"/>
          <w:rtl/>
          <w:lang w:val="en-GB" w:eastAsia="zh-TW"/>
        </w:rPr>
        <w:t>أنواع النفايات ذات الأولوية العالية</w:t>
      </w:r>
      <w:bookmarkStart w:id="2" w:name="_Hlk8090756"/>
      <w:r w:rsidRPr="00D401D4">
        <w:rPr>
          <w:rFonts w:ascii="Traditional Arabic" w:hAnsi="Traditional Arabic" w:cs="Traditional Arabic"/>
          <w:sz w:val="30"/>
          <w:szCs w:val="30"/>
          <w:vertAlign w:val="superscript"/>
          <w:lang w:val="en-GB" w:eastAsia="zh-TW"/>
        </w:rPr>
        <w:t>)</w:t>
      </w:r>
      <w:r w:rsidRPr="00D401D4">
        <w:rPr>
          <w:rFonts w:ascii="Traditional Arabic" w:hAnsi="Traditional Arabic" w:cs="Traditional Arabic"/>
          <w:i/>
          <w:sz w:val="30"/>
          <w:szCs w:val="30"/>
          <w:vertAlign w:val="superscript"/>
          <w:rtl/>
          <w:lang w:val="en-GB" w:eastAsia="zh-TW"/>
        </w:rPr>
        <w:footnoteReference w:id="3"/>
      </w:r>
      <w:r w:rsidRPr="00D401D4">
        <w:rPr>
          <w:rFonts w:ascii="Traditional Arabic" w:hAnsi="Traditional Arabic" w:cs="Traditional Arabic"/>
          <w:sz w:val="30"/>
          <w:szCs w:val="30"/>
          <w:vertAlign w:val="superscript"/>
          <w:lang w:val="en-GB" w:eastAsia="zh-TW"/>
        </w:rPr>
        <w:t>(</w:t>
      </w:r>
      <w:bookmarkEnd w:id="2"/>
      <w:r w:rsidRPr="00D401D4">
        <w:rPr>
          <w:rFonts w:ascii="Traditional Arabic" w:hAnsi="Traditional Arabic" w:cs="Traditional Arabic"/>
          <w:sz w:val="30"/>
          <w:szCs w:val="30"/>
          <w:rtl/>
          <w:lang w:val="en-GB" w:eastAsia="zh-TW"/>
        </w:rPr>
        <w:t>:</w:t>
      </w:r>
    </w:p>
    <w:p w14:paraId="266FDB43" w14:textId="77777777" w:rsidR="00197135" w:rsidRPr="004740D8" w:rsidRDefault="00197135" w:rsidP="00197135">
      <w:pPr>
        <w:widowControl w:val="0"/>
        <w:numPr>
          <w:ilvl w:val="2"/>
          <w:numId w:val="4"/>
        </w:numPr>
        <w:tabs>
          <w:tab w:val="left" w:pos="3543"/>
        </w:tabs>
        <w:spacing w:after="120" w:line="360" w:lineRule="exact"/>
        <w:ind w:left="4111" w:hanging="567"/>
        <w:jc w:val="both"/>
        <w:textDirection w:val="tbRlV"/>
        <w:rPr>
          <w:rFonts w:ascii="Traditional Arabic" w:eastAsia="SimSun" w:hAnsi="Traditional Arabic" w:cs="Traditional Arabic"/>
          <w:sz w:val="30"/>
          <w:szCs w:val="30"/>
          <w:rtl/>
          <w:lang w:val="x-none" w:eastAsia="zh-TW"/>
        </w:rPr>
      </w:pPr>
      <w:r w:rsidRPr="00047F32">
        <w:rPr>
          <w:rFonts w:asciiTheme="majorBidi" w:eastAsia="SimSun" w:hAnsiTheme="majorBidi" w:cstheme="majorBidi"/>
          <w:sz w:val="20"/>
          <w:szCs w:val="20"/>
          <w:lang w:val="x-none" w:eastAsia="x-none"/>
        </w:rPr>
        <w:t>B1110</w:t>
      </w:r>
      <w:r w:rsidRPr="004740D8">
        <w:rPr>
          <w:rFonts w:ascii="Traditional Arabic" w:hAnsi="Traditional Arabic" w:cs="Traditional Arabic"/>
          <w:sz w:val="30"/>
          <w:szCs w:val="30"/>
          <w:rtl/>
          <w:lang w:val="en-GB" w:eastAsia="zh-TW"/>
        </w:rPr>
        <w:t xml:space="preserve"> و</w:t>
      </w:r>
      <w:r w:rsidRPr="00DE76D6">
        <w:rPr>
          <w:rFonts w:asciiTheme="majorBidi" w:eastAsia="SimSun" w:hAnsiTheme="majorBidi" w:cstheme="majorBidi"/>
          <w:sz w:val="20"/>
          <w:szCs w:val="20"/>
          <w:lang w:val="x-none" w:eastAsia="x-none"/>
        </w:rPr>
        <w:t xml:space="preserve"> A1180</w:t>
      </w:r>
      <w:r w:rsidRPr="004740D8">
        <w:rPr>
          <w:rFonts w:ascii="Traditional Arabic" w:hAnsi="Traditional Arabic" w:cs="Traditional Arabic"/>
          <w:sz w:val="30"/>
          <w:szCs w:val="30"/>
          <w:rtl/>
          <w:lang w:val="en-GB" w:eastAsia="zh-TW"/>
        </w:rPr>
        <w:t xml:space="preserve"> - الأجهزة الكهربائية والإلكترونية</w:t>
      </w:r>
      <w:r w:rsidRPr="004740D8">
        <w:rPr>
          <w:rFonts w:ascii="Traditional Arabic" w:eastAsia="SimSun" w:hAnsi="Traditional Arabic" w:cs="Traditional Arabic"/>
          <w:sz w:val="30"/>
          <w:szCs w:val="30"/>
          <w:vertAlign w:val="superscript"/>
          <w:lang w:val="en-GB" w:eastAsia="zh-TW"/>
        </w:rPr>
        <w:t>)</w:t>
      </w:r>
      <w:r w:rsidRPr="004740D8">
        <w:rPr>
          <w:rFonts w:ascii="Traditional Arabic" w:eastAsia="SimSun" w:hAnsi="Traditional Arabic" w:cs="Traditional Arabic"/>
          <w:i/>
          <w:sz w:val="30"/>
          <w:szCs w:val="30"/>
          <w:vertAlign w:val="superscript"/>
          <w:rtl/>
          <w:lang w:val="en-GB" w:eastAsia="zh-TW"/>
        </w:rPr>
        <w:footnoteReference w:id="4"/>
      </w:r>
      <w:r w:rsidRPr="004740D8">
        <w:rPr>
          <w:rFonts w:ascii="Traditional Arabic" w:eastAsia="SimSun" w:hAnsi="Traditional Arabic" w:cs="Traditional Arabic"/>
          <w:sz w:val="30"/>
          <w:szCs w:val="30"/>
          <w:vertAlign w:val="superscript"/>
          <w:lang w:val="en-GB" w:eastAsia="zh-TW"/>
        </w:rPr>
        <w:t>(</w:t>
      </w:r>
      <w:r w:rsidRPr="004740D8">
        <w:rPr>
          <w:rFonts w:ascii="Traditional Arabic" w:eastAsia="SimSun" w:hAnsi="Traditional Arabic" w:cs="Traditional Arabic"/>
          <w:sz w:val="30"/>
          <w:szCs w:val="30"/>
          <w:rtl/>
          <w:lang w:val="en-GB" w:eastAsia="zh-TW"/>
        </w:rPr>
        <w:t>؛</w:t>
      </w:r>
    </w:p>
    <w:p w14:paraId="2C3B6ACA" w14:textId="77777777" w:rsidR="00197135" w:rsidRPr="004740D8" w:rsidRDefault="00197135" w:rsidP="00197135">
      <w:pPr>
        <w:widowControl w:val="0"/>
        <w:numPr>
          <w:ilvl w:val="2"/>
          <w:numId w:val="4"/>
        </w:numPr>
        <w:tabs>
          <w:tab w:val="left" w:pos="3543"/>
        </w:tabs>
        <w:spacing w:after="120" w:line="360" w:lineRule="exact"/>
        <w:ind w:left="4111" w:hanging="567"/>
        <w:jc w:val="both"/>
        <w:textDirection w:val="tbRlV"/>
        <w:rPr>
          <w:rFonts w:ascii="Traditional Arabic" w:eastAsia="SimSun" w:hAnsi="Traditional Arabic" w:cs="Traditional Arabic"/>
          <w:sz w:val="30"/>
          <w:szCs w:val="30"/>
          <w:rtl/>
          <w:lang w:val="x-none" w:eastAsia="zh-TW"/>
        </w:rPr>
      </w:pPr>
      <w:r w:rsidRPr="00DE76D6">
        <w:rPr>
          <w:rFonts w:asciiTheme="majorBidi" w:eastAsia="SimSun" w:hAnsiTheme="majorBidi" w:cstheme="majorBidi"/>
          <w:sz w:val="20"/>
          <w:szCs w:val="20"/>
          <w:lang w:val="x-none" w:eastAsia="x-none"/>
        </w:rPr>
        <w:t>A1160</w:t>
      </w:r>
      <w:r>
        <w:rPr>
          <w:rFonts w:asciiTheme="majorBidi" w:eastAsia="SimSun" w:hAnsiTheme="majorBidi" w:cstheme="majorBidi"/>
          <w:sz w:val="20"/>
          <w:szCs w:val="20"/>
          <w:rtl/>
          <w:lang w:val="x-none" w:eastAsia="x-none"/>
        </w:rPr>
        <w:t xml:space="preserve"> </w:t>
      </w:r>
      <w:r w:rsidRPr="004740D8">
        <w:rPr>
          <w:rFonts w:ascii="Traditional Arabic" w:hAnsi="Traditional Arabic" w:cs="Traditional Arabic"/>
          <w:sz w:val="30"/>
          <w:szCs w:val="30"/>
          <w:rtl/>
          <w:lang w:val="en-GB" w:eastAsia="zh-TW"/>
        </w:rPr>
        <w:t>- نفايات بطاريات الرصاص الحمضية، كاملة أو مطحونة</w:t>
      </w:r>
      <w:r w:rsidRPr="004740D8">
        <w:rPr>
          <w:rFonts w:ascii="Traditional Arabic" w:eastAsia="SimSun" w:hAnsi="Traditional Arabic" w:cs="Traditional Arabic"/>
          <w:sz w:val="30"/>
          <w:szCs w:val="30"/>
          <w:vertAlign w:val="superscript"/>
          <w:lang w:val="en-GB" w:eastAsia="zh-TW"/>
        </w:rPr>
        <w:t>)</w:t>
      </w:r>
      <w:r w:rsidRPr="004740D8">
        <w:rPr>
          <w:rFonts w:ascii="Traditional Arabic" w:eastAsia="SimSun" w:hAnsi="Traditional Arabic" w:cs="Traditional Arabic"/>
          <w:i/>
          <w:sz w:val="30"/>
          <w:szCs w:val="30"/>
          <w:vertAlign w:val="superscript"/>
          <w:rtl/>
          <w:lang w:val="en-GB" w:eastAsia="zh-TW"/>
        </w:rPr>
        <w:footnoteReference w:id="5"/>
      </w:r>
      <w:r w:rsidRPr="004740D8">
        <w:rPr>
          <w:rFonts w:ascii="Traditional Arabic" w:eastAsia="SimSun" w:hAnsi="Traditional Arabic" w:cs="Traditional Arabic"/>
          <w:sz w:val="30"/>
          <w:szCs w:val="30"/>
          <w:vertAlign w:val="superscript"/>
          <w:lang w:val="en-GB" w:eastAsia="zh-TW"/>
        </w:rPr>
        <w:t>(</w:t>
      </w:r>
      <w:r w:rsidRPr="004740D8">
        <w:rPr>
          <w:rFonts w:ascii="Traditional Arabic" w:eastAsia="SimSun" w:hAnsi="Traditional Arabic" w:cs="Traditional Arabic"/>
          <w:sz w:val="30"/>
          <w:szCs w:val="30"/>
          <w:rtl/>
          <w:lang w:val="en-GB" w:eastAsia="zh-TW"/>
        </w:rPr>
        <w:t>؛</w:t>
      </w:r>
    </w:p>
    <w:p w14:paraId="7E7C8BDD" w14:textId="77777777" w:rsidR="00197135" w:rsidRPr="004740D8" w:rsidRDefault="00197135" w:rsidP="00197135">
      <w:pPr>
        <w:widowControl w:val="0"/>
        <w:numPr>
          <w:ilvl w:val="2"/>
          <w:numId w:val="4"/>
        </w:numPr>
        <w:tabs>
          <w:tab w:val="left" w:pos="3543"/>
        </w:tabs>
        <w:spacing w:after="120" w:line="360" w:lineRule="exact"/>
        <w:ind w:left="4111" w:hanging="567"/>
        <w:jc w:val="both"/>
        <w:textDirection w:val="tbRlV"/>
        <w:rPr>
          <w:rFonts w:ascii="Traditional Arabic" w:eastAsia="SimSun" w:hAnsi="Traditional Arabic" w:cs="Traditional Arabic"/>
          <w:sz w:val="30"/>
          <w:szCs w:val="30"/>
          <w:rtl/>
          <w:lang w:val="x-none" w:eastAsia="zh-TW"/>
        </w:rPr>
      </w:pPr>
      <w:r w:rsidRPr="00DE76D6">
        <w:rPr>
          <w:rFonts w:asciiTheme="majorBidi" w:eastAsia="SimSun" w:hAnsiTheme="majorBidi" w:cstheme="majorBidi"/>
          <w:sz w:val="20"/>
          <w:szCs w:val="20"/>
          <w:lang w:val="x-none" w:eastAsia="x-none"/>
        </w:rPr>
        <w:t>A3210</w:t>
      </w:r>
      <w:r w:rsidRPr="004740D8">
        <w:rPr>
          <w:rFonts w:ascii="Traditional Arabic" w:hAnsi="Traditional Arabic" w:cs="Traditional Arabic"/>
          <w:sz w:val="30"/>
          <w:szCs w:val="30"/>
          <w:rtl/>
          <w:lang w:val="en-GB" w:eastAsia="zh-TW"/>
        </w:rPr>
        <w:t xml:space="preserve">؛ </w:t>
      </w:r>
      <w:r w:rsidRPr="00DE76D6">
        <w:rPr>
          <w:rFonts w:asciiTheme="majorBidi" w:eastAsia="SimSun" w:hAnsiTheme="majorBidi" w:cstheme="majorBidi"/>
          <w:sz w:val="20"/>
          <w:szCs w:val="20"/>
          <w:lang w:val="x-none" w:eastAsia="x-none"/>
        </w:rPr>
        <w:t>B3011</w:t>
      </w:r>
      <w:r w:rsidRPr="004740D8">
        <w:rPr>
          <w:rFonts w:ascii="Traditional Arabic" w:hAnsi="Traditional Arabic" w:cs="Traditional Arabic"/>
          <w:sz w:val="30"/>
          <w:szCs w:val="30"/>
          <w:rtl/>
          <w:lang w:val="en-GB" w:eastAsia="zh-TW"/>
        </w:rPr>
        <w:t xml:space="preserve">؛ </w:t>
      </w:r>
      <w:r w:rsidRPr="00DE76D6">
        <w:rPr>
          <w:rFonts w:asciiTheme="majorBidi" w:eastAsia="SimSun" w:hAnsiTheme="majorBidi" w:cstheme="majorBidi"/>
          <w:sz w:val="20"/>
          <w:szCs w:val="20"/>
          <w:lang w:val="x-none" w:eastAsia="x-none"/>
        </w:rPr>
        <w:t xml:space="preserve">Y48 </w:t>
      </w:r>
      <w:r>
        <w:rPr>
          <w:rFonts w:asciiTheme="majorBidi" w:eastAsia="SimSun" w:hAnsiTheme="majorBidi" w:cstheme="majorBidi"/>
          <w:sz w:val="20"/>
          <w:szCs w:val="20"/>
          <w:rtl/>
          <w:lang w:val="x-none" w:eastAsia="x-none"/>
        </w:rPr>
        <w:t xml:space="preserve"> </w:t>
      </w:r>
      <w:r w:rsidRPr="004740D8">
        <w:rPr>
          <w:rFonts w:ascii="Traditional Arabic" w:hAnsi="Traditional Arabic" w:cs="Traditional Arabic"/>
          <w:sz w:val="30"/>
          <w:szCs w:val="30"/>
          <w:rtl/>
          <w:lang w:val="en-GB" w:eastAsia="zh-TW"/>
        </w:rPr>
        <w:t>- النفايات البلاستيكية</w:t>
      </w:r>
      <w:r>
        <w:rPr>
          <w:rFonts w:ascii="Traditional Arabic" w:hAnsi="Traditional Arabic" w:cs="Traditional Arabic"/>
          <w:sz w:val="30"/>
          <w:szCs w:val="30"/>
          <w:rtl/>
          <w:lang w:val="en-GB" w:eastAsia="zh-TW"/>
        </w:rPr>
        <w:t>؛</w:t>
      </w:r>
    </w:p>
    <w:p w14:paraId="0B0E9E3E" w14:textId="77777777" w:rsidR="00197135" w:rsidRPr="004740D8" w:rsidRDefault="00197135" w:rsidP="00197135">
      <w:pPr>
        <w:widowControl w:val="0"/>
        <w:numPr>
          <w:ilvl w:val="2"/>
          <w:numId w:val="4"/>
        </w:numPr>
        <w:spacing w:after="120" w:line="360" w:lineRule="exact"/>
        <w:ind w:left="4111" w:hanging="567"/>
        <w:jc w:val="both"/>
        <w:textDirection w:val="tbRlV"/>
        <w:rPr>
          <w:rFonts w:ascii="Traditional Arabic" w:eastAsia="SimSun" w:hAnsi="Traditional Arabic" w:cs="Traditional Arabic"/>
          <w:sz w:val="30"/>
          <w:szCs w:val="30"/>
          <w:rtl/>
          <w:lang w:val="x-none" w:eastAsia="zh-TW"/>
        </w:rPr>
      </w:pPr>
      <w:r w:rsidRPr="00DE76D6">
        <w:rPr>
          <w:rFonts w:asciiTheme="majorBidi" w:eastAsia="SimSun" w:hAnsiTheme="majorBidi" w:cstheme="majorBidi"/>
          <w:sz w:val="20"/>
          <w:szCs w:val="20"/>
          <w:lang w:val="x-none" w:eastAsia="x-none"/>
        </w:rPr>
        <w:t>A1010</w:t>
      </w:r>
      <w:r w:rsidRPr="004740D8">
        <w:rPr>
          <w:rFonts w:ascii="Traditional Arabic" w:hAnsi="Traditional Arabic" w:cs="Traditional Arabic"/>
          <w:sz w:val="30"/>
          <w:szCs w:val="30"/>
          <w:rtl/>
          <w:lang w:val="en-GB" w:eastAsia="zh-TW"/>
        </w:rPr>
        <w:t xml:space="preserve">، </w:t>
      </w:r>
      <w:r w:rsidRPr="00DE76D6">
        <w:rPr>
          <w:rFonts w:asciiTheme="majorBidi" w:eastAsia="SimSun" w:hAnsiTheme="majorBidi" w:cstheme="majorBidi"/>
          <w:sz w:val="20"/>
          <w:szCs w:val="20"/>
          <w:lang w:val="x-none" w:eastAsia="x-none"/>
        </w:rPr>
        <w:t>A1020</w:t>
      </w:r>
      <w:r w:rsidRPr="004740D8">
        <w:rPr>
          <w:rFonts w:ascii="Traditional Arabic" w:hAnsi="Traditional Arabic" w:cs="Traditional Arabic"/>
          <w:sz w:val="30"/>
          <w:szCs w:val="30"/>
          <w:rtl/>
          <w:lang w:val="en-GB" w:eastAsia="zh-TW"/>
        </w:rPr>
        <w:t xml:space="preserve">، </w:t>
      </w:r>
      <w:r w:rsidRPr="00DE76D6">
        <w:rPr>
          <w:rFonts w:asciiTheme="majorBidi" w:eastAsia="SimSun" w:hAnsiTheme="majorBidi" w:cstheme="majorBidi"/>
          <w:sz w:val="20"/>
          <w:szCs w:val="20"/>
          <w:lang w:val="x-none" w:eastAsia="x-none"/>
        </w:rPr>
        <w:t>A1030</w:t>
      </w:r>
      <w:r w:rsidRPr="004740D8">
        <w:rPr>
          <w:rFonts w:ascii="Traditional Arabic" w:hAnsi="Traditional Arabic" w:cs="Traditional Arabic"/>
          <w:sz w:val="30"/>
          <w:szCs w:val="30"/>
          <w:rtl/>
          <w:lang w:val="en-GB" w:eastAsia="zh-TW"/>
        </w:rPr>
        <w:t xml:space="preserve">، </w:t>
      </w:r>
      <w:r w:rsidRPr="00DE76D6">
        <w:rPr>
          <w:rFonts w:asciiTheme="majorBidi" w:eastAsia="SimSun" w:hAnsiTheme="majorBidi" w:cstheme="majorBidi"/>
          <w:sz w:val="20"/>
          <w:szCs w:val="20"/>
          <w:lang w:val="x-none" w:eastAsia="x-none"/>
        </w:rPr>
        <w:t>A1040</w:t>
      </w:r>
      <w:r w:rsidRPr="00DE76D6">
        <w:rPr>
          <w:rFonts w:asciiTheme="majorBidi" w:eastAsia="SimSun" w:hAnsiTheme="majorBidi" w:cstheme="majorBidi"/>
          <w:sz w:val="20"/>
          <w:szCs w:val="20"/>
          <w:rtl/>
          <w:lang w:val="x-none" w:eastAsia="x-none"/>
        </w:rPr>
        <w:t xml:space="preserve"> </w:t>
      </w:r>
      <w:r w:rsidRPr="004740D8">
        <w:rPr>
          <w:rFonts w:ascii="Traditional Arabic" w:hAnsi="Traditional Arabic" w:cs="Traditional Arabic"/>
          <w:sz w:val="30"/>
          <w:szCs w:val="30"/>
          <w:rtl/>
          <w:lang w:val="en-GB" w:eastAsia="zh-TW"/>
        </w:rPr>
        <w:t>- النفايات/المركبات المعدنية</w:t>
      </w:r>
      <w:r>
        <w:rPr>
          <w:rFonts w:ascii="Traditional Arabic" w:hAnsi="Traditional Arabic" w:cs="Traditional Arabic"/>
          <w:sz w:val="30"/>
          <w:szCs w:val="30"/>
          <w:rtl/>
          <w:lang w:val="en-GB" w:eastAsia="zh-TW"/>
        </w:rPr>
        <w:t>؛</w:t>
      </w:r>
    </w:p>
    <w:p w14:paraId="4AD954DD" w14:textId="77777777" w:rsidR="00197135" w:rsidRPr="004740D8" w:rsidRDefault="00197135" w:rsidP="00197135">
      <w:pPr>
        <w:widowControl w:val="0"/>
        <w:numPr>
          <w:ilvl w:val="2"/>
          <w:numId w:val="4"/>
        </w:numPr>
        <w:tabs>
          <w:tab w:val="left" w:pos="3543"/>
        </w:tabs>
        <w:spacing w:after="120" w:line="360" w:lineRule="exact"/>
        <w:ind w:left="4111" w:hanging="567"/>
        <w:jc w:val="both"/>
        <w:textDirection w:val="tbRlV"/>
        <w:rPr>
          <w:rFonts w:ascii="Traditional Arabic" w:eastAsia="SimSun" w:hAnsi="Traditional Arabic" w:cs="Traditional Arabic"/>
          <w:sz w:val="30"/>
          <w:szCs w:val="30"/>
          <w:rtl/>
          <w:lang w:val="x-none" w:eastAsia="zh-TW"/>
        </w:rPr>
      </w:pPr>
      <w:r w:rsidRPr="00F6686F">
        <w:rPr>
          <w:rFonts w:asciiTheme="majorBidi" w:eastAsia="SimSun" w:hAnsiTheme="majorBidi" w:cstheme="majorBidi"/>
          <w:sz w:val="20"/>
          <w:szCs w:val="20"/>
          <w:lang w:val="x-none" w:eastAsia="x-none"/>
        </w:rPr>
        <w:t>A3020</w:t>
      </w:r>
      <w:r w:rsidRPr="004740D8">
        <w:rPr>
          <w:rFonts w:ascii="Traditional Arabic" w:hAnsi="Traditional Arabic" w:cs="Traditional Arabic"/>
          <w:sz w:val="30"/>
          <w:szCs w:val="30"/>
          <w:rtl/>
          <w:lang w:val="en-GB" w:eastAsia="zh-TW"/>
        </w:rPr>
        <w:t xml:space="preserve">- نفايات الزيوت المعدنية غير الصالحة للاستخدام المقصود منها أصلاً، إضافةً إلى </w:t>
      </w:r>
      <w:r w:rsidRPr="00F6686F">
        <w:rPr>
          <w:rFonts w:asciiTheme="majorBidi" w:eastAsia="SimSun" w:hAnsiTheme="majorBidi" w:cstheme="majorBidi"/>
          <w:sz w:val="20"/>
          <w:szCs w:val="20"/>
          <w:lang w:val="x-none" w:eastAsia="x-none"/>
        </w:rPr>
        <w:t xml:space="preserve">A3180 </w:t>
      </w:r>
      <w:r w:rsidRPr="00F6686F">
        <w:rPr>
          <w:rFonts w:asciiTheme="majorBidi" w:eastAsia="SimSun" w:hAnsiTheme="majorBidi" w:cstheme="majorBidi"/>
          <w:sz w:val="20"/>
          <w:szCs w:val="20"/>
          <w:rtl/>
          <w:lang w:val="x-none" w:eastAsia="x-none"/>
        </w:rPr>
        <w:t xml:space="preserve"> </w:t>
      </w:r>
      <w:r w:rsidRPr="004740D8">
        <w:rPr>
          <w:rFonts w:ascii="Traditional Arabic" w:hAnsi="Traditional Arabic" w:cs="Traditional Arabic"/>
          <w:sz w:val="30"/>
          <w:szCs w:val="30"/>
          <w:rtl/>
          <w:lang w:val="en-GB" w:eastAsia="zh-TW"/>
        </w:rPr>
        <w:t xml:space="preserve">- النفايات والمواد والأشياء المحتوية على مركبات ثنائية الفينيل متعددة الكلور أو تيرفينيلات متعددة الكلور أو </w:t>
      </w:r>
      <w:r w:rsidRPr="004740D8">
        <w:rPr>
          <w:rFonts w:ascii="Traditional Arabic" w:hAnsi="Traditional Arabic" w:cs="Traditional Arabic"/>
          <w:sz w:val="30"/>
          <w:szCs w:val="30"/>
          <w:rtl/>
          <w:lang w:val="en-GB" w:eastAsia="zh-TW"/>
        </w:rPr>
        <w:lastRenderedPageBreak/>
        <w:t>نفثالينات متعددة الكلور أو مركبات ثنائية الفينيل متعددة البروم أو المكونة من هذه المركبات أو الملوثة بها، أو أي مركبات مشابهة أخرى متعددة البروم</w:t>
      </w:r>
      <w:r>
        <w:rPr>
          <w:rFonts w:ascii="Traditional Arabic" w:hAnsi="Traditional Arabic" w:cs="Traditional Arabic"/>
          <w:sz w:val="30"/>
          <w:szCs w:val="30"/>
          <w:rtl/>
          <w:lang w:val="en-GB" w:eastAsia="zh-TW"/>
        </w:rPr>
        <w:t>؛</w:t>
      </w:r>
    </w:p>
    <w:p w14:paraId="0E997FCD" w14:textId="77777777" w:rsidR="00197135" w:rsidRPr="003F25B9" w:rsidRDefault="00197135" w:rsidP="00197135">
      <w:pPr>
        <w:widowControl w:val="0"/>
        <w:numPr>
          <w:ilvl w:val="2"/>
          <w:numId w:val="4"/>
        </w:numPr>
        <w:spacing w:after="120" w:line="360" w:lineRule="exact"/>
        <w:ind w:left="4111" w:hanging="567"/>
        <w:jc w:val="both"/>
        <w:textDirection w:val="tbRlV"/>
        <w:rPr>
          <w:rFonts w:ascii="Traditional Arabic" w:eastAsia="SimSun" w:hAnsi="Traditional Arabic" w:cs="Traditional Arabic"/>
          <w:w w:val="94"/>
          <w:sz w:val="30"/>
          <w:szCs w:val="30"/>
          <w:rtl/>
          <w:lang w:val="x-none" w:eastAsia="zh-TW"/>
        </w:rPr>
      </w:pPr>
      <w:r w:rsidRPr="003F25B9">
        <w:rPr>
          <w:rFonts w:asciiTheme="majorBidi" w:eastAsia="SimSun" w:hAnsiTheme="majorBidi" w:cstheme="majorBidi"/>
          <w:w w:val="94"/>
          <w:sz w:val="20"/>
          <w:szCs w:val="20"/>
          <w:lang w:val="x-none" w:eastAsia="x-none"/>
        </w:rPr>
        <w:t>A4030</w:t>
      </w:r>
      <w:r w:rsidRPr="003F25B9">
        <w:rPr>
          <w:rFonts w:ascii="Traditional Arabic" w:hAnsi="Traditional Arabic" w:cs="Traditional Arabic"/>
          <w:w w:val="94"/>
          <w:sz w:val="30"/>
          <w:szCs w:val="30"/>
          <w:rtl/>
          <w:lang w:val="en-GB" w:eastAsia="zh-TW"/>
        </w:rPr>
        <w:t xml:space="preserve"> - النفايات المتولدة عن إنتاج وتركيب واستخدام المبيدات البيولوجية والمستحضرات الصيدلانية النباتية الأصل، بما في ذلك نفايات مبيدات الآفات؛</w:t>
      </w:r>
    </w:p>
    <w:p w14:paraId="31C882F6" w14:textId="77777777" w:rsidR="00197135" w:rsidRPr="004740D8" w:rsidRDefault="00197135" w:rsidP="00197135">
      <w:pPr>
        <w:widowControl w:val="0"/>
        <w:numPr>
          <w:ilvl w:val="2"/>
          <w:numId w:val="4"/>
        </w:numPr>
        <w:tabs>
          <w:tab w:val="left" w:pos="3543"/>
        </w:tabs>
        <w:spacing w:after="120" w:line="360" w:lineRule="exact"/>
        <w:ind w:left="4111" w:hanging="567"/>
        <w:jc w:val="both"/>
        <w:textDirection w:val="tbRlV"/>
        <w:rPr>
          <w:rFonts w:ascii="Traditional Arabic" w:eastAsia="SimSun" w:hAnsi="Traditional Arabic" w:cs="Traditional Arabic"/>
          <w:sz w:val="30"/>
          <w:szCs w:val="30"/>
          <w:rtl/>
          <w:lang w:val="x-none" w:eastAsia="zh-TW"/>
        </w:rPr>
      </w:pPr>
      <w:r w:rsidRPr="000D0E48">
        <w:rPr>
          <w:rFonts w:asciiTheme="majorBidi" w:eastAsia="SimSun" w:hAnsiTheme="majorBidi" w:cstheme="majorBidi"/>
          <w:sz w:val="20"/>
          <w:szCs w:val="20"/>
          <w:lang w:val="x-none" w:eastAsia="x-none"/>
        </w:rPr>
        <w:t>B1250</w:t>
      </w:r>
      <w:r w:rsidRPr="004740D8">
        <w:rPr>
          <w:rFonts w:ascii="Traditional Arabic" w:hAnsi="Traditional Arabic" w:cs="Traditional Arabic"/>
          <w:sz w:val="30"/>
          <w:szCs w:val="30"/>
          <w:rtl/>
          <w:lang w:val="en-GB" w:eastAsia="zh-TW"/>
        </w:rPr>
        <w:t xml:space="preserve"> - نفايات المركبات المنتهية الصلاحية التي لا تحتوي على سوائل أو مكونات خطرة أخرى</w:t>
      </w:r>
      <w:r>
        <w:rPr>
          <w:rFonts w:ascii="Traditional Arabic" w:hAnsi="Traditional Arabic" w:cs="Traditional Arabic"/>
          <w:sz w:val="30"/>
          <w:szCs w:val="30"/>
          <w:rtl/>
          <w:lang w:val="en-GB" w:eastAsia="zh-TW"/>
        </w:rPr>
        <w:t>؛</w:t>
      </w:r>
    </w:p>
    <w:p w14:paraId="7454E6A3" w14:textId="77777777" w:rsidR="00197135" w:rsidRPr="004740D8" w:rsidRDefault="00197135" w:rsidP="00197135">
      <w:pPr>
        <w:widowControl w:val="0"/>
        <w:numPr>
          <w:ilvl w:val="2"/>
          <w:numId w:val="4"/>
        </w:numPr>
        <w:tabs>
          <w:tab w:val="left" w:pos="3543"/>
        </w:tabs>
        <w:spacing w:after="120" w:line="360" w:lineRule="exact"/>
        <w:ind w:left="4111" w:hanging="567"/>
        <w:jc w:val="both"/>
        <w:textDirection w:val="tbRlV"/>
        <w:rPr>
          <w:rFonts w:ascii="Traditional Arabic" w:eastAsia="SimSun" w:hAnsi="Traditional Arabic" w:cs="Traditional Arabic"/>
          <w:sz w:val="30"/>
          <w:szCs w:val="30"/>
          <w:rtl/>
          <w:lang w:val="x-none" w:eastAsia="zh-TW"/>
        </w:rPr>
      </w:pPr>
      <w:r w:rsidRPr="00376A7C">
        <w:rPr>
          <w:rFonts w:asciiTheme="majorBidi" w:eastAsia="SimSun" w:hAnsiTheme="majorBidi" w:cstheme="majorBidi"/>
          <w:sz w:val="20"/>
          <w:szCs w:val="20"/>
          <w:lang w:val="x-none" w:eastAsia="x-none"/>
        </w:rPr>
        <w:t>B3140</w:t>
      </w:r>
      <w:r>
        <w:rPr>
          <w:rFonts w:asciiTheme="majorBidi" w:eastAsia="SimSun" w:hAnsiTheme="majorBidi" w:cstheme="majorBidi"/>
          <w:sz w:val="20"/>
          <w:szCs w:val="20"/>
          <w:rtl/>
          <w:lang w:val="x-none" w:eastAsia="x-none"/>
        </w:rPr>
        <w:t xml:space="preserve"> </w:t>
      </w:r>
      <w:r w:rsidRPr="004740D8">
        <w:rPr>
          <w:rFonts w:ascii="Traditional Arabic" w:hAnsi="Traditional Arabic" w:cs="Traditional Arabic"/>
          <w:sz w:val="30"/>
          <w:szCs w:val="30"/>
          <w:rtl/>
          <w:lang w:val="en-GB" w:eastAsia="zh-TW"/>
        </w:rPr>
        <w:t>- نفايات الإطارات الهوائية</w:t>
      </w:r>
      <w:r>
        <w:rPr>
          <w:rFonts w:ascii="Traditional Arabic" w:hAnsi="Traditional Arabic" w:cs="Traditional Arabic"/>
          <w:sz w:val="30"/>
          <w:szCs w:val="30"/>
          <w:rtl/>
          <w:lang w:val="en-GB" w:eastAsia="zh-TW"/>
        </w:rPr>
        <w:t>؛</w:t>
      </w:r>
    </w:p>
    <w:p w14:paraId="78210228" w14:textId="77777777" w:rsidR="00197135" w:rsidRPr="00D401D4" w:rsidRDefault="00197135" w:rsidP="00197135">
      <w:pPr>
        <w:widowControl w:val="0"/>
        <w:tabs>
          <w:tab w:val="left" w:pos="3543"/>
        </w:tabs>
        <w:spacing w:after="120" w:line="400" w:lineRule="exact"/>
        <w:ind w:left="2551" w:firstLine="425"/>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’2‘</w:t>
      </w:r>
      <w:r>
        <w:rPr>
          <w:rFonts w:ascii="Traditional Arabic" w:hAnsi="Traditional Arabic" w:cs="Traditional Arabic"/>
          <w:sz w:val="30"/>
          <w:szCs w:val="30"/>
          <w:rtl/>
          <w:lang w:val="en-GB" w:eastAsia="zh-TW"/>
        </w:rPr>
        <w:tab/>
      </w:r>
      <w:r w:rsidRPr="00D401D4">
        <w:rPr>
          <w:rFonts w:ascii="Traditional Arabic" w:hAnsi="Traditional Arabic" w:cs="Traditional Arabic"/>
          <w:sz w:val="30"/>
          <w:szCs w:val="30"/>
          <w:rtl/>
          <w:lang w:val="en-GB" w:eastAsia="zh-TW"/>
        </w:rPr>
        <w:t>أنواع النفايات ذات الأولوية المتوسطة:</w:t>
      </w:r>
      <w:r w:rsidRPr="00D401D4">
        <w:rPr>
          <w:rFonts w:ascii="Traditional Arabic" w:hAnsi="Traditional Arabic" w:cs="Traditional Arabic"/>
          <w:sz w:val="30"/>
          <w:szCs w:val="30"/>
          <w:vertAlign w:val="superscript"/>
          <w:lang w:val="en-GB" w:eastAsia="zh-TW"/>
        </w:rPr>
        <w:t>)</w:t>
      </w:r>
      <w:r w:rsidRPr="00D401D4">
        <w:rPr>
          <w:rFonts w:ascii="Traditional Arabic" w:hAnsi="Traditional Arabic" w:cs="Traditional Arabic"/>
          <w:i/>
          <w:sz w:val="30"/>
          <w:szCs w:val="30"/>
          <w:vertAlign w:val="superscript"/>
          <w:rtl/>
          <w:lang w:val="en-GB" w:eastAsia="zh-TW"/>
        </w:rPr>
        <w:footnoteReference w:id="6"/>
      </w:r>
      <w:r w:rsidRPr="00D401D4">
        <w:rPr>
          <w:rFonts w:ascii="Traditional Arabic" w:hAnsi="Traditional Arabic" w:cs="Traditional Arabic"/>
          <w:sz w:val="30"/>
          <w:szCs w:val="30"/>
          <w:vertAlign w:val="superscript"/>
          <w:lang w:val="en-GB" w:eastAsia="zh-TW"/>
        </w:rPr>
        <w:t>(</w:t>
      </w:r>
    </w:p>
    <w:p w14:paraId="255CBDFB" w14:textId="77777777" w:rsidR="00197135" w:rsidRPr="00D401D4" w:rsidRDefault="00197135" w:rsidP="00197135">
      <w:pPr>
        <w:widowControl w:val="0"/>
        <w:numPr>
          <w:ilvl w:val="2"/>
          <w:numId w:val="5"/>
        </w:numPr>
        <w:tabs>
          <w:tab w:val="left" w:pos="3401"/>
        </w:tabs>
        <w:spacing w:after="120" w:line="400" w:lineRule="exact"/>
        <w:ind w:left="4110" w:hanging="567"/>
        <w:jc w:val="both"/>
        <w:textDirection w:val="tbRlV"/>
        <w:rPr>
          <w:rFonts w:ascii="Traditional Arabic" w:eastAsia="SimSun" w:hAnsi="Traditional Arabic" w:cs="Traditional Arabic"/>
          <w:sz w:val="30"/>
          <w:szCs w:val="30"/>
          <w:rtl/>
          <w:lang w:val="x-none" w:eastAsia="zh-TW"/>
        </w:rPr>
      </w:pPr>
      <w:r w:rsidRPr="00376A7C">
        <w:rPr>
          <w:rFonts w:asciiTheme="majorBidi" w:eastAsia="SimSun" w:hAnsiTheme="majorBidi" w:cstheme="majorBidi"/>
          <w:sz w:val="20"/>
          <w:szCs w:val="20"/>
          <w:lang w:val="x-none" w:eastAsia="x-none"/>
        </w:rPr>
        <w:t>A3090</w:t>
      </w:r>
      <w:r w:rsidRPr="00D401D4">
        <w:rPr>
          <w:rFonts w:ascii="Traditional Arabic" w:hAnsi="Traditional Arabic" w:cs="Traditional Arabic"/>
          <w:sz w:val="30"/>
          <w:szCs w:val="30"/>
          <w:rtl/>
          <w:lang w:val="en-GB" w:eastAsia="zh-TW"/>
        </w:rPr>
        <w:t xml:space="preserve"> - نفايات غبار الجلود والرماد والحمأة وذرات الدقيق المحتوية على مركبات الكروم السداسية التكافؤ أو مبيدات بيولوجية</w:t>
      </w:r>
      <w:r>
        <w:rPr>
          <w:rFonts w:ascii="Traditional Arabic" w:hAnsi="Traditional Arabic" w:cs="Traditional Arabic"/>
          <w:sz w:val="30"/>
          <w:szCs w:val="30"/>
          <w:rtl/>
          <w:lang w:val="en-GB" w:eastAsia="zh-TW"/>
        </w:rPr>
        <w:t>؛</w:t>
      </w:r>
    </w:p>
    <w:p w14:paraId="71F10CFD" w14:textId="77777777" w:rsidR="00197135" w:rsidRPr="00D401D4" w:rsidRDefault="00197135" w:rsidP="00197135">
      <w:pPr>
        <w:widowControl w:val="0"/>
        <w:numPr>
          <w:ilvl w:val="2"/>
          <w:numId w:val="5"/>
        </w:numPr>
        <w:tabs>
          <w:tab w:val="left" w:pos="3401"/>
        </w:tabs>
        <w:spacing w:after="120" w:line="400" w:lineRule="exact"/>
        <w:ind w:left="4110" w:hanging="567"/>
        <w:jc w:val="both"/>
        <w:textDirection w:val="tbRlV"/>
        <w:rPr>
          <w:rFonts w:ascii="Traditional Arabic" w:eastAsia="SimSun" w:hAnsi="Traditional Arabic" w:cs="Traditional Arabic"/>
          <w:sz w:val="30"/>
          <w:szCs w:val="30"/>
          <w:rtl/>
          <w:lang w:val="x-none" w:eastAsia="zh-TW"/>
        </w:rPr>
      </w:pPr>
      <w:r w:rsidRPr="00376A7C">
        <w:rPr>
          <w:rFonts w:asciiTheme="majorBidi" w:eastAsia="SimSun" w:hAnsiTheme="majorBidi" w:cstheme="majorBidi"/>
          <w:sz w:val="20"/>
          <w:szCs w:val="20"/>
          <w:lang w:val="x-none" w:eastAsia="x-none"/>
        </w:rPr>
        <w:t>A3100</w:t>
      </w:r>
      <w:r w:rsidRPr="00D401D4">
        <w:rPr>
          <w:rFonts w:ascii="Traditional Arabic" w:hAnsi="Traditional Arabic" w:cs="Traditional Arabic"/>
          <w:sz w:val="30"/>
          <w:szCs w:val="30"/>
          <w:rtl/>
          <w:lang w:val="en-GB" w:eastAsia="zh-TW"/>
        </w:rPr>
        <w:t xml:space="preserve"> - نفايات التقشير وغيرها من نفايات الجلود</w:t>
      </w:r>
      <w:r>
        <w:rPr>
          <w:rFonts w:ascii="Traditional Arabic" w:hAnsi="Traditional Arabic" w:cs="Traditional Arabic"/>
          <w:sz w:val="30"/>
          <w:szCs w:val="30"/>
          <w:rtl/>
          <w:lang w:val="en-GB" w:eastAsia="zh-TW"/>
        </w:rPr>
        <w:t>؛</w:t>
      </w:r>
    </w:p>
    <w:p w14:paraId="478C38B3" w14:textId="77777777" w:rsidR="00197135" w:rsidRPr="00D401D4" w:rsidRDefault="00197135" w:rsidP="00197135">
      <w:pPr>
        <w:widowControl w:val="0"/>
        <w:numPr>
          <w:ilvl w:val="2"/>
          <w:numId w:val="5"/>
        </w:numPr>
        <w:tabs>
          <w:tab w:val="left" w:pos="3401"/>
        </w:tabs>
        <w:spacing w:after="120" w:line="400" w:lineRule="exact"/>
        <w:ind w:left="4110" w:hanging="567"/>
        <w:jc w:val="both"/>
        <w:textDirection w:val="tbRlV"/>
        <w:rPr>
          <w:rFonts w:ascii="Traditional Arabic" w:eastAsia="SimSun" w:hAnsi="Traditional Arabic" w:cs="Traditional Arabic"/>
          <w:sz w:val="30"/>
          <w:szCs w:val="30"/>
          <w:rtl/>
          <w:lang w:val="x-none" w:eastAsia="zh-TW"/>
        </w:rPr>
      </w:pPr>
      <w:r w:rsidRPr="00D401D4">
        <w:rPr>
          <w:rFonts w:eastAsia="SimSun" w:cs="Times New Roman"/>
          <w:sz w:val="20"/>
          <w:szCs w:val="20"/>
          <w:lang w:val="x-none" w:eastAsia="x-none"/>
        </w:rPr>
        <w:t>A3110</w:t>
      </w:r>
      <w:r w:rsidRPr="00D401D4">
        <w:rPr>
          <w:rFonts w:ascii="Traditional Arabic" w:hAnsi="Traditional Arabic" w:cs="Traditional Arabic"/>
          <w:sz w:val="30"/>
          <w:szCs w:val="30"/>
          <w:rtl/>
          <w:lang w:val="en-GB" w:eastAsia="zh-TW"/>
        </w:rPr>
        <w:t xml:space="preserve"> - النفايات الناجمة عن تجارة الجلود والمحتوية على مركبات الكروم السداسية التكافؤ أو المبيدات البيولوجية</w:t>
      </w:r>
      <w:r>
        <w:rPr>
          <w:rFonts w:ascii="Traditional Arabic" w:hAnsi="Traditional Arabic" w:cs="Traditional Arabic"/>
          <w:sz w:val="30"/>
          <w:szCs w:val="30"/>
          <w:rtl/>
          <w:lang w:val="en-GB" w:eastAsia="zh-TW"/>
        </w:rPr>
        <w:t>؛</w:t>
      </w:r>
    </w:p>
    <w:p w14:paraId="69680F5B" w14:textId="77777777" w:rsidR="00197135" w:rsidRPr="00D401D4" w:rsidRDefault="00197135" w:rsidP="00197135">
      <w:pPr>
        <w:widowControl w:val="0"/>
        <w:numPr>
          <w:ilvl w:val="2"/>
          <w:numId w:val="5"/>
        </w:numPr>
        <w:tabs>
          <w:tab w:val="left" w:pos="3401"/>
        </w:tabs>
        <w:spacing w:after="120" w:line="400" w:lineRule="exact"/>
        <w:ind w:left="4110" w:hanging="567"/>
        <w:jc w:val="both"/>
        <w:textDirection w:val="tbRlV"/>
        <w:rPr>
          <w:rFonts w:ascii="Traditional Arabic" w:eastAsia="SimSun" w:hAnsi="Traditional Arabic" w:cs="Traditional Arabic"/>
          <w:sz w:val="30"/>
          <w:szCs w:val="30"/>
          <w:rtl/>
          <w:lang w:val="x-none" w:eastAsia="zh-TW"/>
        </w:rPr>
      </w:pPr>
      <w:r w:rsidRPr="00D401D4">
        <w:rPr>
          <w:rFonts w:eastAsia="SimSun" w:cs="Times New Roman"/>
          <w:sz w:val="20"/>
          <w:szCs w:val="20"/>
          <w:lang w:val="x-none" w:eastAsia="x-none"/>
        </w:rPr>
        <w:t>A4130</w:t>
      </w:r>
      <w:r w:rsidRPr="00D401D4">
        <w:rPr>
          <w:rFonts w:ascii="Traditional Arabic" w:hAnsi="Traditional Arabic" w:cs="Traditional Arabic"/>
          <w:sz w:val="30"/>
          <w:szCs w:val="30"/>
          <w:rtl/>
          <w:lang w:val="en-GB" w:eastAsia="zh-TW"/>
        </w:rPr>
        <w:t xml:space="preserve"> - عبوات النفايات وحاويات النفايات التي تحتوي على المواد المدرجة في المرفق الأول</w:t>
      </w:r>
      <w:r>
        <w:rPr>
          <w:rFonts w:ascii="Traditional Arabic" w:hAnsi="Traditional Arabic" w:cs="Traditional Arabic"/>
          <w:sz w:val="30"/>
          <w:szCs w:val="30"/>
          <w:rtl/>
          <w:lang w:val="en-GB" w:eastAsia="zh-TW"/>
        </w:rPr>
        <w:t>؛</w:t>
      </w:r>
    </w:p>
    <w:p w14:paraId="5821F837" w14:textId="77777777" w:rsidR="00197135" w:rsidRPr="00D401D4" w:rsidRDefault="00197135" w:rsidP="00197135">
      <w:pPr>
        <w:widowControl w:val="0"/>
        <w:numPr>
          <w:ilvl w:val="2"/>
          <w:numId w:val="5"/>
        </w:numPr>
        <w:tabs>
          <w:tab w:val="left" w:pos="3401"/>
        </w:tabs>
        <w:spacing w:after="120" w:line="400" w:lineRule="exact"/>
        <w:ind w:left="4110" w:hanging="567"/>
        <w:jc w:val="both"/>
        <w:textDirection w:val="tbRlV"/>
        <w:rPr>
          <w:rFonts w:ascii="Traditional Arabic" w:eastAsia="SimSun" w:hAnsi="Traditional Arabic" w:cs="Traditional Arabic"/>
          <w:sz w:val="30"/>
          <w:szCs w:val="30"/>
          <w:rtl/>
          <w:lang w:val="x-none" w:eastAsia="zh-TW"/>
        </w:rPr>
      </w:pPr>
      <w:r w:rsidRPr="00D401D4">
        <w:rPr>
          <w:rFonts w:eastAsia="SimSun" w:cs="Times New Roman"/>
          <w:sz w:val="20"/>
          <w:szCs w:val="20"/>
          <w:lang w:val="x-none" w:eastAsia="x-none"/>
        </w:rPr>
        <w:t>A4080</w:t>
      </w:r>
      <w:r w:rsidRPr="00D401D4">
        <w:rPr>
          <w:rFonts w:ascii="Traditional Arabic" w:hAnsi="Traditional Arabic" w:cs="Traditional Arabic"/>
          <w:sz w:val="30"/>
          <w:szCs w:val="30"/>
          <w:rtl/>
          <w:lang w:val="en-GB" w:eastAsia="zh-TW"/>
        </w:rPr>
        <w:t xml:space="preserve"> - النفايات المتفجرة (باستثناء النفايات المحددة في القائمة باء)</w:t>
      </w:r>
      <w:r>
        <w:rPr>
          <w:rFonts w:ascii="Traditional Arabic" w:hAnsi="Traditional Arabic" w:cs="Traditional Arabic"/>
          <w:sz w:val="30"/>
          <w:szCs w:val="30"/>
          <w:rtl/>
          <w:lang w:val="en-GB" w:eastAsia="zh-TW"/>
        </w:rPr>
        <w:t>؛</w:t>
      </w:r>
    </w:p>
    <w:p w14:paraId="2A3C2DDF" w14:textId="77777777" w:rsidR="00197135" w:rsidRPr="00D401D4" w:rsidRDefault="00197135" w:rsidP="00197135">
      <w:pPr>
        <w:keepNext/>
        <w:keepLines/>
        <w:numPr>
          <w:ilvl w:val="0"/>
          <w:numId w:val="3"/>
        </w:numPr>
        <w:tabs>
          <w:tab w:val="left" w:pos="2975"/>
        </w:tabs>
        <w:spacing w:after="120" w:line="400" w:lineRule="exact"/>
        <w:ind w:left="1133" w:firstLine="1276"/>
        <w:jc w:val="both"/>
        <w:textDirection w:val="tbRlV"/>
        <w:rPr>
          <w:rFonts w:ascii="Traditional Arabic" w:hAnsi="Traditional Arabic" w:cs="Traditional Arabic"/>
          <w:i/>
          <w:color w:val="000000"/>
          <w:sz w:val="30"/>
          <w:szCs w:val="30"/>
          <w:rtl/>
          <w:lang w:val="fr-FR" w:eastAsia="zh-TW"/>
        </w:rPr>
      </w:pPr>
      <w:r w:rsidRPr="00D401D4">
        <w:rPr>
          <w:rFonts w:ascii="Traditional Arabic" w:hAnsi="Traditional Arabic" w:cs="Traditional Arabic"/>
          <w:sz w:val="30"/>
          <w:szCs w:val="30"/>
          <w:rtl/>
          <w:lang w:val="en-GB" w:eastAsia="zh-TW"/>
        </w:rPr>
        <w:t>أن تواصل، بتوجيه من الفريق العامل المفتوح العضوية، تعاونها مع اللجنة المعنية بالنظام المتناسق واللجان الفرعية ذات الصلة التابعة لمنظمة الجمارك العالمية لتسهيل إدراج النفايات التي تشملها اتفاقية بازل في النظام المنسق لتوصيف السلع الأساسية وترميزها؛</w:t>
      </w:r>
    </w:p>
    <w:p w14:paraId="61B8A052" w14:textId="77777777" w:rsidR="00197135" w:rsidRPr="009E50CB" w:rsidRDefault="00197135" w:rsidP="00197135">
      <w:pPr>
        <w:keepNext/>
        <w:keepLines/>
        <w:numPr>
          <w:ilvl w:val="0"/>
          <w:numId w:val="3"/>
        </w:numPr>
        <w:tabs>
          <w:tab w:val="left" w:pos="2975"/>
        </w:tabs>
        <w:spacing w:after="120" w:line="400" w:lineRule="exact"/>
        <w:ind w:left="1133" w:firstLine="1276"/>
        <w:jc w:val="both"/>
        <w:textDirection w:val="tbRlV"/>
        <w:rPr>
          <w:rFonts w:ascii="Traditional Arabic" w:hAnsi="Traditional Arabic" w:cs="Traditional Arabic"/>
          <w:sz w:val="30"/>
          <w:szCs w:val="30"/>
          <w:lang w:val="en-GB" w:eastAsia="zh-TW"/>
        </w:rPr>
      </w:pPr>
      <w:r w:rsidRPr="00D401D4">
        <w:rPr>
          <w:rFonts w:ascii="Traditional Arabic" w:hAnsi="Traditional Arabic" w:cs="Traditional Arabic"/>
          <w:sz w:val="30"/>
          <w:szCs w:val="30"/>
          <w:rtl/>
          <w:lang w:val="en-GB" w:eastAsia="zh-TW"/>
        </w:rPr>
        <w:t>أن تقدم تقريراً عن التقدم المحرز في تنفيذ هذا المقرر إلى الاجتماع الثاني عشر للفريق العامل المفتوح العضوية وإلى الاجتماع الخامس عشر لمؤتمر الأطراف</w:t>
      </w:r>
      <w:r>
        <w:rPr>
          <w:rFonts w:ascii="Traditional Arabic" w:hAnsi="Traditional Arabic" w:cs="Traditional Arabic"/>
          <w:sz w:val="30"/>
          <w:szCs w:val="30"/>
          <w:rtl/>
          <w:lang w:val="en-GB" w:eastAsia="zh-TW"/>
        </w:rPr>
        <w:t>.</w:t>
      </w:r>
    </w:p>
    <w:p w14:paraId="3E2ECF5C" w14:textId="77777777" w:rsidR="00F935A6" w:rsidRPr="00197135" w:rsidRDefault="00F935A6">
      <w:pPr>
        <w:rPr>
          <w:lang w:val="en-GB"/>
        </w:rPr>
      </w:pPr>
      <w:bookmarkStart w:id="3" w:name="_GoBack"/>
      <w:bookmarkEnd w:id="3"/>
    </w:p>
    <w:sectPr w:rsidR="00F935A6" w:rsidRPr="00197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F83D" w14:textId="77777777" w:rsidR="00444FD0" w:rsidRDefault="00444FD0" w:rsidP="00197135">
      <w:r>
        <w:separator/>
      </w:r>
    </w:p>
  </w:endnote>
  <w:endnote w:type="continuationSeparator" w:id="0">
    <w:p w14:paraId="69127FC8" w14:textId="77777777" w:rsidR="00444FD0" w:rsidRDefault="00444FD0" w:rsidP="0019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6743" w14:textId="77777777" w:rsidR="00444FD0" w:rsidRDefault="00444FD0" w:rsidP="00197135">
      <w:r>
        <w:separator/>
      </w:r>
    </w:p>
  </w:footnote>
  <w:footnote w:type="continuationSeparator" w:id="0">
    <w:p w14:paraId="25FE91BC" w14:textId="77777777" w:rsidR="00444FD0" w:rsidRDefault="00444FD0" w:rsidP="00197135">
      <w:r>
        <w:continuationSeparator/>
      </w:r>
    </w:p>
  </w:footnote>
  <w:footnote w:id="1">
    <w:p w14:paraId="02EB619A" w14:textId="77777777" w:rsidR="00197135" w:rsidRPr="00DA4FA5" w:rsidRDefault="00197135" w:rsidP="00197135">
      <w:pPr>
        <w:pStyle w:val="FootnoteText"/>
        <w:spacing w:after="40" w:line="300" w:lineRule="exact"/>
        <w:ind w:left="1134"/>
        <w:textDirection w:val="tbRlV"/>
        <w:rPr>
          <w:rFonts w:ascii="Traditional Arabic" w:hAnsi="Traditional Arabic" w:cs="Traditional Arabic"/>
          <w:sz w:val="26"/>
          <w:szCs w:val="26"/>
          <w:rtl/>
          <w:lang w:eastAsia="zh-TW"/>
        </w:rPr>
      </w:pPr>
      <w:r w:rsidRPr="00DA4FA5">
        <w:rPr>
          <w:rFonts w:ascii="Traditional Arabic" w:hAnsi="Traditional Arabic" w:cs="Traditional Arabic" w:hint="cs"/>
          <w:sz w:val="26"/>
          <w:szCs w:val="26"/>
          <w:rtl/>
          <w:lang w:val="en-GB" w:eastAsia="zh-TW"/>
        </w:rPr>
        <w:t>(</w:t>
      </w:r>
      <w:r w:rsidRPr="00DA4FA5">
        <w:rPr>
          <w:rStyle w:val="FootnoteReference"/>
          <w:rFonts w:ascii="Traditional Arabic" w:hAnsi="Traditional Arabic" w:cs="Traditional Arabic" w:hint="cs"/>
          <w:sz w:val="26"/>
          <w:szCs w:val="26"/>
          <w:rtl/>
          <w:lang w:val="en-GB" w:eastAsia="zh-TW"/>
        </w:rPr>
        <w:footnoteRef/>
      </w:r>
      <w:r w:rsidRPr="00DA4FA5">
        <w:rPr>
          <w:rFonts w:ascii="Traditional Arabic" w:hAnsi="Traditional Arabic" w:cs="Traditional Arabic" w:hint="cs"/>
          <w:sz w:val="26"/>
          <w:szCs w:val="26"/>
          <w:rtl/>
          <w:lang w:val="en-GB" w:eastAsia="zh-TW"/>
        </w:rPr>
        <w:t>)</w:t>
      </w:r>
      <w:r>
        <w:rPr>
          <w:rFonts w:ascii="Traditional Arabic" w:hAnsi="Traditional Arabic" w:cs="Traditional Arabic" w:hint="cs"/>
          <w:sz w:val="26"/>
          <w:szCs w:val="26"/>
          <w:rtl/>
          <w:lang w:val="en-GB" w:eastAsia="zh-TW"/>
        </w:rPr>
        <w:t xml:space="preserve">  </w:t>
      </w:r>
      <w:r w:rsidRPr="00DA4FA5">
        <w:rPr>
          <w:rFonts w:asciiTheme="majorBidi" w:hAnsiTheme="majorBidi" w:cstheme="majorBidi"/>
          <w:sz w:val="18"/>
          <w:szCs w:val="18"/>
        </w:rPr>
        <w:t>UNEP/CHW/OEWG.11/INF/34; UNEP/CHW.14/INF/14</w:t>
      </w:r>
      <w:r w:rsidRPr="00DA4FA5">
        <w:rPr>
          <w:rFonts w:ascii="Traditional Arabic" w:hAnsi="Traditional Arabic" w:cs="Traditional Arabic" w:hint="cs"/>
          <w:sz w:val="26"/>
          <w:szCs w:val="26"/>
          <w:rtl/>
        </w:rPr>
        <w:t xml:space="preserve">، </w:t>
      </w:r>
      <w:r w:rsidRPr="00DA4FA5">
        <w:rPr>
          <w:rFonts w:ascii="Traditional Arabic" w:hAnsi="Traditional Arabic" w:cs="Traditional Arabic" w:hint="cs"/>
          <w:sz w:val="26"/>
          <w:szCs w:val="26"/>
          <w:rtl/>
          <w:lang w:val="en-GB" w:eastAsia="zh-TW"/>
        </w:rPr>
        <w:t>المرفق الأول.</w:t>
      </w:r>
    </w:p>
  </w:footnote>
  <w:footnote w:id="2">
    <w:p w14:paraId="1B0C156F" w14:textId="77777777" w:rsidR="00197135" w:rsidRPr="00DA4FA5" w:rsidRDefault="00197135" w:rsidP="00197135">
      <w:pPr>
        <w:pStyle w:val="FootnoteText"/>
        <w:spacing w:after="40" w:line="300" w:lineRule="exact"/>
        <w:ind w:left="1134"/>
        <w:textDirection w:val="tbRlV"/>
        <w:rPr>
          <w:rFonts w:ascii="Traditional Arabic" w:hAnsi="Traditional Arabic" w:cs="Traditional Arabic"/>
          <w:sz w:val="26"/>
          <w:szCs w:val="26"/>
          <w:rtl/>
          <w:lang w:eastAsia="zh-TW"/>
        </w:rPr>
      </w:pPr>
      <w:bookmarkStart w:id="0" w:name="_Hlk8089836"/>
      <w:r w:rsidRPr="00DA4FA5">
        <w:rPr>
          <w:rFonts w:ascii="Traditional Arabic" w:hAnsi="Traditional Arabic" w:cs="Traditional Arabic" w:hint="cs"/>
          <w:sz w:val="26"/>
          <w:szCs w:val="26"/>
          <w:rtl/>
          <w:lang w:val="en-GB" w:eastAsia="zh-TW"/>
        </w:rPr>
        <w:t>(</w:t>
      </w:r>
      <w:r w:rsidRPr="00DA4FA5">
        <w:rPr>
          <w:rStyle w:val="FootnoteReference"/>
          <w:rFonts w:ascii="Traditional Arabic" w:hAnsi="Traditional Arabic" w:cs="Traditional Arabic" w:hint="cs"/>
          <w:sz w:val="26"/>
          <w:szCs w:val="26"/>
          <w:rtl/>
          <w:lang w:val="en-GB" w:eastAsia="zh-TW"/>
        </w:rPr>
        <w:footnoteRef/>
      </w:r>
      <w:r w:rsidRPr="00DA4FA5">
        <w:rPr>
          <w:rFonts w:ascii="Traditional Arabic" w:hAnsi="Traditional Arabic" w:cs="Traditional Arabic" w:hint="cs"/>
          <w:sz w:val="26"/>
          <w:szCs w:val="26"/>
          <w:rtl/>
          <w:lang w:val="en-GB" w:eastAsia="zh-TW"/>
        </w:rPr>
        <w:t>)</w:t>
      </w:r>
      <w:bookmarkEnd w:id="0"/>
      <w:r>
        <w:rPr>
          <w:rFonts w:ascii="Traditional Arabic" w:hAnsi="Traditional Arabic" w:cs="Traditional Arabic" w:hint="cs"/>
          <w:sz w:val="26"/>
          <w:szCs w:val="26"/>
          <w:rtl/>
          <w:lang w:val="en-GB" w:eastAsia="zh-TW"/>
        </w:rPr>
        <w:t xml:space="preserve">  </w:t>
      </w:r>
      <w:r w:rsidRPr="00DA4FA5">
        <w:rPr>
          <w:rFonts w:asciiTheme="majorBidi" w:hAnsiTheme="majorBidi" w:cstheme="majorBidi" w:hint="cs"/>
          <w:sz w:val="18"/>
          <w:szCs w:val="18"/>
        </w:rPr>
        <w:t>UNEP/CHW.14/ INF/14</w:t>
      </w:r>
      <w:r w:rsidRPr="00DA4FA5">
        <w:rPr>
          <w:rFonts w:ascii="Traditional Arabic" w:hAnsi="Traditional Arabic" w:cs="Traditional Arabic" w:hint="cs"/>
          <w:sz w:val="26"/>
          <w:szCs w:val="26"/>
          <w:rtl/>
          <w:lang w:val="en-GB" w:eastAsia="zh-TW"/>
        </w:rPr>
        <w:t>، المرفق الثاني.</w:t>
      </w:r>
    </w:p>
  </w:footnote>
  <w:footnote w:id="3">
    <w:p w14:paraId="399EF78D" w14:textId="77777777" w:rsidR="00197135" w:rsidRPr="00DA4FA5" w:rsidRDefault="00197135" w:rsidP="00197135">
      <w:pPr>
        <w:pStyle w:val="FootnoteText"/>
        <w:spacing w:after="40" w:line="300" w:lineRule="exact"/>
        <w:ind w:left="1134"/>
        <w:textDirection w:val="tbRlV"/>
        <w:rPr>
          <w:rFonts w:ascii="Traditional Arabic" w:hAnsi="Traditional Arabic" w:cs="Traditional Arabic"/>
          <w:sz w:val="26"/>
          <w:szCs w:val="26"/>
          <w:rtl/>
          <w:lang w:eastAsia="zh-TW"/>
        </w:rPr>
      </w:pPr>
      <w:r w:rsidRPr="00DA4FA5">
        <w:rPr>
          <w:rFonts w:ascii="Traditional Arabic" w:hAnsi="Traditional Arabic" w:cs="Traditional Arabic" w:hint="cs"/>
          <w:sz w:val="26"/>
          <w:szCs w:val="26"/>
          <w:rtl/>
          <w:lang w:val="en-GB" w:eastAsia="zh-TW"/>
        </w:rPr>
        <w:t>(</w:t>
      </w:r>
      <w:r w:rsidRPr="00DA4FA5">
        <w:rPr>
          <w:rStyle w:val="FootnoteReference"/>
          <w:rFonts w:ascii="Traditional Arabic" w:hAnsi="Traditional Arabic" w:cs="Traditional Arabic" w:hint="cs"/>
          <w:sz w:val="26"/>
          <w:szCs w:val="26"/>
          <w:rtl/>
          <w:lang w:val="en-GB" w:eastAsia="zh-TW"/>
        </w:rPr>
        <w:footnoteRef/>
      </w:r>
      <w:r w:rsidRPr="00DA4FA5">
        <w:rPr>
          <w:rFonts w:ascii="Traditional Arabic" w:hAnsi="Traditional Arabic" w:cs="Traditional Arabic" w:hint="cs"/>
          <w:sz w:val="26"/>
          <w:szCs w:val="26"/>
          <w:rtl/>
          <w:lang w:val="en-GB" w:eastAsia="zh-TW"/>
        </w:rPr>
        <w:t>)</w:t>
      </w:r>
      <w:r>
        <w:rPr>
          <w:rFonts w:ascii="Traditional Arabic" w:hAnsi="Traditional Arabic" w:cs="Traditional Arabic" w:hint="cs"/>
          <w:sz w:val="26"/>
          <w:szCs w:val="26"/>
          <w:rtl/>
          <w:lang w:val="en-GB" w:eastAsia="zh-TW"/>
        </w:rPr>
        <w:t xml:space="preserve">  </w:t>
      </w:r>
      <w:r w:rsidRPr="00DA4FA5">
        <w:rPr>
          <w:rFonts w:ascii="Traditional Arabic" w:hAnsi="Traditional Arabic" w:cs="Traditional Arabic" w:hint="cs"/>
          <w:sz w:val="26"/>
          <w:szCs w:val="26"/>
          <w:rtl/>
          <w:lang w:val="en-GB" w:eastAsia="zh-TW"/>
        </w:rPr>
        <w:t>للاطلاع على القيود الكاملة، انظر المرفقين الثامن والتاسع لاتفاقية بازل.</w:t>
      </w:r>
    </w:p>
  </w:footnote>
  <w:footnote w:id="4">
    <w:p w14:paraId="228BBDDB" w14:textId="77777777" w:rsidR="00197135" w:rsidRPr="00DA4FA5" w:rsidRDefault="00197135" w:rsidP="00197135">
      <w:pPr>
        <w:pStyle w:val="FootnoteText"/>
        <w:spacing w:after="40" w:line="300" w:lineRule="exact"/>
        <w:ind w:left="1134"/>
        <w:jc w:val="both"/>
        <w:textDirection w:val="tbRlV"/>
        <w:rPr>
          <w:rFonts w:ascii="Traditional Arabic" w:hAnsi="Traditional Arabic" w:cs="Traditional Arabic"/>
          <w:w w:val="99"/>
          <w:sz w:val="26"/>
          <w:szCs w:val="26"/>
          <w:rtl/>
          <w:lang w:eastAsia="zh-TW"/>
        </w:rPr>
      </w:pPr>
      <w:r w:rsidRPr="00DA4FA5">
        <w:rPr>
          <w:rFonts w:ascii="Traditional Arabic" w:hAnsi="Traditional Arabic" w:cs="Traditional Arabic" w:hint="cs"/>
          <w:w w:val="99"/>
          <w:sz w:val="26"/>
          <w:szCs w:val="26"/>
          <w:rtl/>
          <w:lang w:val="en-GB" w:eastAsia="zh-TW"/>
        </w:rPr>
        <w:t>(</w:t>
      </w:r>
      <w:r w:rsidRPr="00DA4FA5">
        <w:rPr>
          <w:rStyle w:val="FootnoteReference"/>
          <w:rFonts w:ascii="Traditional Arabic" w:hAnsi="Traditional Arabic" w:cs="Traditional Arabic" w:hint="cs"/>
          <w:w w:val="99"/>
          <w:sz w:val="26"/>
          <w:szCs w:val="26"/>
          <w:rtl/>
          <w:lang w:val="en-GB" w:eastAsia="zh-TW"/>
        </w:rPr>
        <w:footnoteRef/>
      </w:r>
      <w:r w:rsidRPr="00DA4FA5">
        <w:rPr>
          <w:rFonts w:ascii="Traditional Arabic" w:hAnsi="Traditional Arabic" w:cs="Traditional Arabic" w:hint="cs"/>
          <w:w w:val="99"/>
          <w:sz w:val="26"/>
          <w:szCs w:val="26"/>
          <w:rtl/>
          <w:lang w:val="en-GB" w:eastAsia="zh-TW"/>
        </w:rPr>
        <w:t>)  اعتمدت اللجنة المعنية بالنظام المتناسق بشكل مؤقت التعديلات على النظام المنسق لتوصيف السلع الأساسية وترميزها للسماح بتحديد هذا النوع من النفايات، وستُضمن في نسخة عام ٢٠٢٢ من النظام، بانتظار قرار نهائي في إطار المنظمة العالمية للجمارك.</w:t>
      </w:r>
    </w:p>
  </w:footnote>
  <w:footnote w:id="5">
    <w:p w14:paraId="65FF4808" w14:textId="77777777" w:rsidR="00197135" w:rsidRPr="00701438" w:rsidRDefault="00197135" w:rsidP="00197135">
      <w:pPr>
        <w:pStyle w:val="FootnoteText"/>
        <w:spacing w:after="40" w:line="300" w:lineRule="exact"/>
        <w:ind w:left="1134"/>
        <w:jc w:val="both"/>
        <w:textDirection w:val="tbRlV"/>
        <w:rPr>
          <w:rFonts w:ascii="Traditional Arabic" w:hAnsi="Traditional Arabic" w:cs="Traditional Arabic"/>
          <w:w w:val="99"/>
          <w:sz w:val="26"/>
          <w:szCs w:val="26"/>
          <w:lang w:eastAsia="zh-TW"/>
        </w:rPr>
      </w:pPr>
      <w:r w:rsidRPr="00701438">
        <w:rPr>
          <w:rFonts w:ascii="Traditional Arabic" w:hAnsi="Traditional Arabic" w:cs="Traditional Arabic" w:hint="cs"/>
          <w:w w:val="99"/>
          <w:sz w:val="26"/>
          <w:szCs w:val="26"/>
          <w:rtl/>
          <w:lang w:val="en-GB" w:eastAsia="zh-TW"/>
        </w:rPr>
        <w:t>(</w:t>
      </w:r>
      <w:r w:rsidRPr="00701438">
        <w:rPr>
          <w:rStyle w:val="FootnoteReference"/>
          <w:rFonts w:ascii="Traditional Arabic" w:hAnsi="Traditional Arabic" w:cs="Traditional Arabic" w:hint="cs"/>
          <w:w w:val="99"/>
          <w:sz w:val="26"/>
          <w:szCs w:val="26"/>
          <w:rtl/>
          <w:lang w:val="en-GB" w:eastAsia="zh-TW"/>
        </w:rPr>
        <w:footnoteRef/>
      </w:r>
      <w:r w:rsidRPr="00701438">
        <w:rPr>
          <w:rFonts w:ascii="Traditional Arabic" w:hAnsi="Traditional Arabic" w:cs="Traditional Arabic" w:hint="cs"/>
          <w:w w:val="99"/>
          <w:sz w:val="26"/>
          <w:szCs w:val="26"/>
          <w:rtl/>
          <w:lang w:val="en-GB" w:eastAsia="zh-TW"/>
        </w:rPr>
        <w:t>)  اعتمدت اللجنة المعنية بالنظام المتناسق بشكل مؤقت التعديلات على النظام المنسق لتوصيف السلع الأساسية وترميزها للسماح بتحديد هذا النوع من النفايات، وستُضمن في نسخة عام ٢٠٢٢ من النظام، بانتظار قرار نهائي في إطار المنظمة العالمية للجمارك.</w:t>
      </w:r>
    </w:p>
  </w:footnote>
  <w:footnote w:id="6">
    <w:p w14:paraId="0D7B5412" w14:textId="77777777" w:rsidR="00197135" w:rsidRPr="0021295F" w:rsidRDefault="00197135" w:rsidP="00197135">
      <w:pPr>
        <w:pStyle w:val="FootnoteText"/>
        <w:spacing w:after="40" w:line="300" w:lineRule="exact"/>
        <w:ind w:left="1134"/>
        <w:jc w:val="both"/>
        <w:textDirection w:val="tbRlV"/>
        <w:rPr>
          <w:rFonts w:ascii="Traditional Arabic" w:hAnsi="Traditional Arabic" w:cs="Traditional Arabic"/>
          <w:sz w:val="26"/>
          <w:szCs w:val="26"/>
          <w:rtl/>
          <w:lang w:eastAsia="zh-TW"/>
        </w:rPr>
      </w:pPr>
      <w:r w:rsidRPr="0021295F">
        <w:rPr>
          <w:rFonts w:ascii="Traditional Arabic" w:hAnsi="Traditional Arabic" w:cs="Traditional Arabic" w:hint="cs"/>
          <w:sz w:val="26"/>
          <w:szCs w:val="26"/>
          <w:rtl/>
          <w:lang w:val="en-GB" w:eastAsia="zh-TW"/>
        </w:rPr>
        <w:t>(</w:t>
      </w:r>
      <w:r w:rsidRPr="0021295F">
        <w:rPr>
          <w:rStyle w:val="FootnoteReference"/>
          <w:rFonts w:ascii="Traditional Arabic" w:hAnsi="Traditional Arabic" w:cs="Traditional Arabic" w:hint="cs"/>
          <w:sz w:val="26"/>
          <w:szCs w:val="26"/>
          <w:rtl/>
          <w:lang w:val="en-GB" w:eastAsia="zh-TW"/>
        </w:rPr>
        <w:footnoteRef/>
      </w:r>
      <w:r w:rsidRPr="0021295F">
        <w:rPr>
          <w:rFonts w:ascii="Traditional Arabic" w:hAnsi="Traditional Arabic" w:cs="Traditional Arabic" w:hint="cs"/>
          <w:sz w:val="26"/>
          <w:szCs w:val="26"/>
          <w:rtl/>
          <w:lang w:val="en-GB" w:eastAsia="zh-TW"/>
        </w:rPr>
        <w:t xml:space="preserve">) </w:t>
      </w:r>
      <w:r w:rsidRPr="0021295F">
        <w:rPr>
          <w:rFonts w:ascii="Traditional Arabic" w:hAnsi="Traditional Arabic" w:cs="Traditional Arabic"/>
          <w:sz w:val="26"/>
          <w:szCs w:val="26"/>
          <w:lang w:val="en-GB" w:eastAsia="zh-TW"/>
        </w:rPr>
        <w:t xml:space="preserve"> </w:t>
      </w:r>
      <w:r w:rsidRPr="0021295F">
        <w:rPr>
          <w:rFonts w:ascii="Traditional Arabic" w:hAnsi="Traditional Arabic" w:cs="Traditional Arabic"/>
          <w:sz w:val="26"/>
          <w:szCs w:val="26"/>
          <w:rtl/>
          <w:lang w:val="en-GB" w:eastAsia="zh-TW"/>
        </w:rPr>
        <w:t>للاطلاع على القي</w:t>
      </w:r>
      <w:r w:rsidRPr="0021295F">
        <w:rPr>
          <w:rFonts w:ascii="Traditional Arabic" w:hAnsi="Traditional Arabic" w:cs="Traditional Arabic" w:hint="cs"/>
          <w:sz w:val="26"/>
          <w:szCs w:val="26"/>
          <w:rtl/>
          <w:lang w:val="en-GB" w:eastAsia="zh-TW"/>
        </w:rPr>
        <w:t>و</w:t>
      </w:r>
      <w:r w:rsidRPr="0021295F">
        <w:rPr>
          <w:rFonts w:ascii="Traditional Arabic" w:hAnsi="Traditional Arabic" w:cs="Traditional Arabic"/>
          <w:sz w:val="26"/>
          <w:szCs w:val="26"/>
          <w:rtl/>
          <w:lang w:val="en-GB" w:eastAsia="zh-TW"/>
        </w:rPr>
        <w:t>د الكامل</w:t>
      </w:r>
      <w:r w:rsidRPr="0021295F">
        <w:rPr>
          <w:rFonts w:ascii="Traditional Arabic" w:hAnsi="Traditional Arabic" w:cs="Traditional Arabic" w:hint="cs"/>
          <w:sz w:val="26"/>
          <w:szCs w:val="26"/>
          <w:rtl/>
          <w:lang w:val="en-GB" w:eastAsia="zh-TW"/>
        </w:rPr>
        <w:t>ة</w:t>
      </w:r>
      <w:r w:rsidRPr="0021295F">
        <w:rPr>
          <w:rFonts w:ascii="Traditional Arabic" w:hAnsi="Traditional Arabic" w:cs="Traditional Arabic"/>
          <w:sz w:val="26"/>
          <w:szCs w:val="26"/>
          <w:rtl/>
          <w:lang w:val="en-GB" w:eastAsia="zh-TW"/>
        </w:rPr>
        <w:t>، انظر المرفقين الثامن والتاسع لاتفاقية بازل.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DA4"/>
    <w:multiLevelType w:val="hybridMultilevel"/>
    <w:tmpl w:val="F7D0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E567FEE">
      <w:start w:val="1"/>
      <w:numFmt w:val="decimal"/>
      <w:lvlText w:val="%3-"/>
      <w:lvlJc w:val="left"/>
      <w:pPr>
        <w:ind w:left="2160" w:hanging="360"/>
      </w:pPr>
      <w:rPr>
        <w:rFonts w:hint="default"/>
        <w:sz w:val="30"/>
        <w:szCs w:val="3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F64D1"/>
    <w:multiLevelType w:val="hybridMultilevel"/>
    <w:tmpl w:val="EC80B160"/>
    <w:lvl w:ilvl="0" w:tplc="5E0A1E4E">
      <w:start w:val="1"/>
      <w:numFmt w:val="arabicAbjad"/>
      <w:lvlText w:val="(%1)"/>
      <w:lvlJc w:val="left"/>
      <w:pPr>
        <w:ind w:left="2855" w:hanging="360"/>
      </w:pPr>
      <w:rPr>
        <w:rFonts w:hint="default"/>
        <w:i/>
        <w:iCs w:val="0"/>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2" w15:restartNumberingAfterBreak="0">
    <w:nsid w:val="52A66A9D"/>
    <w:multiLevelType w:val="multilevel"/>
    <w:tmpl w:val="CE7E2C94"/>
    <w:styleLink w:val="Normallist"/>
    <w:lvl w:ilvl="0">
      <w:start w:val="1"/>
      <w:numFmt w:val="decimal"/>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3" w15:restartNumberingAfterBreak="0">
    <w:nsid w:val="77A83882"/>
    <w:multiLevelType w:val="hybridMultilevel"/>
    <w:tmpl w:val="D42C1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262C928">
      <w:start w:val="1"/>
      <w:numFmt w:val="decimal"/>
      <w:lvlText w:val="%3-"/>
      <w:lvlJc w:val="left"/>
      <w:pPr>
        <w:ind w:left="2160" w:hanging="360"/>
      </w:pPr>
      <w:rPr>
        <w:rFonts w:hint="default"/>
        <w:sz w:val="30"/>
        <w:szCs w:val="3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1607" w:hanging="360"/>
        </w:pPr>
        <w:rPr>
          <w:rFonts w:hint="default"/>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35"/>
    <w:rsid w:val="00197135"/>
    <w:rsid w:val="00444FD0"/>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21C6"/>
  <w15:chartTrackingRefBased/>
  <w15:docId w15:val="{5D7B26E3-8415-4FBE-AF2C-8D47FB45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135"/>
    <w:pPr>
      <w:bidi/>
      <w:spacing w:after="0" w:line="240" w:lineRule="auto"/>
    </w:pPr>
    <w:rPr>
      <w:rFonts w:ascii="Times New Roman" w:eastAsia="Times New Roman" w:hAnsi="Times New Roman" w:cs="Simplified Arabic"/>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Car,-E Fußnotentext,ft,Fußnote,Fußnotentext Ursprung,fn,footnote text,Footnotes,Footnote ak,fn cafc,Footnotes Char Char,Footnote Text Char Char,fn Char Char,footnote text Char Char Char Ch,93,Char"/>
    <w:basedOn w:val="Normal"/>
    <w:link w:val="FootnoteTextChar"/>
    <w:qFormat/>
    <w:rsid w:val="00197135"/>
    <w:rPr>
      <w:sz w:val="20"/>
      <w:szCs w:val="20"/>
    </w:rPr>
  </w:style>
  <w:style w:type="character" w:customStyle="1" w:styleId="FootnoteTextChar">
    <w:name w:val="Footnote Text Char"/>
    <w:aliases w:val="DNV-FT Char,Geneva 9 Char,Font: Geneva 9 Char,Boston 10 Char,f Char,Car Char,-E Fußnotentext Char,ft Char,Fußnote Char,Fußnotentext Ursprung Char,fn Char,footnote text Char,Footnotes Char,Footnote ak Char,fn cafc Char,93 Char"/>
    <w:basedOn w:val="DefaultParagraphFont"/>
    <w:link w:val="FootnoteText"/>
    <w:rsid w:val="00197135"/>
    <w:rPr>
      <w:rFonts w:ascii="Times New Roman" w:eastAsia="Times New Roman" w:hAnsi="Times New Roman" w:cs="Simplified Arabic"/>
      <w:sz w:val="20"/>
      <w:szCs w:val="20"/>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E Fußnotenzeichen,fr"/>
    <w:link w:val="BVIfnrCharCharCharChar"/>
    <w:uiPriority w:val="99"/>
    <w:qFormat/>
    <w:rsid w:val="00197135"/>
    <w:rPr>
      <w:vertAlign w:val="superscript"/>
    </w:rPr>
  </w:style>
  <w:style w:type="paragraph" w:customStyle="1" w:styleId="Normal-pool">
    <w:name w:val="Normal-pool"/>
    <w:link w:val="Normal-poolChar"/>
    <w:qFormat/>
    <w:rsid w:val="00197135"/>
    <w:pPr>
      <w:tabs>
        <w:tab w:val="left" w:pos="1247"/>
        <w:tab w:val="left" w:pos="1814"/>
        <w:tab w:val="left" w:pos="2381"/>
        <w:tab w:val="left" w:pos="2948"/>
        <w:tab w:val="left" w:pos="3515"/>
      </w:tabs>
      <w:bidi/>
      <w:spacing w:after="0" w:line="240" w:lineRule="auto"/>
    </w:pPr>
    <w:rPr>
      <w:rFonts w:ascii="Arial" w:eastAsia="Arial" w:hAnsi="Arial" w:cs="Arial"/>
      <w:sz w:val="20"/>
      <w:szCs w:val="20"/>
      <w:lang w:val="en-GB" w:eastAsia="en-US"/>
    </w:rPr>
  </w:style>
  <w:style w:type="character" w:customStyle="1" w:styleId="Normal-poolChar">
    <w:name w:val="Normal-pool Char"/>
    <w:link w:val="Normal-pool"/>
    <w:locked/>
    <w:rsid w:val="00197135"/>
    <w:rPr>
      <w:rFonts w:ascii="Arial" w:eastAsia="Arial" w:hAnsi="Arial" w:cs="Arial"/>
      <w:sz w:val="20"/>
      <w:szCs w:val="20"/>
      <w:lang w:val="en-GB" w:eastAsia="en-US"/>
    </w:rPr>
  </w:style>
  <w:style w:type="numbering" w:customStyle="1" w:styleId="Normallist">
    <w:name w:val="Normal_list"/>
    <w:rsid w:val="00197135"/>
    <w:pPr>
      <w:numPr>
        <w:numId w:val="1"/>
      </w:numPr>
    </w:p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197135"/>
    <w:pPr>
      <w:bidi w:val="0"/>
      <w:spacing w:before="120" w:after="160" w:line="240" w:lineRule="exact"/>
    </w:pPr>
    <w:rPr>
      <w:rFonts w:asciiTheme="minorHAnsi" w:eastAsiaTheme="minorEastAsia" w:hAnsiTheme="minorHAnsi" w:cstheme="minorBidi"/>
      <w:sz w:val="22"/>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2020-01-30T09:20:00Z</dcterms:created>
  <dcterms:modified xsi:type="dcterms:W3CDTF">2020-01-30T09:21:00Z</dcterms:modified>
</cp:coreProperties>
</file>