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31AC" w14:textId="012083A3" w:rsidR="00A91740" w:rsidRPr="00B66330" w:rsidRDefault="00A91740" w:rsidP="00A91740">
      <w:pPr>
        <w:pStyle w:val="CH1"/>
        <w:spacing w:line="240" w:lineRule="auto"/>
        <w:rPr>
          <w:rFonts w:eastAsia="SimHei"/>
          <w:snapToGrid w:val="0"/>
          <w:sz w:val="32"/>
          <w:szCs w:val="32"/>
          <w:lang w:eastAsia="zh-CN"/>
        </w:rPr>
      </w:pPr>
      <w:r>
        <w:rPr>
          <w:rFonts w:eastAsia="SimHei"/>
          <w:bCs/>
          <w:snapToGrid w:val="0"/>
          <w:sz w:val="32"/>
          <w:szCs w:val="32"/>
          <w:lang w:val="zh-CN" w:eastAsia="zh-CN"/>
        </w:rPr>
        <w:tab/>
      </w:r>
      <w:r>
        <w:rPr>
          <w:rFonts w:eastAsia="SimHei"/>
          <w:bCs/>
          <w:snapToGrid w:val="0"/>
          <w:sz w:val="32"/>
          <w:szCs w:val="32"/>
          <w:lang w:val="zh-CN" w:eastAsia="zh-CN"/>
        </w:rPr>
        <w:tab/>
      </w:r>
      <w:bookmarkStart w:id="0" w:name="_GoBack"/>
      <w:bookmarkEnd w:id="0"/>
      <w:r w:rsidRPr="00B66330">
        <w:rPr>
          <w:rFonts w:eastAsia="SimHei"/>
          <w:bCs/>
          <w:snapToGrid w:val="0"/>
          <w:sz w:val="32"/>
          <w:szCs w:val="32"/>
          <w:lang w:val="zh-CN" w:eastAsia="zh-CN"/>
        </w:rPr>
        <w:t>BC-14/9</w:t>
      </w:r>
      <w:r w:rsidRPr="00B66330">
        <w:rPr>
          <w:rFonts w:eastAsia="SimHei"/>
          <w:bCs/>
          <w:snapToGrid w:val="0"/>
          <w:sz w:val="32"/>
          <w:szCs w:val="32"/>
          <w:lang w:val="zh-CN" w:eastAsia="zh-CN"/>
        </w:rPr>
        <w:t>：与世界海关组织关于商品名称及编码协调制度的合作</w:t>
      </w:r>
    </w:p>
    <w:p w14:paraId="46337E2F" w14:textId="77777777" w:rsidR="00A91740" w:rsidRPr="00682B39" w:rsidRDefault="00A91740" w:rsidP="00A91740">
      <w:pPr>
        <w:pStyle w:val="NormalNonumber"/>
        <w:widowControl w:val="0"/>
        <w:tabs>
          <w:tab w:val="clear" w:pos="1247"/>
          <w:tab w:val="clear" w:pos="1814"/>
          <w:tab w:val="clear" w:pos="2381"/>
          <w:tab w:val="clear" w:pos="2948"/>
          <w:tab w:val="clear" w:pos="3515"/>
          <w:tab w:val="left" w:pos="624"/>
        </w:tabs>
        <w:spacing w:line="240" w:lineRule="auto"/>
        <w:ind w:firstLine="624"/>
        <w:jc w:val="both"/>
        <w:rPr>
          <w:rFonts w:ascii="KaiTi" w:eastAsia="KaiTi" w:hAnsi="KaiTi"/>
          <w:i/>
          <w:snapToGrid w:val="0"/>
          <w:sz w:val="24"/>
          <w:szCs w:val="24"/>
        </w:rPr>
      </w:pPr>
      <w:proofErr w:type="spellStart"/>
      <w:r w:rsidRPr="00682B39">
        <w:rPr>
          <w:rFonts w:ascii="KaiTi" w:eastAsia="KaiTi" w:hAnsi="KaiTi" w:hint="eastAsia"/>
          <w:snapToGrid w:val="0"/>
          <w:sz w:val="24"/>
          <w:szCs w:val="24"/>
          <w:lang w:val="zh-CN"/>
        </w:rPr>
        <w:t>缔约方大会</w:t>
      </w:r>
      <w:proofErr w:type="spellEnd"/>
    </w:p>
    <w:p w14:paraId="407C9DBA" w14:textId="77777777" w:rsidR="00A91740" w:rsidRPr="00682B39" w:rsidRDefault="00A91740" w:rsidP="00A91740">
      <w:pPr>
        <w:pStyle w:val="Normalnumber"/>
        <w:numPr>
          <w:ilvl w:val="0"/>
          <w:numId w:val="4"/>
        </w:numPr>
        <w:tabs>
          <w:tab w:val="left" w:pos="1890"/>
        </w:tabs>
        <w:spacing w:line="240" w:lineRule="auto"/>
        <w:ind w:firstLine="596"/>
        <w:jc w:val="both"/>
        <w:rPr>
          <w:snapToGrid w:val="0"/>
          <w:spacing w:val="-4"/>
          <w:sz w:val="24"/>
          <w:szCs w:val="24"/>
          <w:lang w:eastAsia="zh-CN"/>
        </w:rPr>
      </w:pPr>
      <w:r w:rsidRPr="00682B39">
        <w:rPr>
          <w:rFonts w:ascii="KaiTi" w:eastAsia="KaiTi" w:hAnsi="KaiTi" w:hint="eastAsia"/>
          <w:snapToGrid w:val="0"/>
          <w:spacing w:val="-4"/>
          <w:sz w:val="24"/>
          <w:szCs w:val="24"/>
          <w:lang w:val="zh-CN" w:eastAsia="zh-CN"/>
        </w:rPr>
        <w:t>表示注意到</w:t>
      </w:r>
      <w:r w:rsidRPr="00682B39">
        <w:rPr>
          <w:rFonts w:hint="eastAsia"/>
          <w:snapToGrid w:val="0"/>
          <w:spacing w:val="-4"/>
          <w:sz w:val="24"/>
          <w:szCs w:val="24"/>
          <w:lang w:val="zh-CN" w:eastAsia="zh-CN"/>
        </w:rPr>
        <w:t>关于世界海关组织围绕商品名称及编码协调制度涉及《控制危险废物越境转移及其处置巴塞尔公约》的事项开展工作的现状的报告；</w:t>
      </w:r>
      <w:r w:rsidRPr="00682B39">
        <w:rPr>
          <w:rStyle w:val="FootnoteReference"/>
          <w:snapToGrid w:val="0"/>
          <w:spacing w:val="-4"/>
          <w:sz w:val="24"/>
          <w:szCs w:val="22"/>
          <w:lang w:val="zh-CN"/>
        </w:rPr>
        <w:footnoteReference w:id="1"/>
      </w:r>
    </w:p>
    <w:p w14:paraId="07BBBB72" w14:textId="77777777" w:rsidR="00A91740" w:rsidRPr="00B66330" w:rsidRDefault="00A91740" w:rsidP="00A91740">
      <w:pPr>
        <w:pStyle w:val="Normalnumber"/>
        <w:numPr>
          <w:ilvl w:val="0"/>
          <w:numId w:val="4"/>
        </w:numPr>
        <w:tabs>
          <w:tab w:val="left" w:pos="1890"/>
        </w:tabs>
        <w:spacing w:line="240" w:lineRule="auto"/>
        <w:ind w:firstLine="596"/>
        <w:jc w:val="both"/>
        <w:rPr>
          <w:snapToGrid w:val="0"/>
          <w:sz w:val="24"/>
          <w:szCs w:val="24"/>
          <w:lang w:eastAsia="zh-CN"/>
        </w:rPr>
      </w:pPr>
      <w:r w:rsidRPr="00682B39">
        <w:rPr>
          <w:rFonts w:ascii="KaiTi" w:eastAsia="KaiTi" w:hAnsi="KaiTi" w:hint="eastAsia"/>
          <w:snapToGrid w:val="0"/>
          <w:sz w:val="24"/>
          <w:szCs w:val="24"/>
          <w:lang w:val="zh-CN" w:eastAsia="zh-CN"/>
        </w:rPr>
        <w:t>又表示注意到</w:t>
      </w:r>
      <w:r w:rsidRPr="00B66330">
        <w:rPr>
          <w:snapToGrid w:val="0"/>
          <w:sz w:val="24"/>
          <w:szCs w:val="24"/>
          <w:lang w:val="zh-CN" w:eastAsia="zh-CN"/>
        </w:rPr>
        <w:t>参考协调制度委员会及其协调制度审查小组委员会取得的进展而修订的缔约方应</w:t>
      </w:r>
      <w:r w:rsidRPr="00B66330">
        <w:rPr>
          <w:snapToGrid w:val="0"/>
          <w:sz w:val="24"/>
          <w:szCs w:val="24"/>
          <w:lang w:val="zh-CN" w:eastAsia="zh-CN"/>
        </w:rPr>
        <w:t>BC-10/10</w:t>
      </w:r>
      <w:r w:rsidRPr="00B66330">
        <w:rPr>
          <w:snapToGrid w:val="0"/>
          <w:sz w:val="24"/>
          <w:szCs w:val="24"/>
          <w:lang w:val="zh-CN" w:eastAsia="zh-CN"/>
        </w:rPr>
        <w:t>号决定要求提交的废物类型清单，以及从缔约</w:t>
      </w:r>
      <w:proofErr w:type="gramStart"/>
      <w:r w:rsidRPr="00B66330">
        <w:rPr>
          <w:snapToGrid w:val="0"/>
          <w:sz w:val="24"/>
          <w:szCs w:val="24"/>
          <w:lang w:val="zh-CN" w:eastAsia="zh-CN"/>
        </w:rPr>
        <w:t>方收到</w:t>
      </w:r>
      <w:proofErr w:type="gramEnd"/>
      <w:r w:rsidRPr="00B66330">
        <w:rPr>
          <w:snapToGrid w:val="0"/>
          <w:sz w:val="24"/>
          <w:szCs w:val="24"/>
          <w:lang w:val="zh-CN" w:eastAsia="zh-CN"/>
        </w:rPr>
        <w:t>的、关于需要请世界海关组织在商品名称及编码协调制度中引入编码的废物类型的资料；</w:t>
      </w:r>
      <w:r w:rsidRPr="00B66330">
        <w:rPr>
          <w:rStyle w:val="FootnoteReference"/>
          <w:snapToGrid w:val="0"/>
          <w:sz w:val="24"/>
          <w:szCs w:val="22"/>
          <w:lang w:val="zh-CN"/>
        </w:rPr>
        <w:footnoteReference w:id="2"/>
      </w:r>
    </w:p>
    <w:p w14:paraId="4812B3D8" w14:textId="77777777" w:rsidR="00A91740" w:rsidRPr="00B66330" w:rsidRDefault="00A91740" w:rsidP="00A91740">
      <w:pPr>
        <w:pStyle w:val="Normalnumber"/>
        <w:numPr>
          <w:ilvl w:val="0"/>
          <w:numId w:val="4"/>
        </w:numPr>
        <w:tabs>
          <w:tab w:val="left" w:pos="1890"/>
        </w:tabs>
        <w:spacing w:line="240" w:lineRule="auto"/>
        <w:ind w:firstLine="596"/>
        <w:jc w:val="both"/>
        <w:rPr>
          <w:snapToGrid w:val="0"/>
          <w:sz w:val="24"/>
          <w:szCs w:val="24"/>
        </w:rPr>
      </w:pPr>
      <w:proofErr w:type="spellStart"/>
      <w:r w:rsidRPr="00682B39">
        <w:rPr>
          <w:rFonts w:ascii="KaiTi" w:eastAsia="KaiTi" w:hAnsi="KaiTi" w:hint="eastAsia"/>
          <w:snapToGrid w:val="0"/>
          <w:sz w:val="24"/>
          <w:szCs w:val="24"/>
          <w:lang w:val="zh-CN"/>
        </w:rPr>
        <w:t>请</w:t>
      </w:r>
      <w:r w:rsidRPr="00B66330">
        <w:rPr>
          <w:snapToGrid w:val="0"/>
          <w:sz w:val="24"/>
          <w:szCs w:val="24"/>
          <w:lang w:val="zh-CN"/>
        </w:rPr>
        <w:t>秘书处</w:t>
      </w:r>
      <w:proofErr w:type="spellEnd"/>
      <w:r w:rsidRPr="00B66330">
        <w:rPr>
          <w:snapToGrid w:val="0"/>
          <w:sz w:val="24"/>
          <w:szCs w:val="24"/>
          <w:lang w:val="zh-CN"/>
        </w:rPr>
        <w:t>：</w:t>
      </w:r>
    </w:p>
    <w:p w14:paraId="108A3E7D" w14:textId="77777777" w:rsidR="00A91740" w:rsidRPr="00B66330" w:rsidRDefault="00A91740" w:rsidP="00A91740">
      <w:pPr>
        <w:pStyle w:val="Normalnumber"/>
        <w:widowControl w:val="0"/>
        <w:numPr>
          <w:ilvl w:val="1"/>
          <w:numId w:val="5"/>
        </w:numPr>
        <w:tabs>
          <w:tab w:val="clear" w:pos="1134"/>
        </w:tabs>
        <w:spacing w:line="240" w:lineRule="auto"/>
        <w:ind w:firstLine="624"/>
        <w:jc w:val="both"/>
        <w:rPr>
          <w:iCs/>
          <w:snapToGrid w:val="0"/>
          <w:color w:val="000000"/>
          <w:sz w:val="24"/>
          <w:szCs w:val="24"/>
          <w:lang w:eastAsia="zh-CN"/>
        </w:rPr>
      </w:pPr>
      <w:r w:rsidRPr="00B66330">
        <w:rPr>
          <w:snapToGrid w:val="0"/>
          <w:sz w:val="24"/>
          <w:szCs w:val="24"/>
          <w:lang w:val="zh-CN" w:eastAsia="zh-CN"/>
        </w:rPr>
        <w:t>向世界海关组织提交一项修正商品名称及编码协调制度的提案，以便能够识别下列类型的废物</w:t>
      </w:r>
      <w:r>
        <w:rPr>
          <w:rFonts w:hint="eastAsia"/>
          <w:snapToGrid w:val="0"/>
          <w:sz w:val="24"/>
          <w:szCs w:val="24"/>
          <w:lang w:val="zh-CN" w:eastAsia="zh-CN"/>
        </w:rPr>
        <w:t>：</w:t>
      </w:r>
    </w:p>
    <w:p w14:paraId="228BECCC" w14:textId="77777777" w:rsidR="00A91740" w:rsidRPr="00B66330" w:rsidRDefault="00A91740" w:rsidP="00A91740">
      <w:pPr>
        <w:pStyle w:val="Normalnumber"/>
        <w:widowControl w:val="0"/>
        <w:numPr>
          <w:ilvl w:val="2"/>
          <w:numId w:val="5"/>
        </w:numPr>
        <w:spacing w:line="240" w:lineRule="auto"/>
        <w:ind w:left="1871" w:firstLine="397"/>
        <w:jc w:val="both"/>
        <w:rPr>
          <w:iCs/>
          <w:snapToGrid w:val="0"/>
          <w:color w:val="000000"/>
          <w:sz w:val="24"/>
          <w:szCs w:val="24"/>
        </w:rPr>
      </w:pPr>
      <w:r>
        <w:rPr>
          <w:rFonts w:hint="eastAsia"/>
          <w:snapToGrid w:val="0"/>
          <w:lang w:val="zh-CN" w:eastAsia="zh-CN"/>
        </w:rPr>
        <w:t xml:space="preserve"> </w:t>
      </w:r>
      <w:r w:rsidRPr="00B119E9">
        <w:rPr>
          <w:rFonts w:hint="eastAsia"/>
          <w:snapToGrid w:val="0"/>
          <w:lang w:val="zh-CN" w:eastAsia="zh-CN"/>
        </w:rPr>
        <w:t>（一）</w:t>
      </w:r>
      <w:proofErr w:type="spellStart"/>
      <w:r w:rsidRPr="00B66330">
        <w:rPr>
          <w:snapToGrid w:val="0"/>
          <w:sz w:val="24"/>
          <w:szCs w:val="24"/>
          <w:lang w:val="zh-CN"/>
        </w:rPr>
        <w:t>高度优先</w:t>
      </w:r>
      <w:proofErr w:type="spellEnd"/>
      <w:r w:rsidRPr="00B66330">
        <w:rPr>
          <w:snapToGrid w:val="0"/>
          <w:sz w:val="24"/>
          <w:szCs w:val="24"/>
          <w:lang w:val="zh-CN"/>
        </w:rPr>
        <w:t>：</w:t>
      </w:r>
      <w:r w:rsidRPr="00B66330">
        <w:rPr>
          <w:rStyle w:val="FootnoteReference"/>
          <w:iCs/>
          <w:snapToGrid w:val="0"/>
          <w:sz w:val="24"/>
          <w:szCs w:val="22"/>
          <w:lang w:val="zh-CN"/>
        </w:rPr>
        <w:footnoteReference w:id="3"/>
      </w:r>
    </w:p>
    <w:p w14:paraId="6D08081A"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B1110</w:t>
      </w:r>
      <w:r w:rsidRPr="00B66330">
        <w:rPr>
          <w:snapToGrid w:val="0"/>
          <w:sz w:val="24"/>
          <w:szCs w:val="24"/>
          <w:lang w:val="zh-CN" w:eastAsia="zh-CN"/>
        </w:rPr>
        <w:t>和</w:t>
      </w:r>
      <w:r w:rsidRPr="00B66330">
        <w:rPr>
          <w:snapToGrid w:val="0"/>
          <w:sz w:val="24"/>
          <w:szCs w:val="24"/>
          <w:lang w:val="zh-CN" w:eastAsia="zh-CN"/>
        </w:rPr>
        <w:t xml:space="preserve">A1180 – </w:t>
      </w:r>
      <w:r w:rsidRPr="00B66330">
        <w:rPr>
          <w:snapToGrid w:val="0"/>
          <w:sz w:val="24"/>
          <w:szCs w:val="24"/>
          <w:lang w:val="zh-CN" w:eastAsia="zh-CN"/>
        </w:rPr>
        <w:t>电气和电子组件；</w:t>
      </w:r>
      <w:r w:rsidRPr="00B66330">
        <w:rPr>
          <w:snapToGrid w:val="0"/>
          <w:sz w:val="24"/>
          <w:szCs w:val="24"/>
          <w:vertAlign w:val="superscript"/>
          <w:lang w:val="zh-CN"/>
        </w:rPr>
        <w:footnoteReference w:id="4"/>
      </w:r>
    </w:p>
    <w:p w14:paraId="682BBDE9"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A1160 – </w:t>
      </w:r>
      <w:r w:rsidRPr="00B66330">
        <w:rPr>
          <w:snapToGrid w:val="0"/>
          <w:sz w:val="24"/>
          <w:szCs w:val="24"/>
          <w:lang w:val="zh-CN" w:eastAsia="zh-CN"/>
        </w:rPr>
        <w:t>废铅酸电池（整个或粉碎）</w:t>
      </w:r>
      <w:r>
        <w:rPr>
          <w:rFonts w:hint="eastAsia"/>
          <w:snapToGrid w:val="0"/>
          <w:sz w:val="24"/>
          <w:szCs w:val="24"/>
          <w:lang w:val="zh-CN" w:eastAsia="zh-CN"/>
        </w:rPr>
        <w:t>；</w:t>
      </w:r>
      <w:r w:rsidRPr="00B66330">
        <w:rPr>
          <w:snapToGrid w:val="0"/>
          <w:sz w:val="24"/>
          <w:szCs w:val="24"/>
          <w:vertAlign w:val="superscript"/>
          <w:lang w:val="zh-CN"/>
        </w:rPr>
        <w:footnoteReference w:id="5"/>
      </w:r>
    </w:p>
    <w:p w14:paraId="71218635"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rPr>
      </w:pPr>
      <w:r w:rsidRPr="00B66330">
        <w:rPr>
          <w:snapToGrid w:val="0"/>
          <w:sz w:val="24"/>
          <w:szCs w:val="24"/>
          <w:lang w:val="zh-CN"/>
        </w:rPr>
        <w:t>A3210</w:t>
      </w:r>
      <w:r w:rsidRPr="00B66330">
        <w:rPr>
          <w:snapToGrid w:val="0"/>
          <w:sz w:val="24"/>
          <w:szCs w:val="24"/>
          <w:lang w:val="zh-CN"/>
        </w:rPr>
        <w:t>、</w:t>
      </w:r>
      <w:r w:rsidRPr="00B66330">
        <w:rPr>
          <w:snapToGrid w:val="0"/>
          <w:sz w:val="24"/>
          <w:szCs w:val="24"/>
          <w:lang w:val="zh-CN"/>
        </w:rPr>
        <w:t>B3011</w:t>
      </w:r>
      <w:r w:rsidRPr="00B66330">
        <w:rPr>
          <w:snapToGrid w:val="0"/>
          <w:sz w:val="24"/>
          <w:szCs w:val="24"/>
          <w:lang w:val="zh-CN"/>
        </w:rPr>
        <w:t>、</w:t>
      </w:r>
      <w:r w:rsidRPr="00B66330">
        <w:rPr>
          <w:snapToGrid w:val="0"/>
          <w:sz w:val="24"/>
          <w:szCs w:val="24"/>
          <w:lang w:val="zh-CN"/>
        </w:rPr>
        <w:t xml:space="preserve">Y48 – </w:t>
      </w:r>
      <w:proofErr w:type="spellStart"/>
      <w:r w:rsidRPr="00B66330">
        <w:rPr>
          <w:snapToGrid w:val="0"/>
          <w:sz w:val="24"/>
          <w:szCs w:val="24"/>
          <w:lang w:val="zh-CN"/>
        </w:rPr>
        <w:t>塑料废物</w:t>
      </w:r>
      <w:proofErr w:type="spellEnd"/>
      <w:r w:rsidRPr="00B66330">
        <w:rPr>
          <w:snapToGrid w:val="0"/>
          <w:sz w:val="24"/>
          <w:szCs w:val="24"/>
          <w:lang w:val="zh-CN"/>
        </w:rPr>
        <w:t>；</w:t>
      </w:r>
    </w:p>
    <w:p w14:paraId="2E26950B"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rPr>
      </w:pPr>
      <w:r w:rsidRPr="00B66330">
        <w:rPr>
          <w:snapToGrid w:val="0"/>
          <w:sz w:val="24"/>
          <w:szCs w:val="24"/>
          <w:lang w:val="zh-CN"/>
        </w:rPr>
        <w:t xml:space="preserve">A1010, A1020, A1030, A1040 – </w:t>
      </w:r>
      <w:proofErr w:type="spellStart"/>
      <w:r w:rsidRPr="00B66330">
        <w:rPr>
          <w:snapToGrid w:val="0"/>
          <w:sz w:val="24"/>
          <w:szCs w:val="24"/>
          <w:lang w:val="zh-CN"/>
        </w:rPr>
        <w:t>金属废物</w:t>
      </w:r>
      <w:proofErr w:type="spellEnd"/>
      <w:r w:rsidRPr="00B66330">
        <w:rPr>
          <w:snapToGrid w:val="0"/>
          <w:sz w:val="24"/>
          <w:szCs w:val="24"/>
          <w:lang w:val="zh-CN"/>
        </w:rPr>
        <w:t>/</w:t>
      </w:r>
      <w:proofErr w:type="spellStart"/>
      <w:r w:rsidRPr="00B66330">
        <w:rPr>
          <w:snapToGrid w:val="0"/>
          <w:sz w:val="24"/>
          <w:szCs w:val="24"/>
          <w:lang w:val="zh-CN"/>
        </w:rPr>
        <w:t>化合物</w:t>
      </w:r>
      <w:proofErr w:type="spellEnd"/>
      <w:r>
        <w:rPr>
          <w:rFonts w:hint="eastAsia"/>
          <w:snapToGrid w:val="0"/>
          <w:sz w:val="24"/>
          <w:szCs w:val="24"/>
          <w:lang w:val="zh-CN" w:eastAsia="zh-CN"/>
        </w:rPr>
        <w:t>；</w:t>
      </w:r>
    </w:p>
    <w:p w14:paraId="19308F28"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A3020 – </w:t>
      </w:r>
      <w:r w:rsidRPr="00B66330">
        <w:rPr>
          <w:snapToGrid w:val="0"/>
          <w:sz w:val="24"/>
          <w:szCs w:val="24"/>
          <w:lang w:val="zh-CN" w:eastAsia="zh-CN"/>
        </w:rPr>
        <w:t>不适合原定用途的废弃矿物油，以及</w:t>
      </w:r>
      <w:r w:rsidRPr="00B66330">
        <w:rPr>
          <w:snapToGrid w:val="0"/>
          <w:sz w:val="24"/>
          <w:szCs w:val="24"/>
          <w:lang w:val="zh-CN" w:eastAsia="zh-CN"/>
        </w:rPr>
        <w:t xml:space="preserve"> A3180 –</w:t>
      </w:r>
      <w:r w:rsidRPr="00B66330">
        <w:rPr>
          <w:snapToGrid w:val="0"/>
          <w:sz w:val="24"/>
          <w:szCs w:val="24"/>
          <w:lang w:val="zh-CN" w:eastAsia="zh-CN"/>
        </w:rPr>
        <w:t>含有多氯联苯、</w:t>
      </w:r>
      <w:proofErr w:type="gramStart"/>
      <w:r w:rsidRPr="00B66330">
        <w:rPr>
          <w:snapToGrid w:val="0"/>
          <w:sz w:val="24"/>
          <w:szCs w:val="24"/>
          <w:lang w:val="zh-CN" w:eastAsia="zh-CN"/>
        </w:rPr>
        <w:t>多氯三联苯</w:t>
      </w:r>
      <w:proofErr w:type="gramEnd"/>
      <w:r w:rsidRPr="00B66330">
        <w:rPr>
          <w:snapToGrid w:val="0"/>
          <w:sz w:val="24"/>
          <w:szCs w:val="24"/>
          <w:lang w:val="zh-CN" w:eastAsia="zh-CN"/>
        </w:rPr>
        <w:t>、多氯硝基苯或多溴联苯或这些化合物的任何其他多溴类似物、由其构成或受其污染的废物、物质和物品；</w:t>
      </w:r>
    </w:p>
    <w:p w14:paraId="76F0A1EF"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A4030 – </w:t>
      </w:r>
      <w:r w:rsidRPr="00B66330">
        <w:rPr>
          <w:snapToGrid w:val="0"/>
          <w:sz w:val="24"/>
          <w:szCs w:val="24"/>
          <w:lang w:val="zh-CN" w:eastAsia="zh-CN"/>
        </w:rPr>
        <w:t>生产、配制和使用生物杀灭剂和植物药物所产生的废物，包括废弃农药</w:t>
      </w:r>
      <w:r>
        <w:rPr>
          <w:rFonts w:hint="eastAsia"/>
          <w:snapToGrid w:val="0"/>
          <w:sz w:val="24"/>
          <w:szCs w:val="24"/>
          <w:lang w:val="zh-CN" w:eastAsia="zh-CN"/>
        </w:rPr>
        <w:t>；</w:t>
      </w:r>
    </w:p>
    <w:p w14:paraId="088134B4"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B1250 – </w:t>
      </w:r>
      <w:r w:rsidRPr="00B66330">
        <w:rPr>
          <w:snapToGrid w:val="0"/>
          <w:sz w:val="24"/>
          <w:szCs w:val="24"/>
          <w:lang w:val="zh-CN" w:eastAsia="zh-CN"/>
        </w:rPr>
        <w:t>既无液体亦无其他有害组件的报废汽车</w:t>
      </w:r>
      <w:r>
        <w:rPr>
          <w:rFonts w:hint="eastAsia"/>
          <w:snapToGrid w:val="0"/>
          <w:sz w:val="24"/>
          <w:szCs w:val="24"/>
          <w:lang w:val="zh-CN" w:eastAsia="zh-CN"/>
        </w:rPr>
        <w:t>；</w:t>
      </w:r>
    </w:p>
    <w:p w14:paraId="5FCFA000" w14:textId="77777777" w:rsidR="00A91740" w:rsidRPr="00B66330" w:rsidRDefault="00A91740" w:rsidP="00A91740">
      <w:pPr>
        <w:pStyle w:val="Normal-pool"/>
        <w:numPr>
          <w:ilvl w:val="0"/>
          <w:numId w:val="6"/>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rPr>
      </w:pPr>
      <w:r w:rsidRPr="00B66330">
        <w:rPr>
          <w:snapToGrid w:val="0"/>
          <w:sz w:val="24"/>
          <w:szCs w:val="24"/>
          <w:lang w:val="zh-CN"/>
        </w:rPr>
        <w:t xml:space="preserve">B3140 – </w:t>
      </w:r>
      <w:proofErr w:type="spellStart"/>
      <w:r w:rsidRPr="00B66330">
        <w:rPr>
          <w:snapToGrid w:val="0"/>
          <w:sz w:val="24"/>
          <w:szCs w:val="24"/>
          <w:lang w:val="zh-CN"/>
        </w:rPr>
        <w:t>废轮胎</w:t>
      </w:r>
      <w:proofErr w:type="spellEnd"/>
      <w:r>
        <w:rPr>
          <w:rFonts w:hint="eastAsia"/>
          <w:snapToGrid w:val="0"/>
          <w:sz w:val="24"/>
          <w:szCs w:val="24"/>
          <w:lang w:val="zh-CN" w:eastAsia="zh-CN"/>
        </w:rPr>
        <w:t>；</w:t>
      </w:r>
    </w:p>
    <w:p w14:paraId="3B3A0C32" w14:textId="77777777" w:rsidR="00A91740" w:rsidRPr="00B66330" w:rsidRDefault="00A91740" w:rsidP="00A91740">
      <w:pPr>
        <w:pStyle w:val="Normalnumber"/>
        <w:widowControl w:val="0"/>
        <w:numPr>
          <w:ilvl w:val="2"/>
          <w:numId w:val="5"/>
        </w:numPr>
        <w:spacing w:line="240" w:lineRule="auto"/>
        <w:ind w:left="1871" w:firstLine="397"/>
        <w:jc w:val="both"/>
        <w:rPr>
          <w:snapToGrid w:val="0"/>
          <w:sz w:val="24"/>
          <w:szCs w:val="24"/>
        </w:rPr>
      </w:pPr>
      <w:r>
        <w:rPr>
          <w:rFonts w:hint="eastAsia"/>
          <w:snapToGrid w:val="0"/>
          <w:lang w:val="zh-CN" w:eastAsia="zh-CN"/>
        </w:rPr>
        <w:lastRenderedPageBreak/>
        <w:t xml:space="preserve"> </w:t>
      </w:r>
      <w:r w:rsidRPr="00EC3A86">
        <w:rPr>
          <w:rFonts w:hint="eastAsia"/>
          <w:snapToGrid w:val="0"/>
          <w:lang w:val="zh-CN" w:eastAsia="zh-CN"/>
        </w:rPr>
        <w:t>（二）</w:t>
      </w:r>
      <w:r>
        <w:rPr>
          <w:rFonts w:hint="eastAsia"/>
          <w:snapToGrid w:val="0"/>
          <w:lang w:val="zh-CN" w:eastAsia="zh-CN"/>
        </w:rPr>
        <w:t xml:space="preserve"> </w:t>
      </w:r>
      <w:proofErr w:type="spellStart"/>
      <w:r w:rsidRPr="00B66330">
        <w:rPr>
          <w:snapToGrid w:val="0"/>
          <w:sz w:val="24"/>
          <w:szCs w:val="24"/>
          <w:lang w:val="zh-CN"/>
        </w:rPr>
        <w:t>中度优先</w:t>
      </w:r>
      <w:proofErr w:type="spellEnd"/>
      <w:r w:rsidRPr="00B66330">
        <w:rPr>
          <w:snapToGrid w:val="0"/>
          <w:sz w:val="24"/>
          <w:szCs w:val="24"/>
          <w:lang w:val="zh-CN"/>
        </w:rPr>
        <w:t>：</w:t>
      </w:r>
      <w:r w:rsidRPr="00B66330">
        <w:rPr>
          <w:rStyle w:val="FootnoteReference"/>
          <w:snapToGrid w:val="0"/>
          <w:sz w:val="24"/>
          <w:szCs w:val="22"/>
          <w:lang w:val="zh-CN"/>
        </w:rPr>
        <w:footnoteReference w:id="6"/>
      </w:r>
    </w:p>
    <w:p w14:paraId="3CF2BF18" w14:textId="77777777" w:rsidR="00A91740" w:rsidRPr="00B66330" w:rsidRDefault="00A91740" w:rsidP="00A91740">
      <w:pPr>
        <w:pStyle w:val="Normal-pool"/>
        <w:numPr>
          <w:ilvl w:val="0"/>
          <w:numId w:val="7"/>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A3090 – </w:t>
      </w:r>
      <w:r w:rsidRPr="00B66330">
        <w:rPr>
          <w:snapToGrid w:val="0"/>
          <w:sz w:val="24"/>
          <w:szCs w:val="24"/>
          <w:lang w:val="zh-CN" w:eastAsia="zh-CN"/>
        </w:rPr>
        <w:t>含有六价铬化合物或杀生物剂的废皮革尘、灰、泥和粉；</w:t>
      </w:r>
    </w:p>
    <w:p w14:paraId="4799C8E5" w14:textId="77777777" w:rsidR="00A91740" w:rsidRPr="00B66330" w:rsidRDefault="00A91740" w:rsidP="00A91740">
      <w:pPr>
        <w:pStyle w:val="Normal-pool"/>
        <w:numPr>
          <w:ilvl w:val="0"/>
          <w:numId w:val="7"/>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rPr>
      </w:pPr>
      <w:r w:rsidRPr="00B66330">
        <w:rPr>
          <w:snapToGrid w:val="0"/>
          <w:sz w:val="24"/>
          <w:szCs w:val="24"/>
          <w:lang w:val="zh-CN"/>
        </w:rPr>
        <w:t xml:space="preserve">A3100 – </w:t>
      </w:r>
      <w:proofErr w:type="spellStart"/>
      <w:r w:rsidRPr="00B66330">
        <w:rPr>
          <w:snapToGrid w:val="0"/>
          <w:sz w:val="24"/>
          <w:szCs w:val="24"/>
          <w:lang w:val="zh-CN"/>
        </w:rPr>
        <w:t>废削皮和其他皮革废物</w:t>
      </w:r>
      <w:proofErr w:type="spellEnd"/>
      <w:r w:rsidRPr="00B66330">
        <w:rPr>
          <w:snapToGrid w:val="0"/>
          <w:sz w:val="24"/>
          <w:szCs w:val="24"/>
          <w:lang w:val="zh-CN"/>
        </w:rPr>
        <w:t>；</w:t>
      </w:r>
    </w:p>
    <w:p w14:paraId="71BCD679" w14:textId="77777777" w:rsidR="00A91740" w:rsidRPr="00B66330" w:rsidRDefault="00A91740" w:rsidP="00A91740">
      <w:pPr>
        <w:pStyle w:val="Normal-pool"/>
        <w:numPr>
          <w:ilvl w:val="0"/>
          <w:numId w:val="7"/>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A3110 – </w:t>
      </w:r>
      <w:r w:rsidRPr="00B66330">
        <w:rPr>
          <w:snapToGrid w:val="0"/>
          <w:sz w:val="24"/>
          <w:szCs w:val="24"/>
          <w:lang w:val="zh-CN" w:eastAsia="zh-CN"/>
        </w:rPr>
        <w:t>含有六价铬化合物或生物杀灭剂的去毛皮革废物；</w:t>
      </w:r>
    </w:p>
    <w:p w14:paraId="747CE5A0" w14:textId="77777777" w:rsidR="00A91740" w:rsidRPr="00B66330" w:rsidRDefault="00A91740" w:rsidP="00A91740">
      <w:pPr>
        <w:pStyle w:val="Normal-pool"/>
        <w:numPr>
          <w:ilvl w:val="0"/>
          <w:numId w:val="7"/>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A4130 – </w:t>
      </w:r>
      <w:r w:rsidRPr="00B66330">
        <w:rPr>
          <w:snapToGrid w:val="0"/>
          <w:sz w:val="24"/>
          <w:szCs w:val="24"/>
          <w:lang w:val="zh-CN" w:eastAsia="zh-CN"/>
        </w:rPr>
        <w:t>含有附件一物质的废弃包装和容器；</w:t>
      </w:r>
    </w:p>
    <w:p w14:paraId="76822D1F" w14:textId="77777777" w:rsidR="00A91740" w:rsidRPr="00B66330" w:rsidRDefault="00A91740" w:rsidP="00A91740">
      <w:pPr>
        <w:pStyle w:val="Normal-pool"/>
        <w:numPr>
          <w:ilvl w:val="0"/>
          <w:numId w:val="7"/>
        </w:numPr>
        <w:tabs>
          <w:tab w:val="clear" w:pos="1247"/>
          <w:tab w:val="clear" w:pos="1814"/>
          <w:tab w:val="clear" w:pos="2381"/>
          <w:tab w:val="clear" w:pos="2948"/>
          <w:tab w:val="clear" w:pos="3515"/>
          <w:tab w:val="clear" w:pos="4082"/>
          <w:tab w:val="left" w:pos="624"/>
        </w:tabs>
        <w:spacing w:after="120" w:line="240" w:lineRule="auto"/>
        <w:ind w:left="3743" w:hanging="624"/>
        <w:jc w:val="both"/>
        <w:rPr>
          <w:snapToGrid w:val="0"/>
          <w:sz w:val="24"/>
          <w:szCs w:val="24"/>
          <w:lang w:eastAsia="zh-CN"/>
        </w:rPr>
      </w:pPr>
      <w:r w:rsidRPr="00B66330">
        <w:rPr>
          <w:snapToGrid w:val="0"/>
          <w:sz w:val="24"/>
          <w:szCs w:val="24"/>
          <w:lang w:val="zh-CN" w:eastAsia="zh-CN"/>
        </w:rPr>
        <w:t xml:space="preserve">A4080 – </w:t>
      </w:r>
      <w:r w:rsidRPr="00B66330">
        <w:rPr>
          <w:snapToGrid w:val="0"/>
          <w:sz w:val="24"/>
          <w:szCs w:val="24"/>
          <w:lang w:val="zh-CN" w:eastAsia="zh-CN"/>
        </w:rPr>
        <w:t>具有爆炸性质的废物（但清单</w:t>
      </w:r>
      <w:r w:rsidRPr="00B66330">
        <w:rPr>
          <w:snapToGrid w:val="0"/>
          <w:sz w:val="24"/>
          <w:szCs w:val="24"/>
          <w:lang w:val="zh-CN" w:eastAsia="zh-CN"/>
        </w:rPr>
        <w:t>B</w:t>
      </w:r>
      <w:r w:rsidRPr="00B66330">
        <w:rPr>
          <w:snapToGrid w:val="0"/>
          <w:sz w:val="24"/>
          <w:szCs w:val="24"/>
          <w:lang w:val="zh-CN" w:eastAsia="zh-CN"/>
        </w:rPr>
        <w:t>开列的废物不在此列）；</w:t>
      </w:r>
    </w:p>
    <w:p w14:paraId="7B0A0428" w14:textId="77777777" w:rsidR="00A91740" w:rsidRPr="00B66330" w:rsidRDefault="00A91740" w:rsidP="00A91740">
      <w:pPr>
        <w:pStyle w:val="Normalnumber"/>
        <w:widowControl w:val="0"/>
        <w:numPr>
          <w:ilvl w:val="1"/>
          <w:numId w:val="5"/>
        </w:numPr>
        <w:spacing w:line="240" w:lineRule="auto"/>
        <w:ind w:firstLine="624"/>
        <w:jc w:val="both"/>
        <w:rPr>
          <w:iCs/>
          <w:snapToGrid w:val="0"/>
          <w:color w:val="000000"/>
          <w:sz w:val="24"/>
          <w:szCs w:val="24"/>
          <w:lang w:eastAsia="zh-CN"/>
        </w:rPr>
      </w:pPr>
      <w:r w:rsidRPr="00B66330">
        <w:rPr>
          <w:snapToGrid w:val="0"/>
          <w:sz w:val="24"/>
          <w:szCs w:val="24"/>
          <w:lang w:val="zh-CN" w:eastAsia="zh-CN"/>
        </w:rPr>
        <w:t>在不限成员名额工作组的指导下，继续与世界海关组织的协调制度委员会及相关小组委员会合作，以促进将《巴塞尔公约》所涵盖的废物纳入商品名称及编码协调制度</w:t>
      </w:r>
      <w:r w:rsidRPr="00B66330">
        <w:rPr>
          <w:rFonts w:hint="eastAsia"/>
          <w:snapToGrid w:val="0"/>
          <w:sz w:val="24"/>
          <w:szCs w:val="24"/>
          <w:lang w:val="zh-CN" w:eastAsia="zh-CN"/>
        </w:rPr>
        <w:t>；</w:t>
      </w:r>
    </w:p>
    <w:p w14:paraId="4A4E6326" w14:textId="77777777" w:rsidR="00A91740" w:rsidRPr="00B66330" w:rsidRDefault="00A91740" w:rsidP="00A91740">
      <w:pPr>
        <w:pStyle w:val="Normalnumber"/>
        <w:widowControl w:val="0"/>
        <w:numPr>
          <w:ilvl w:val="1"/>
          <w:numId w:val="5"/>
        </w:numPr>
        <w:spacing w:line="240" w:lineRule="auto"/>
        <w:ind w:firstLine="624"/>
        <w:jc w:val="both"/>
        <w:rPr>
          <w:snapToGrid w:val="0"/>
          <w:sz w:val="24"/>
          <w:szCs w:val="24"/>
          <w:lang w:eastAsia="zh-CN"/>
        </w:rPr>
      </w:pPr>
      <w:r w:rsidRPr="00B66330">
        <w:rPr>
          <w:snapToGrid w:val="0"/>
          <w:sz w:val="24"/>
          <w:szCs w:val="24"/>
          <w:lang w:val="zh-CN" w:eastAsia="zh-CN"/>
        </w:rPr>
        <w:t>向不限成员名额工作组第十二次会议和缔约方大会第十五次会议汇报本决定执行进展情况。</w:t>
      </w:r>
    </w:p>
    <w:p w14:paraId="5F7A116F" w14:textId="77777777" w:rsidR="00F935A6" w:rsidRPr="00A91740" w:rsidRDefault="00F935A6" w:rsidP="00A91740">
      <w:pPr>
        <w:rPr>
          <w:lang w:val="en-GB"/>
        </w:rPr>
      </w:pPr>
    </w:p>
    <w:sectPr w:rsidR="00F935A6" w:rsidRPr="00A91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BC91F" w14:textId="77777777" w:rsidR="008D789E" w:rsidRDefault="008D789E" w:rsidP="00E55086">
      <w:pPr>
        <w:spacing w:after="0" w:line="240" w:lineRule="auto"/>
      </w:pPr>
      <w:r>
        <w:separator/>
      </w:r>
    </w:p>
  </w:endnote>
  <w:endnote w:type="continuationSeparator" w:id="0">
    <w:p w14:paraId="74EBC7F8" w14:textId="77777777" w:rsidR="008D789E" w:rsidRDefault="008D789E" w:rsidP="00E5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8BBA" w14:textId="77777777" w:rsidR="008D789E" w:rsidRDefault="008D789E" w:rsidP="00E55086">
      <w:pPr>
        <w:spacing w:after="0" w:line="240" w:lineRule="auto"/>
      </w:pPr>
      <w:r>
        <w:separator/>
      </w:r>
    </w:p>
  </w:footnote>
  <w:footnote w:type="continuationSeparator" w:id="0">
    <w:p w14:paraId="272B72C0" w14:textId="77777777" w:rsidR="008D789E" w:rsidRDefault="008D789E" w:rsidP="00E55086">
      <w:pPr>
        <w:spacing w:after="0" w:line="240" w:lineRule="auto"/>
      </w:pPr>
      <w:r>
        <w:continuationSeparator/>
      </w:r>
    </w:p>
  </w:footnote>
  <w:footnote w:id="1">
    <w:p w14:paraId="3C3E82F2" w14:textId="77777777" w:rsidR="00A91740" w:rsidRPr="00682B39" w:rsidRDefault="00A91740" w:rsidP="00A91740">
      <w:pPr>
        <w:pStyle w:val="FootnoteText"/>
        <w:tabs>
          <w:tab w:val="clear" w:pos="1247"/>
          <w:tab w:val="clear" w:pos="1814"/>
          <w:tab w:val="clear" w:pos="2381"/>
          <w:tab w:val="clear" w:pos="2948"/>
          <w:tab w:val="clear" w:pos="3515"/>
          <w:tab w:val="left" w:pos="624"/>
        </w:tabs>
        <w:spacing w:after="40" w:line="240" w:lineRule="auto"/>
        <w:ind w:left="1253" w:right="57" w:firstLine="6"/>
        <w:rPr>
          <w:spacing w:val="0"/>
          <w:w w:val="100"/>
          <w:kern w:val="0"/>
          <w:sz w:val="20"/>
          <w:lang w:val="en-GB"/>
        </w:rPr>
      </w:pPr>
      <w:r w:rsidRPr="00682B39">
        <w:rPr>
          <w:rStyle w:val="FootnoteReference"/>
          <w:spacing w:val="0"/>
          <w:w w:val="100"/>
          <w:kern w:val="0"/>
          <w:lang w:val="zh-CN"/>
        </w:rPr>
        <w:footnoteRef/>
      </w:r>
      <w:r w:rsidRPr="00682B39">
        <w:rPr>
          <w:spacing w:val="0"/>
          <w:w w:val="100"/>
          <w:kern w:val="0"/>
          <w:sz w:val="20"/>
          <w:lang w:val="en-GB"/>
        </w:rPr>
        <w:t xml:space="preserve"> UNEP/CHW/OEWG.11/INF/34</w:t>
      </w:r>
      <w:r w:rsidRPr="00682B39">
        <w:rPr>
          <w:rFonts w:hint="eastAsia"/>
          <w:spacing w:val="0"/>
          <w:w w:val="100"/>
          <w:kern w:val="0"/>
          <w:sz w:val="20"/>
          <w:lang w:val="en-GB"/>
        </w:rPr>
        <w:t>；</w:t>
      </w:r>
      <w:r w:rsidRPr="00682B39">
        <w:rPr>
          <w:spacing w:val="0"/>
          <w:w w:val="100"/>
          <w:kern w:val="0"/>
          <w:sz w:val="20"/>
          <w:lang w:val="en-GB"/>
        </w:rPr>
        <w:t>UNEP/CHW.14/INF/14</w:t>
      </w:r>
      <w:r w:rsidRPr="00682B39">
        <w:rPr>
          <w:rFonts w:hint="eastAsia"/>
          <w:spacing w:val="0"/>
          <w:w w:val="100"/>
          <w:kern w:val="0"/>
          <w:sz w:val="20"/>
          <w:lang w:val="en-GB"/>
        </w:rPr>
        <w:t>，</w:t>
      </w:r>
      <w:proofErr w:type="spellStart"/>
      <w:r w:rsidRPr="00682B39">
        <w:rPr>
          <w:rFonts w:hint="eastAsia"/>
          <w:spacing w:val="0"/>
          <w:w w:val="100"/>
          <w:kern w:val="0"/>
          <w:sz w:val="20"/>
          <w:lang w:val="zh-CN"/>
        </w:rPr>
        <w:t>附件一</w:t>
      </w:r>
      <w:proofErr w:type="spellEnd"/>
      <w:r w:rsidRPr="00682B39">
        <w:rPr>
          <w:rFonts w:hint="eastAsia"/>
          <w:spacing w:val="0"/>
          <w:w w:val="100"/>
          <w:kern w:val="0"/>
          <w:sz w:val="20"/>
          <w:lang w:val="zh-CN"/>
        </w:rPr>
        <w:t>。</w:t>
      </w:r>
    </w:p>
  </w:footnote>
  <w:footnote w:id="2">
    <w:p w14:paraId="45324519" w14:textId="77777777" w:rsidR="00A91740" w:rsidRPr="00682B39" w:rsidRDefault="00A91740" w:rsidP="00A91740">
      <w:pPr>
        <w:pStyle w:val="FootnoteText"/>
        <w:tabs>
          <w:tab w:val="clear" w:pos="1247"/>
          <w:tab w:val="clear" w:pos="1814"/>
          <w:tab w:val="clear" w:pos="2381"/>
          <w:tab w:val="clear" w:pos="2948"/>
          <w:tab w:val="clear" w:pos="3515"/>
          <w:tab w:val="left" w:pos="624"/>
        </w:tabs>
        <w:spacing w:after="40" w:line="240" w:lineRule="auto"/>
        <w:ind w:left="1253" w:right="57" w:firstLine="6"/>
        <w:rPr>
          <w:spacing w:val="0"/>
          <w:w w:val="100"/>
          <w:kern w:val="0"/>
          <w:sz w:val="20"/>
          <w:lang w:val="en-US"/>
        </w:rPr>
      </w:pPr>
      <w:r w:rsidRPr="00682B39">
        <w:rPr>
          <w:rStyle w:val="FootnoteReference"/>
          <w:spacing w:val="0"/>
          <w:w w:val="100"/>
          <w:kern w:val="0"/>
          <w:lang w:val="zh-CN"/>
        </w:rPr>
        <w:footnoteRef/>
      </w:r>
      <w:r w:rsidRPr="00682B39">
        <w:rPr>
          <w:spacing w:val="0"/>
          <w:w w:val="100"/>
          <w:kern w:val="0"/>
          <w:sz w:val="20"/>
          <w:lang w:val="en-US"/>
        </w:rPr>
        <w:t xml:space="preserve"> UNEP/CHW.14/INF/14</w:t>
      </w:r>
      <w:r w:rsidRPr="00682B39">
        <w:rPr>
          <w:rFonts w:hint="eastAsia"/>
          <w:spacing w:val="0"/>
          <w:w w:val="100"/>
          <w:kern w:val="0"/>
          <w:sz w:val="20"/>
          <w:lang w:val="en-US"/>
        </w:rPr>
        <w:t>，</w:t>
      </w:r>
      <w:r w:rsidRPr="00682B39">
        <w:rPr>
          <w:rFonts w:hint="eastAsia"/>
          <w:spacing w:val="0"/>
          <w:w w:val="100"/>
          <w:kern w:val="0"/>
          <w:sz w:val="20"/>
          <w:lang w:val="zh-CN"/>
        </w:rPr>
        <w:t>附件二。</w:t>
      </w:r>
    </w:p>
  </w:footnote>
  <w:footnote w:id="3">
    <w:p w14:paraId="349198FD" w14:textId="77777777" w:rsidR="00A91740" w:rsidRPr="00682B39" w:rsidRDefault="00A91740" w:rsidP="00A91740">
      <w:pPr>
        <w:pStyle w:val="FootnoteText"/>
        <w:tabs>
          <w:tab w:val="left" w:pos="624"/>
        </w:tabs>
        <w:spacing w:after="40" w:line="240" w:lineRule="auto"/>
        <w:ind w:left="1253" w:right="57" w:firstLine="6"/>
        <w:rPr>
          <w:spacing w:val="0"/>
          <w:w w:val="100"/>
          <w:kern w:val="0"/>
          <w:sz w:val="20"/>
          <w:lang w:eastAsia="zh-CN"/>
        </w:rPr>
      </w:pPr>
      <w:r w:rsidRPr="00682B39">
        <w:rPr>
          <w:rStyle w:val="FootnoteReference"/>
          <w:spacing w:val="0"/>
          <w:w w:val="100"/>
          <w:kern w:val="0"/>
          <w:lang w:val="zh-CN"/>
        </w:rPr>
        <w:footnoteRef/>
      </w:r>
      <w:r w:rsidRPr="00682B39">
        <w:rPr>
          <w:spacing w:val="0"/>
          <w:w w:val="100"/>
          <w:kern w:val="0"/>
          <w:sz w:val="20"/>
          <w:lang w:val="zh-CN" w:eastAsia="zh-CN"/>
        </w:rPr>
        <w:t xml:space="preserve"> </w:t>
      </w:r>
      <w:r w:rsidRPr="00682B39">
        <w:rPr>
          <w:rFonts w:hint="eastAsia"/>
          <w:spacing w:val="0"/>
          <w:w w:val="100"/>
          <w:kern w:val="0"/>
          <w:sz w:val="20"/>
          <w:lang w:val="zh-CN" w:eastAsia="zh-CN"/>
        </w:rPr>
        <w:t>全部条目见《巴塞尔公约》</w:t>
      </w:r>
      <w:proofErr w:type="gramStart"/>
      <w:r w:rsidRPr="00682B39">
        <w:rPr>
          <w:rFonts w:hint="eastAsia"/>
          <w:spacing w:val="0"/>
          <w:w w:val="100"/>
          <w:kern w:val="0"/>
          <w:sz w:val="20"/>
          <w:lang w:val="zh-CN" w:eastAsia="zh-CN"/>
        </w:rPr>
        <w:t>附件八</w:t>
      </w:r>
      <w:proofErr w:type="gramEnd"/>
      <w:r w:rsidRPr="00682B39">
        <w:rPr>
          <w:rFonts w:hint="eastAsia"/>
          <w:spacing w:val="0"/>
          <w:w w:val="100"/>
          <w:kern w:val="0"/>
          <w:sz w:val="20"/>
          <w:lang w:val="zh-CN" w:eastAsia="zh-CN"/>
        </w:rPr>
        <w:t>和九。</w:t>
      </w:r>
    </w:p>
  </w:footnote>
  <w:footnote w:id="4">
    <w:p w14:paraId="50A6F1A2" w14:textId="77777777" w:rsidR="00A91740" w:rsidRPr="00682B39" w:rsidRDefault="00A91740" w:rsidP="00A91740">
      <w:pPr>
        <w:pStyle w:val="FootnoteText"/>
        <w:tabs>
          <w:tab w:val="left" w:pos="624"/>
        </w:tabs>
        <w:spacing w:after="40" w:line="240" w:lineRule="auto"/>
        <w:ind w:left="1253" w:right="57" w:firstLine="6"/>
        <w:rPr>
          <w:spacing w:val="0"/>
          <w:w w:val="100"/>
          <w:kern w:val="0"/>
          <w:sz w:val="20"/>
          <w:lang w:eastAsia="zh-CN"/>
        </w:rPr>
      </w:pPr>
      <w:r w:rsidRPr="00682B39">
        <w:rPr>
          <w:rStyle w:val="FootnoteReference"/>
          <w:spacing w:val="0"/>
          <w:w w:val="100"/>
          <w:kern w:val="0"/>
          <w:lang w:val="zh-CN"/>
        </w:rPr>
        <w:footnoteRef/>
      </w:r>
      <w:r w:rsidRPr="00682B39">
        <w:rPr>
          <w:spacing w:val="0"/>
          <w:w w:val="100"/>
          <w:kern w:val="0"/>
          <w:sz w:val="20"/>
          <w:lang w:val="zh-CN" w:eastAsia="zh-CN"/>
        </w:rPr>
        <w:t xml:space="preserve"> </w:t>
      </w:r>
      <w:r w:rsidRPr="00682B39">
        <w:rPr>
          <w:rFonts w:hint="eastAsia"/>
          <w:spacing w:val="0"/>
          <w:w w:val="100"/>
          <w:kern w:val="0"/>
          <w:sz w:val="20"/>
          <w:lang w:val="zh-CN" w:eastAsia="zh-CN"/>
        </w:rPr>
        <w:t>协调制度委员会已经临时通过了用于辨认这类废物的商品名称及编码协调制度的修正案，</w:t>
      </w:r>
      <w:r w:rsidRPr="00682B39">
        <w:rPr>
          <w:spacing w:val="0"/>
          <w:w w:val="100"/>
          <w:kern w:val="0"/>
          <w:sz w:val="20"/>
          <w:lang w:val="zh-CN" w:eastAsia="zh-CN"/>
        </w:rPr>
        <w:t xml:space="preserve">  </w:t>
      </w:r>
      <w:r w:rsidRPr="00682B39">
        <w:rPr>
          <w:rFonts w:hint="eastAsia"/>
          <w:spacing w:val="0"/>
          <w:w w:val="100"/>
          <w:kern w:val="0"/>
          <w:sz w:val="20"/>
          <w:lang w:val="zh-CN" w:eastAsia="zh-CN"/>
        </w:rPr>
        <w:t>修正案将列入该制度的</w:t>
      </w:r>
      <w:r w:rsidRPr="00682B39">
        <w:rPr>
          <w:spacing w:val="0"/>
          <w:w w:val="100"/>
          <w:kern w:val="0"/>
          <w:sz w:val="20"/>
          <w:lang w:val="zh-CN" w:eastAsia="zh-CN"/>
        </w:rPr>
        <w:t>2022</w:t>
      </w:r>
      <w:r w:rsidRPr="00682B39">
        <w:rPr>
          <w:rFonts w:hint="eastAsia"/>
          <w:spacing w:val="0"/>
          <w:w w:val="100"/>
          <w:kern w:val="0"/>
          <w:sz w:val="20"/>
          <w:lang w:val="zh-CN" w:eastAsia="zh-CN"/>
        </w:rPr>
        <w:t>年版本，但有待世界海关组织最后做出决定。</w:t>
      </w:r>
    </w:p>
  </w:footnote>
  <w:footnote w:id="5">
    <w:p w14:paraId="2F90B7E2" w14:textId="77777777" w:rsidR="00A91740" w:rsidRPr="00682B39" w:rsidRDefault="00A91740" w:rsidP="00A91740">
      <w:pPr>
        <w:pStyle w:val="FootnoteText"/>
        <w:tabs>
          <w:tab w:val="left" w:pos="624"/>
        </w:tabs>
        <w:spacing w:after="40" w:line="240" w:lineRule="auto"/>
        <w:ind w:left="1253" w:right="57" w:firstLine="6"/>
        <w:rPr>
          <w:spacing w:val="0"/>
          <w:w w:val="100"/>
          <w:kern w:val="0"/>
          <w:sz w:val="20"/>
          <w:lang w:eastAsia="zh-CN"/>
        </w:rPr>
      </w:pPr>
      <w:r w:rsidRPr="00682B39">
        <w:rPr>
          <w:rStyle w:val="FootnoteReference"/>
          <w:spacing w:val="0"/>
          <w:w w:val="100"/>
          <w:kern w:val="0"/>
          <w:lang w:val="zh-CN"/>
        </w:rPr>
        <w:footnoteRef/>
      </w:r>
      <w:r w:rsidRPr="00682B39">
        <w:rPr>
          <w:spacing w:val="0"/>
          <w:w w:val="100"/>
          <w:kern w:val="0"/>
          <w:sz w:val="20"/>
          <w:lang w:val="zh-CN" w:eastAsia="zh-CN"/>
        </w:rPr>
        <w:t xml:space="preserve"> </w:t>
      </w:r>
      <w:r w:rsidRPr="00682B39">
        <w:rPr>
          <w:rFonts w:hint="eastAsia"/>
          <w:spacing w:val="0"/>
          <w:w w:val="100"/>
          <w:kern w:val="0"/>
          <w:sz w:val="20"/>
          <w:lang w:val="zh-CN" w:eastAsia="zh-CN"/>
        </w:rPr>
        <w:t>协调制度委员会已经临时通过了用于辨认这类废物的商品名称及编码协调制度的修正案，</w:t>
      </w:r>
      <w:r w:rsidRPr="00682B39">
        <w:rPr>
          <w:spacing w:val="0"/>
          <w:w w:val="100"/>
          <w:kern w:val="0"/>
          <w:sz w:val="20"/>
          <w:lang w:val="zh-CN" w:eastAsia="zh-CN"/>
        </w:rPr>
        <w:t xml:space="preserve">  </w:t>
      </w:r>
      <w:r w:rsidRPr="00682B39">
        <w:rPr>
          <w:rFonts w:hint="eastAsia"/>
          <w:spacing w:val="0"/>
          <w:w w:val="100"/>
          <w:kern w:val="0"/>
          <w:sz w:val="20"/>
          <w:lang w:val="zh-CN" w:eastAsia="zh-CN"/>
        </w:rPr>
        <w:t>修正案将列入该制度的</w:t>
      </w:r>
      <w:r w:rsidRPr="00682B39">
        <w:rPr>
          <w:spacing w:val="0"/>
          <w:w w:val="100"/>
          <w:kern w:val="0"/>
          <w:sz w:val="20"/>
          <w:lang w:val="zh-CN" w:eastAsia="zh-CN"/>
        </w:rPr>
        <w:t>2022</w:t>
      </w:r>
      <w:r w:rsidRPr="00682B39">
        <w:rPr>
          <w:rFonts w:hint="eastAsia"/>
          <w:spacing w:val="0"/>
          <w:w w:val="100"/>
          <w:kern w:val="0"/>
          <w:sz w:val="20"/>
          <w:lang w:val="zh-CN" w:eastAsia="zh-CN"/>
        </w:rPr>
        <w:t>年版本，但有待世界海关组织最后做出决定。</w:t>
      </w:r>
    </w:p>
  </w:footnote>
  <w:footnote w:id="6">
    <w:p w14:paraId="5DEB1F62" w14:textId="77777777" w:rsidR="00A91740" w:rsidRPr="00682B39" w:rsidRDefault="00A91740" w:rsidP="00A91740">
      <w:pPr>
        <w:pStyle w:val="FootnoteText"/>
        <w:tabs>
          <w:tab w:val="left" w:pos="624"/>
        </w:tabs>
        <w:spacing w:after="40" w:line="240" w:lineRule="auto"/>
        <w:ind w:left="1253" w:right="57" w:firstLine="6"/>
        <w:rPr>
          <w:spacing w:val="0"/>
          <w:w w:val="100"/>
          <w:kern w:val="0"/>
          <w:sz w:val="20"/>
          <w:lang w:eastAsia="zh-CN"/>
        </w:rPr>
      </w:pPr>
      <w:r w:rsidRPr="00682B39">
        <w:rPr>
          <w:rStyle w:val="FootnoteReference"/>
          <w:spacing w:val="0"/>
          <w:w w:val="100"/>
          <w:kern w:val="0"/>
          <w:lang w:val="zh-CN"/>
        </w:rPr>
        <w:footnoteRef/>
      </w:r>
      <w:r w:rsidRPr="00682B39">
        <w:rPr>
          <w:spacing w:val="0"/>
          <w:w w:val="100"/>
          <w:kern w:val="0"/>
          <w:sz w:val="20"/>
          <w:lang w:val="zh-CN" w:eastAsia="zh-CN"/>
        </w:rPr>
        <w:t xml:space="preserve"> </w:t>
      </w:r>
      <w:r w:rsidRPr="00682B39">
        <w:rPr>
          <w:rFonts w:hint="eastAsia"/>
          <w:spacing w:val="0"/>
          <w:w w:val="100"/>
          <w:kern w:val="0"/>
          <w:sz w:val="20"/>
          <w:lang w:val="zh-CN" w:eastAsia="zh-CN"/>
        </w:rPr>
        <w:t>全部条目见《巴塞尔公约》</w:t>
      </w:r>
      <w:proofErr w:type="gramStart"/>
      <w:r w:rsidRPr="00682B39">
        <w:rPr>
          <w:rFonts w:hint="eastAsia"/>
          <w:spacing w:val="0"/>
          <w:w w:val="100"/>
          <w:kern w:val="0"/>
          <w:sz w:val="20"/>
          <w:lang w:val="zh-CN" w:eastAsia="zh-CN"/>
        </w:rPr>
        <w:t>附件八</w:t>
      </w:r>
      <w:proofErr w:type="gramEnd"/>
      <w:r w:rsidRPr="00682B39">
        <w:rPr>
          <w:rFonts w:hint="eastAsia"/>
          <w:spacing w:val="0"/>
          <w:w w:val="100"/>
          <w:kern w:val="0"/>
          <w:sz w:val="20"/>
          <w:lang w:val="zh-CN" w:eastAsia="zh-CN"/>
        </w:rPr>
        <w:t>和九。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7216"/>
    <w:multiLevelType w:val="multilevel"/>
    <w:tmpl w:val="0A117216"/>
    <w:lvl w:ilvl="0">
      <w:start w:val="1"/>
      <w:numFmt w:val="decimal"/>
      <w:lvlText w:val="%1."/>
      <w:lvlJc w:val="left"/>
      <w:pPr>
        <w:tabs>
          <w:tab w:val="left" w:pos="567"/>
        </w:tabs>
        <w:ind w:left="1247" w:firstLine="0"/>
      </w:pPr>
      <w:rPr>
        <w:rFonts w:hint="default"/>
      </w:rPr>
    </w:lvl>
    <w:lvl w:ilvl="1">
      <w:start w:val="1"/>
      <w:numFmt w:val="lowerLetter"/>
      <w:lvlText w:val="(%2)"/>
      <w:lvlJc w:val="left"/>
      <w:pPr>
        <w:tabs>
          <w:tab w:val="left" w:pos="567"/>
        </w:tabs>
        <w:ind w:left="1247" w:firstLine="567"/>
      </w:pPr>
      <w:rPr>
        <w:rFonts w:hint="default"/>
      </w:rPr>
    </w:lvl>
    <w:lvl w:ilvl="2">
      <w:start w:val="1"/>
      <w:numFmt w:val="lowerRoman"/>
      <w:lvlText w:val="(%3)"/>
      <w:lvlJc w:val="left"/>
      <w:pPr>
        <w:tabs>
          <w:tab w:val="left" w:pos="567"/>
        </w:tabs>
        <w:ind w:left="2948" w:hanging="567"/>
      </w:pPr>
      <w:rPr>
        <w:rFonts w:hint="default"/>
      </w:rPr>
    </w:lvl>
    <w:lvl w:ilvl="3">
      <w:start w:val="1"/>
      <w:numFmt w:val="lowerLetter"/>
      <w:lvlText w:val="%4."/>
      <w:lvlJc w:val="left"/>
      <w:pPr>
        <w:tabs>
          <w:tab w:val="left" w:pos="567"/>
        </w:tabs>
        <w:ind w:left="3515" w:hanging="567"/>
      </w:pPr>
      <w:rPr>
        <w:rFonts w:hint="default"/>
      </w:rPr>
    </w:lvl>
    <w:lvl w:ilvl="4">
      <w:start w:val="1"/>
      <w:numFmt w:val="lowerLetter"/>
      <w:lvlText w:val="%5."/>
      <w:lvlJc w:val="left"/>
      <w:pPr>
        <w:tabs>
          <w:tab w:val="left" w:pos="6548"/>
        </w:tabs>
        <w:ind w:left="6548" w:hanging="360"/>
      </w:pPr>
      <w:rPr>
        <w:rFonts w:hint="default"/>
      </w:rPr>
    </w:lvl>
    <w:lvl w:ilvl="5">
      <w:start w:val="1"/>
      <w:numFmt w:val="lowerRoman"/>
      <w:lvlText w:val="%6."/>
      <w:lvlJc w:val="right"/>
      <w:pPr>
        <w:tabs>
          <w:tab w:val="left" w:pos="7268"/>
        </w:tabs>
        <w:ind w:left="7268" w:hanging="180"/>
      </w:pPr>
      <w:rPr>
        <w:rFonts w:hint="default"/>
      </w:rPr>
    </w:lvl>
    <w:lvl w:ilvl="6">
      <w:start w:val="1"/>
      <w:numFmt w:val="decimal"/>
      <w:lvlText w:val="%7."/>
      <w:lvlJc w:val="left"/>
      <w:pPr>
        <w:tabs>
          <w:tab w:val="left" w:pos="7988"/>
        </w:tabs>
        <w:ind w:left="7988" w:hanging="360"/>
      </w:pPr>
      <w:rPr>
        <w:rFonts w:hint="default"/>
      </w:rPr>
    </w:lvl>
    <w:lvl w:ilvl="7">
      <w:start w:val="1"/>
      <w:numFmt w:val="lowerLetter"/>
      <w:lvlText w:val="%8."/>
      <w:lvlJc w:val="left"/>
      <w:pPr>
        <w:tabs>
          <w:tab w:val="left" w:pos="8708"/>
        </w:tabs>
        <w:ind w:left="8708" w:hanging="360"/>
      </w:pPr>
      <w:rPr>
        <w:rFonts w:hint="default"/>
      </w:rPr>
    </w:lvl>
    <w:lvl w:ilvl="8">
      <w:start w:val="1"/>
      <w:numFmt w:val="lowerRoman"/>
      <w:lvlText w:val="%9."/>
      <w:lvlJc w:val="right"/>
      <w:pPr>
        <w:tabs>
          <w:tab w:val="left" w:pos="9428"/>
        </w:tabs>
        <w:ind w:left="9428" w:hanging="180"/>
      </w:pPr>
      <w:rPr>
        <w:rFonts w:hint="default"/>
      </w:rPr>
    </w:lvl>
  </w:abstractNum>
  <w:abstractNum w:abstractNumId="1" w15:restartNumberingAfterBreak="0">
    <w:nsid w:val="22752CB9"/>
    <w:multiLevelType w:val="multilevel"/>
    <w:tmpl w:val="22752CB9"/>
    <w:lvl w:ilvl="0">
      <w:start w:val="1"/>
      <w:numFmt w:val="decimal"/>
      <w:lvlText w:val="%1."/>
      <w:lvlJc w:val="left"/>
      <w:pPr>
        <w:ind w:left="4463" w:hanging="360"/>
      </w:pPr>
    </w:lvl>
    <w:lvl w:ilvl="1">
      <w:start w:val="1"/>
      <w:numFmt w:val="lowerRoman"/>
      <w:lvlText w:val="(%2)"/>
      <w:lvlJc w:val="left"/>
      <w:pPr>
        <w:ind w:left="5543" w:hanging="720"/>
      </w:pPr>
      <w:rPr>
        <w:rFonts w:hint="default"/>
      </w:rPr>
    </w:lvl>
    <w:lvl w:ilvl="2">
      <w:start w:val="1"/>
      <w:numFmt w:val="lowerRoman"/>
      <w:lvlText w:val="%3."/>
      <w:lvlJc w:val="right"/>
      <w:pPr>
        <w:ind w:left="5903" w:hanging="180"/>
      </w:pPr>
    </w:lvl>
    <w:lvl w:ilvl="3">
      <w:start w:val="1"/>
      <w:numFmt w:val="decimal"/>
      <w:lvlText w:val="%4."/>
      <w:lvlJc w:val="left"/>
      <w:pPr>
        <w:ind w:left="6623" w:hanging="360"/>
      </w:pPr>
    </w:lvl>
    <w:lvl w:ilvl="4">
      <w:start w:val="1"/>
      <w:numFmt w:val="lowerLetter"/>
      <w:lvlText w:val="%5."/>
      <w:lvlJc w:val="left"/>
      <w:pPr>
        <w:ind w:left="7343" w:hanging="360"/>
      </w:pPr>
    </w:lvl>
    <w:lvl w:ilvl="5">
      <w:start w:val="1"/>
      <w:numFmt w:val="lowerRoman"/>
      <w:lvlText w:val="%6."/>
      <w:lvlJc w:val="right"/>
      <w:pPr>
        <w:ind w:left="8063" w:hanging="180"/>
      </w:pPr>
    </w:lvl>
    <w:lvl w:ilvl="6">
      <w:start w:val="1"/>
      <w:numFmt w:val="decimal"/>
      <w:lvlText w:val="%7."/>
      <w:lvlJc w:val="left"/>
      <w:pPr>
        <w:ind w:left="8783" w:hanging="360"/>
      </w:pPr>
    </w:lvl>
    <w:lvl w:ilvl="7">
      <w:start w:val="1"/>
      <w:numFmt w:val="lowerLetter"/>
      <w:lvlText w:val="%8."/>
      <w:lvlJc w:val="left"/>
      <w:pPr>
        <w:ind w:left="9503" w:hanging="360"/>
      </w:pPr>
    </w:lvl>
    <w:lvl w:ilvl="8">
      <w:start w:val="1"/>
      <w:numFmt w:val="lowerRoman"/>
      <w:lvlText w:val="%9."/>
      <w:lvlJc w:val="right"/>
      <w:pPr>
        <w:ind w:left="10223" w:hanging="180"/>
      </w:pPr>
    </w:lvl>
  </w:abstractNum>
  <w:abstractNum w:abstractNumId="2" w15:restartNumberingAfterBreak="0">
    <w:nsid w:val="50A20E95"/>
    <w:multiLevelType w:val="multilevel"/>
    <w:tmpl w:val="50A20E95"/>
    <w:lvl w:ilvl="0">
      <w:start w:val="1"/>
      <w:numFmt w:val="decimal"/>
      <w:lvlText w:val="%1."/>
      <w:lvlJc w:val="left"/>
      <w:pPr>
        <w:ind w:left="4463" w:hanging="360"/>
      </w:pPr>
    </w:lvl>
    <w:lvl w:ilvl="1">
      <w:start w:val="1"/>
      <w:numFmt w:val="lowerRoman"/>
      <w:lvlText w:val="(%2)"/>
      <w:lvlJc w:val="left"/>
      <w:pPr>
        <w:ind w:left="5543" w:hanging="720"/>
      </w:pPr>
      <w:rPr>
        <w:rFonts w:hint="default"/>
      </w:rPr>
    </w:lvl>
    <w:lvl w:ilvl="2">
      <w:start w:val="1"/>
      <w:numFmt w:val="lowerRoman"/>
      <w:lvlText w:val="%3."/>
      <w:lvlJc w:val="right"/>
      <w:pPr>
        <w:ind w:left="5903" w:hanging="180"/>
      </w:pPr>
    </w:lvl>
    <w:lvl w:ilvl="3">
      <w:start w:val="1"/>
      <w:numFmt w:val="decimal"/>
      <w:lvlText w:val="%4."/>
      <w:lvlJc w:val="left"/>
      <w:pPr>
        <w:ind w:left="6623" w:hanging="360"/>
      </w:pPr>
    </w:lvl>
    <w:lvl w:ilvl="4">
      <w:start w:val="1"/>
      <w:numFmt w:val="lowerLetter"/>
      <w:lvlText w:val="%5."/>
      <w:lvlJc w:val="left"/>
      <w:pPr>
        <w:ind w:left="7343" w:hanging="360"/>
      </w:pPr>
    </w:lvl>
    <w:lvl w:ilvl="5">
      <w:start w:val="1"/>
      <w:numFmt w:val="lowerRoman"/>
      <w:lvlText w:val="%6."/>
      <w:lvlJc w:val="right"/>
      <w:pPr>
        <w:ind w:left="8063" w:hanging="180"/>
      </w:pPr>
    </w:lvl>
    <w:lvl w:ilvl="6">
      <w:start w:val="1"/>
      <w:numFmt w:val="decimal"/>
      <w:lvlText w:val="%7."/>
      <w:lvlJc w:val="left"/>
      <w:pPr>
        <w:ind w:left="8783" w:hanging="360"/>
      </w:pPr>
    </w:lvl>
    <w:lvl w:ilvl="7">
      <w:start w:val="1"/>
      <w:numFmt w:val="lowerLetter"/>
      <w:lvlText w:val="%8."/>
      <w:lvlJc w:val="left"/>
      <w:pPr>
        <w:ind w:left="9503" w:hanging="360"/>
      </w:pPr>
    </w:lvl>
    <w:lvl w:ilvl="8">
      <w:start w:val="1"/>
      <w:numFmt w:val="lowerRoman"/>
      <w:lvlText w:val="%9."/>
      <w:lvlJc w:val="right"/>
      <w:pPr>
        <w:ind w:left="10223" w:hanging="180"/>
      </w:pPr>
    </w:lvl>
  </w:abstractNum>
  <w:abstractNum w:abstractNumId="3" w15:restartNumberingAfterBreak="0">
    <w:nsid w:val="52A66A9D"/>
    <w:multiLevelType w:val="multilevel"/>
    <w:tmpl w:val="B46AE4B0"/>
    <w:lvl w:ilvl="0">
      <w:start w:val="1"/>
      <w:numFmt w:val="decimal"/>
      <w:pStyle w:val="Normalnumber"/>
      <w:lvlText w:val="%1."/>
      <w:lvlJc w:val="left"/>
      <w:pPr>
        <w:tabs>
          <w:tab w:val="left" w:pos="1134"/>
        </w:tabs>
        <w:ind w:left="1247" w:firstLine="0"/>
      </w:pPr>
      <w:rPr>
        <w:rFonts w:hint="default"/>
      </w:rPr>
    </w:lvl>
    <w:lvl w:ilvl="1">
      <w:start w:val="1"/>
      <w:numFmt w:val="lowerLetter"/>
      <w:lvlText w:val="(%2)"/>
      <w:lvlJc w:val="left"/>
      <w:pPr>
        <w:tabs>
          <w:tab w:val="left" w:pos="1134"/>
        </w:tabs>
        <w:ind w:left="1247" w:firstLine="567"/>
      </w:pPr>
      <w:rPr>
        <w:rFonts w:hint="default"/>
      </w:rPr>
    </w:lvl>
    <w:lvl w:ilvl="2">
      <w:start w:val="1"/>
      <w:numFmt w:val="lowerRoman"/>
      <w:lvlText w:val="(%3)"/>
      <w:lvlJc w:val="left"/>
      <w:pPr>
        <w:tabs>
          <w:tab w:val="left" w:pos="1134"/>
        </w:tabs>
        <w:ind w:left="2948" w:hanging="567"/>
      </w:pPr>
      <w:rPr>
        <w:rFonts w:hint="default"/>
      </w:rPr>
    </w:lvl>
    <w:lvl w:ilvl="3">
      <w:start w:val="1"/>
      <w:numFmt w:val="lowerLetter"/>
      <w:lvlText w:val="%4."/>
      <w:lvlJc w:val="left"/>
      <w:pPr>
        <w:tabs>
          <w:tab w:val="left" w:pos="1134"/>
        </w:tabs>
        <w:ind w:left="3515" w:hanging="567"/>
      </w:pPr>
      <w:rPr>
        <w:rFonts w:hint="default"/>
      </w:rPr>
    </w:lvl>
    <w:lvl w:ilvl="4">
      <w:start w:val="1"/>
      <w:numFmt w:val="lowerRoman"/>
      <w:lvlText w:val="%5."/>
      <w:lvlJc w:val="left"/>
      <w:pPr>
        <w:tabs>
          <w:tab w:val="left" w:pos="1134"/>
        </w:tabs>
        <w:ind w:left="4082" w:hanging="567"/>
      </w:pPr>
      <w:rPr>
        <w:rFonts w:hint="default"/>
      </w:rPr>
    </w:lvl>
    <w:lvl w:ilvl="5">
      <w:start w:val="1"/>
      <w:numFmt w:val="lowerRoman"/>
      <w:lvlText w:val="%6."/>
      <w:lvlJc w:val="right"/>
      <w:pPr>
        <w:tabs>
          <w:tab w:val="left" w:pos="7835"/>
        </w:tabs>
        <w:ind w:left="7835" w:hanging="180"/>
      </w:pPr>
      <w:rPr>
        <w:rFonts w:hint="default"/>
      </w:rPr>
    </w:lvl>
    <w:lvl w:ilvl="6">
      <w:start w:val="1"/>
      <w:numFmt w:val="decimal"/>
      <w:lvlText w:val="%7."/>
      <w:lvlJc w:val="left"/>
      <w:pPr>
        <w:tabs>
          <w:tab w:val="left" w:pos="8555"/>
        </w:tabs>
        <w:ind w:left="8555" w:hanging="360"/>
      </w:pPr>
      <w:rPr>
        <w:rFonts w:hint="default"/>
        <w:sz w:val="24"/>
        <w:szCs w:val="24"/>
      </w:rPr>
    </w:lvl>
    <w:lvl w:ilvl="7">
      <w:start w:val="1"/>
      <w:numFmt w:val="lowerLetter"/>
      <w:lvlText w:val="%8."/>
      <w:lvlJc w:val="left"/>
      <w:pPr>
        <w:tabs>
          <w:tab w:val="left" w:pos="9275"/>
        </w:tabs>
        <w:ind w:left="9275" w:hanging="360"/>
      </w:pPr>
      <w:rPr>
        <w:rFonts w:hint="default"/>
      </w:rPr>
    </w:lvl>
    <w:lvl w:ilvl="8">
      <w:start w:val="1"/>
      <w:numFmt w:val="lowerRoman"/>
      <w:lvlText w:val="%9."/>
      <w:lvlJc w:val="right"/>
      <w:pPr>
        <w:tabs>
          <w:tab w:val="left" w:pos="9995"/>
        </w:tabs>
        <w:ind w:left="9995" w:hanging="180"/>
      </w:pPr>
      <w:rPr>
        <w:rFonts w:hint="default"/>
      </w:rPr>
    </w:lvl>
  </w:abstractNum>
  <w:abstractNum w:abstractNumId="4" w15:restartNumberingAfterBreak="0">
    <w:nsid w:val="55D64D80"/>
    <w:multiLevelType w:val="multilevel"/>
    <w:tmpl w:val="55D64D80"/>
    <w:lvl w:ilvl="0">
      <w:start w:val="1"/>
      <w:numFmt w:val="decimal"/>
      <w:lvlText w:val="%1."/>
      <w:lvlJc w:val="left"/>
      <w:pPr>
        <w:tabs>
          <w:tab w:val="left" w:pos="567"/>
        </w:tabs>
        <w:ind w:left="1247" w:firstLine="0"/>
      </w:pPr>
      <w:rPr>
        <w:rFonts w:hint="default"/>
      </w:rPr>
    </w:lvl>
    <w:lvl w:ilvl="1">
      <w:start w:val="1"/>
      <w:numFmt w:val="lowerLetter"/>
      <w:lvlText w:val="(%2)"/>
      <w:lvlJc w:val="left"/>
      <w:pPr>
        <w:tabs>
          <w:tab w:val="left" w:pos="567"/>
        </w:tabs>
        <w:ind w:left="1247" w:firstLine="567"/>
      </w:pPr>
      <w:rPr>
        <w:rFonts w:hint="default"/>
      </w:rPr>
    </w:lvl>
    <w:lvl w:ilvl="2">
      <w:start w:val="1"/>
      <w:numFmt w:val="lowerRoman"/>
      <w:lvlText w:val="(%3)"/>
      <w:lvlJc w:val="left"/>
      <w:pPr>
        <w:tabs>
          <w:tab w:val="left" w:pos="567"/>
        </w:tabs>
        <w:ind w:left="2948" w:hanging="567"/>
      </w:pPr>
      <w:rPr>
        <w:rFonts w:hint="default"/>
      </w:rPr>
    </w:lvl>
    <w:lvl w:ilvl="3">
      <w:start w:val="1"/>
      <w:numFmt w:val="lowerLetter"/>
      <w:lvlText w:val="%4."/>
      <w:lvlJc w:val="left"/>
      <w:pPr>
        <w:tabs>
          <w:tab w:val="left" w:pos="567"/>
        </w:tabs>
        <w:ind w:left="3515" w:hanging="567"/>
      </w:pPr>
      <w:rPr>
        <w:rFonts w:hint="default"/>
      </w:rPr>
    </w:lvl>
    <w:lvl w:ilvl="4">
      <w:start w:val="1"/>
      <w:numFmt w:val="lowerLetter"/>
      <w:lvlText w:val="%5."/>
      <w:lvlJc w:val="left"/>
      <w:pPr>
        <w:tabs>
          <w:tab w:val="left" w:pos="6548"/>
        </w:tabs>
        <w:ind w:left="6548" w:hanging="360"/>
      </w:pPr>
      <w:rPr>
        <w:rFonts w:hint="default"/>
      </w:rPr>
    </w:lvl>
    <w:lvl w:ilvl="5">
      <w:start w:val="1"/>
      <w:numFmt w:val="lowerRoman"/>
      <w:lvlText w:val="%6."/>
      <w:lvlJc w:val="right"/>
      <w:pPr>
        <w:tabs>
          <w:tab w:val="left" w:pos="7268"/>
        </w:tabs>
        <w:ind w:left="7268" w:hanging="180"/>
      </w:pPr>
      <w:rPr>
        <w:rFonts w:hint="default"/>
      </w:rPr>
    </w:lvl>
    <w:lvl w:ilvl="6">
      <w:start w:val="1"/>
      <w:numFmt w:val="decimal"/>
      <w:lvlText w:val="%7."/>
      <w:lvlJc w:val="left"/>
      <w:pPr>
        <w:tabs>
          <w:tab w:val="left" w:pos="7988"/>
        </w:tabs>
        <w:ind w:left="7988" w:hanging="360"/>
      </w:pPr>
      <w:rPr>
        <w:rFonts w:hint="default"/>
      </w:rPr>
    </w:lvl>
    <w:lvl w:ilvl="7">
      <w:start w:val="1"/>
      <w:numFmt w:val="lowerLetter"/>
      <w:lvlText w:val="%8."/>
      <w:lvlJc w:val="left"/>
      <w:pPr>
        <w:tabs>
          <w:tab w:val="left" w:pos="8708"/>
        </w:tabs>
        <w:ind w:left="8708" w:hanging="360"/>
      </w:pPr>
      <w:rPr>
        <w:rFonts w:hint="default"/>
      </w:rPr>
    </w:lvl>
    <w:lvl w:ilvl="8">
      <w:start w:val="1"/>
      <w:numFmt w:val="lowerRoman"/>
      <w:lvlText w:val="%9."/>
      <w:lvlJc w:val="right"/>
      <w:pPr>
        <w:tabs>
          <w:tab w:val="left" w:pos="9428"/>
        </w:tabs>
        <w:ind w:left="9428" w:hanging="180"/>
      </w:pPr>
      <w:rPr>
        <w:rFonts w:hint="default"/>
      </w:rPr>
    </w:lvl>
  </w:abstractNum>
  <w:abstractNum w:abstractNumId="5" w15:restartNumberingAfterBreak="0">
    <w:nsid w:val="60D477AC"/>
    <w:multiLevelType w:val="multilevel"/>
    <w:tmpl w:val="60D477AC"/>
    <w:lvl w:ilvl="0">
      <w:start w:val="1"/>
      <w:numFmt w:val="decimal"/>
      <w:lvlText w:val="%1."/>
      <w:lvlJc w:val="left"/>
      <w:pPr>
        <w:ind w:left="2855" w:hanging="360"/>
      </w:pPr>
      <w:rPr>
        <w:rFonts w:eastAsia="SimSun" w:hint="default"/>
        <w:i w:val="0"/>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num w:numId="1">
    <w:abstractNumId w:val="3"/>
    <w:lvlOverride w:ilvl="0">
      <w:lvl w:ilvl="0">
        <w:start w:val="1"/>
        <w:numFmt w:val="decimal"/>
        <w:pStyle w:val="Normalnumber"/>
        <w:lvlText w:val="%1."/>
        <w:lvlJc w:val="left"/>
        <w:pPr>
          <w:tabs>
            <w:tab w:val="left" w:pos="1134"/>
          </w:tabs>
          <w:ind w:left="1247" w:firstLine="0"/>
        </w:pPr>
        <w:rPr>
          <w:rFonts w:hint="default"/>
          <w:sz w:val="24"/>
          <w:szCs w:val="24"/>
        </w:rPr>
      </w:lvl>
    </w:lvlOverride>
    <w:lvlOverride w:ilvl="1">
      <w:lvl w:ilvl="1" w:tentative="1">
        <w:start w:val="1"/>
        <w:numFmt w:val="lowerLetter"/>
        <w:lvlText w:val="(%2)"/>
        <w:lvlJc w:val="left"/>
        <w:pPr>
          <w:tabs>
            <w:tab w:val="left" w:pos="1134"/>
          </w:tabs>
          <w:ind w:left="1247" w:firstLine="567"/>
        </w:pPr>
        <w:rPr>
          <w:rFonts w:hint="default"/>
        </w:rPr>
      </w:lvl>
    </w:lvlOverride>
    <w:lvlOverride w:ilvl="2">
      <w:lvl w:ilvl="2" w:tentative="1">
        <w:start w:val="1"/>
        <w:numFmt w:val="lowerRoman"/>
        <w:lvlText w:val="(%3)"/>
        <w:lvlJc w:val="left"/>
        <w:pPr>
          <w:tabs>
            <w:tab w:val="left" w:pos="1134"/>
          </w:tabs>
          <w:ind w:left="2948" w:hanging="567"/>
        </w:pPr>
        <w:rPr>
          <w:rFonts w:hint="default"/>
        </w:rPr>
      </w:lvl>
    </w:lvlOverride>
    <w:lvlOverride w:ilvl="3">
      <w:lvl w:ilvl="3" w:tentative="1">
        <w:start w:val="1"/>
        <w:numFmt w:val="lowerLetter"/>
        <w:lvlText w:val="%4."/>
        <w:lvlJc w:val="left"/>
        <w:pPr>
          <w:tabs>
            <w:tab w:val="left" w:pos="1134"/>
          </w:tabs>
          <w:ind w:left="3515" w:hanging="567"/>
        </w:pPr>
        <w:rPr>
          <w:rFonts w:hint="default"/>
        </w:rPr>
      </w:lvl>
    </w:lvlOverride>
    <w:lvlOverride w:ilvl="4">
      <w:lvl w:ilvl="4" w:tentative="1">
        <w:start w:val="1"/>
        <w:numFmt w:val="lowerRoman"/>
        <w:lvlText w:val="%5."/>
        <w:lvlJc w:val="left"/>
        <w:pPr>
          <w:tabs>
            <w:tab w:val="left" w:pos="1134"/>
          </w:tabs>
          <w:ind w:left="4082" w:hanging="567"/>
        </w:pPr>
        <w:rPr>
          <w:rFonts w:hint="default"/>
        </w:rPr>
      </w:lvl>
    </w:lvlOverride>
    <w:lvlOverride w:ilvl="5">
      <w:lvl w:ilvl="5" w:tentative="1">
        <w:start w:val="1"/>
        <w:numFmt w:val="lowerRoman"/>
        <w:lvlText w:val="%6."/>
        <w:lvlJc w:val="right"/>
        <w:pPr>
          <w:tabs>
            <w:tab w:val="left" w:pos="7835"/>
          </w:tabs>
          <w:ind w:left="7835" w:hanging="180"/>
        </w:pPr>
        <w:rPr>
          <w:rFonts w:hint="default"/>
        </w:rPr>
      </w:lvl>
    </w:lvlOverride>
    <w:lvlOverride w:ilvl="6">
      <w:lvl w:ilvl="6" w:tentative="1">
        <w:start w:val="1"/>
        <w:numFmt w:val="decimal"/>
        <w:lvlText w:val="%7."/>
        <w:lvlJc w:val="left"/>
        <w:pPr>
          <w:tabs>
            <w:tab w:val="left" w:pos="8555"/>
          </w:tabs>
          <w:ind w:left="8555" w:hanging="360"/>
        </w:pPr>
        <w:rPr>
          <w:rFonts w:hint="default"/>
        </w:rPr>
      </w:lvl>
    </w:lvlOverride>
    <w:lvlOverride w:ilvl="7">
      <w:lvl w:ilvl="7" w:tentative="1">
        <w:start w:val="1"/>
        <w:numFmt w:val="lowerLetter"/>
        <w:lvlText w:val="%8."/>
        <w:lvlJc w:val="left"/>
        <w:pPr>
          <w:tabs>
            <w:tab w:val="left" w:pos="9275"/>
          </w:tabs>
          <w:ind w:left="9275" w:hanging="360"/>
        </w:pPr>
        <w:rPr>
          <w:rFonts w:hint="default"/>
        </w:rPr>
      </w:lvl>
    </w:lvlOverride>
    <w:lvlOverride w:ilvl="8">
      <w:lvl w:ilvl="8" w:tentative="1">
        <w:start w:val="1"/>
        <w:numFmt w:val="lowerRoman"/>
        <w:lvlText w:val="%9."/>
        <w:lvlJc w:val="right"/>
        <w:pPr>
          <w:tabs>
            <w:tab w:val="left" w:pos="9995"/>
          </w:tabs>
          <w:ind w:left="9995" w:hanging="180"/>
        </w:pPr>
        <w:rPr>
          <w:rFonts w:hint="default"/>
        </w:rPr>
      </w:lvl>
    </w:lvlOverride>
  </w:num>
  <w:num w:numId="2">
    <w:abstractNumId w:val="0"/>
  </w:num>
  <w:num w:numId="3">
    <w:abstractNumId w:val="5"/>
    <w:lvlOverride w:ilvl="0">
      <w:lvl w:ilvl="0">
        <w:start w:val="1"/>
        <w:numFmt w:val="decimal"/>
        <w:lvlText w:val="%1."/>
        <w:lvlJc w:val="left"/>
        <w:pPr>
          <w:ind w:left="2855" w:hanging="360"/>
        </w:pPr>
        <w:rPr>
          <w:rFonts w:eastAsia="SimSun" w:hint="default"/>
          <w:i w:val="0"/>
        </w:rPr>
      </w:lvl>
    </w:lvlOverride>
  </w:num>
  <w:num w:numId="4">
    <w:abstractNumId w:val="4"/>
  </w:num>
  <w:num w:numId="5">
    <w:abstractNumId w:val="3"/>
    <w:lvlOverride w:ilvl="0">
      <w:startOverride w:val="1"/>
      <w:lvl w:ilvl="0" w:tentative="1">
        <w:start w:val="1"/>
        <w:numFmt w:val="decimal"/>
        <w:pStyle w:val="Normalnumber"/>
        <w:lvlText w:val=""/>
        <w:lvlJc w:val="left"/>
      </w:lvl>
    </w:lvlOverride>
    <w:lvlOverride w:ilvl="1">
      <w:startOverride w:val="1"/>
      <w:lvl w:ilvl="1">
        <w:start w:val="1"/>
        <w:numFmt w:val="lowerLetter"/>
        <w:lvlText w:val="(%2)"/>
        <w:lvlJc w:val="left"/>
        <w:pPr>
          <w:tabs>
            <w:tab w:val="left" w:pos="1134"/>
          </w:tabs>
          <w:ind w:left="1247" w:firstLine="567"/>
        </w:pPr>
        <w:rPr>
          <w:rFonts w:hint="default"/>
        </w:rPr>
      </w:lvl>
    </w:lvlOverride>
    <w:lvlOverride w:ilvl="2">
      <w:startOverride w:val="1"/>
      <w:lvl w:ilvl="2">
        <w:start w:val="1"/>
        <w:numFmt w:val="decimal"/>
        <w:lvlText w:val=""/>
        <w:lvlJc w:val="left"/>
      </w:lvl>
    </w:lvlOverride>
    <w:lvlOverride w:ilvl="3">
      <w:startOverride w:val="1"/>
      <w:lvl w:ilvl="3" w:tentative="1">
        <w:start w:val="1"/>
        <w:numFmt w:val="decimal"/>
        <w:lvlText w:val=""/>
        <w:lvlJc w:val="left"/>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num>
  <w:num w:numId="6">
    <w:abstractNumId w:val="2"/>
    <w:lvlOverride w:ilvl="0">
      <w:lvl w:ilvl="0">
        <w:start w:val="1"/>
        <w:numFmt w:val="decimal"/>
        <w:lvlText w:val="%1."/>
        <w:lvlJc w:val="left"/>
        <w:pPr>
          <w:ind w:left="4463" w:hanging="360"/>
        </w:pPr>
      </w:lvl>
    </w:lvlOverride>
  </w:num>
  <w:num w:numId="7">
    <w:abstractNumId w:val="1"/>
    <w:lvlOverride w:ilvl="0">
      <w:lvl w:ilvl="0">
        <w:start w:val="1"/>
        <w:numFmt w:val="decimal"/>
        <w:lvlText w:val="%1."/>
        <w:lvlJc w:val="left"/>
        <w:pPr>
          <w:ind w:left="4463"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86"/>
    <w:rsid w:val="004601BA"/>
    <w:rsid w:val="008D789E"/>
    <w:rsid w:val="00A91740"/>
    <w:rsid w:val="00E55086"/>
    <w:rsid w:val="00F935A6"/>
    <w:rsid w:val="00F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EDC2"/>
  <w15:chartTrackingRefBased/>
  <w15:docId w15:val="{2336E75C-7482-4697-AB3F-64D95AB4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086"/>
    <w:pPr>
      <w:tabs>
        <w:tab w:val="left" w:pos="1247"/>
        <w:tab w:val="left" w:pos="1814"/>
        <w:tab w:val="left" w:pos="2381"/>
        <w:tab w:val="left" w:pos="2948"/>
        <w:tab w:val="left" w:pos="3515"/>
      </w:tabs>
      <w:spacing w:after="120" w:line="280" w:lineRule="exact"/>
      <w:jc w:val="both"/>
    </w:pPr>
    <w:rPr>
      <w:rFonts w:ascii="Times New Roman" w:eastAsia="SimSun" w:hAnsi="Times New Roman" w:cs="Times New Roman"/>
      <w:sz w:val="21"/>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_number"/>
    <w:basedOn w:val="Normal"/>
    <w:link w:val="NormalnumberChar"/>
    <w:qFormat/>
    <w:rsid w:val="00E55086"/>
    <w:pPr>
      <w:numPr>
        <w:numId w:val="1"/>
      </w:numPr>
      <w:tabs>
        <w:tab w:val="clear" w:pos="1134"/>
        <w:tab w:val="left" w:pos="624"/>
        <w:tab w:val="left" w:pos="4082"/>
      </w:tabs>
      <w:spacing w:line="259" w:lineRule="auto"/>
      <w:jc w:val="left"/>
    </w:pPr>
    <w:rPr>
      <w:sz w:val="20"/>
      <w:szCs w:val="20"/>
      <w:lang w:val="en-GB" w:eastAsia="en-US"/>
    </w:rPr>
  </w:style>
  <w:style w:type="character" w:styleId="FootnoteReference">
    <w:name w:val="footnote reference"/>
    <w:basedOn w:val="DefaultParagraphFont"/>
    <w:link w:val="BVIfnrCharCharCharChar"/>
    <w:qFormat/>
    <w:rsid w:val="00E55086"/>
    <w:rPr>
      <w:rFonts w:ascii="Times New Roman" w:eastAsia="SimSun" w:hAnsi="Times New Roman"/>
      <w:color w:val="000000"/>
      <w:spacing w:val="-5"/>
      <w:w w:val="130"/>
      <w:position w:val="-4"/>
      <w:sz w:val="20"/>
      <w:szCs w:val="18"/>
      <w:vertAlign w:val="superscript"/>
    </w:rPr>
  </w:style>
  <w:style w:type="paragraph" w:customStyle="1" w:styleId="BVIfnrCharCharCharChar">
    <w:name w:val="BVI fnr Char Char Char Char"/>
    <w:basedOn w:val="Normal"/>
    <w:link w:val="FootnoteReference"/>
    <w:rsid w:val="00E55086"/>
    <w:pPr>
      <w:tabs>
        <w:tab w:val="clear" w:pos="1247"/>
        <w:tab w:val="clear" w:pos="1814"/>
        <w:tab w:val="clear" w:pos="2381"/>
        <w:tab w:val="clear" w:pos="2948"/>
        <w:tab w:val="clear" w:pos="3515"/>
      </w:tabs>
      <w:spacing w:before="120" w:after="160" w:line="240" w:lineRule="exact"/>
    </w:pPr>
    <w:rPr>
      <w:rFonts w:cstheme="minorBidi"/>
      <w:color w:val="000000"/>
      <w:spacing w:val="-5"/>
      <w:w w:val="130"/>
      <w:position w:val="-4"/>
      <w:sz w:val="20"/>
      <w:szCs w:val="18"/>
      <w:vertAlign w:val="superscript"/>
    </w:rPr>
  </w:style>
  <w:style w:type="paragraph" w:customStyle="1" w:styleId="NormalNonumber">
    <w:name w:val="Normal_No_number"/>
    <w:basedOn w:val="Normal"/>
    <w:link w:val="NormalNonumberChar"/>
    <w:qFormat/>
    <w:rsid w:val="00E55086"/>
    <w:pPr>
      <w:tabs>
        <w:tab w:val="left" w:pos="4082"/>
      </w:tabs>
      <w:spacing w:line="259" w:lineRule="auto"/>
      <w:ind w:left="1247"/>
      <w:jc w:val="left"/>
    </w:pPr>
    <w:rPr>
      <w:sz w:val="20"/>
      <w:szCs w:val="20"/>
      <w:lang w:val="en-GB" w:eastAsia="en-US"/>
    </w:rPr>
  </w:style>
  <w:style w:type="paragraph" w:customStyle="1" w:styleId="CH1">
    <w:name w:val="CH1"/>
    <w:basedOn w:val="Normal"/>
    <w:next w:val="Normal"/>
    <w:qFormat/>
    <w:rsid w:val="00E55086"/>
    <w:pPr>
      <w:keepNext/>
      <w:keepLines/>
      <w:tabs>
        <w:tab w:val="right" w:pos="851"/>
        <w:tab w:val="left" w:pos="4082"/>
      </w:tabs>
      <w:suppressAutoHyphens/>
      <w:spacing w:before="240" w:line="259" w:lineRule="auto"/>
      <w:ind w:left="1247" w:right="284" w:hanging="1247"/>
      <w:jc w:val="left"/>
    </w:pPr>
    <w:rPr>
      <w:b/>
      <w:sz w:val="28"/>
      <w:szCs w:val="28"/>
      <w:lang w:val="en-GB" w:eastAsia="en-US"/>
    </w:rPr>
  </w:style>
  <w:style w:type="character" w:customStyle="1" w:styleId="NormalnumberChar">
    <w:name w:val="Normal_number Char"/>
    <w:link w:val="Normalnumber"/>
    <w:rsid w:val="00E55086"/>
    <w:rPr>
      <w:rFonts w:ascii="Times New Roman" w:eastAsia="SimSun" w:hAnsi="Times New Roman" w:cs="Times New Roman"/>
      <w:sz w:val="20"/>
      <w:szCs w:val="20"/>
      <w:lang w:val="en-GB" w:eastAsia="en-US"/>
    </w:rPr>
  </w:style>
  <w:style w:type="character" w:customStyle="1" w:styleId="NormalNonumberChar">
    <w:name w:val="Normal_No_number Char"/>
    <w:link w:val="NormalNonumber"/>
    <w:qFormat/>
    <w:locked/>
    <w:rsid w:val="00E55086"/>
    <w:rPr>
      <w:rFonts w:ascii="Times New Roman" w:eastAsia="SimSun" w:hAnsi="Times New Roman" w:cs="Times New Roman"/>
      <w:sz w:val="20"/>
      <w:szCs w:val="20"/>
      <w:lang w:val="en-GB" w:eastAsia="en-US"/>
    </w:rPr>
  </w:style>
  <w:style w:type="paragraph" w:styleId="FootnoteText">
    <w:name w:val="footnote text"/>
    <w:basedOn w:val="Normal"/>
    <w:link w:val="FootnoteTextChar"/>
    <w:qFormat/>
    <w:rsid w:val="00A91740"/>
    <w:pPr>
      <w:spacing w:before="20" w:after="0" w:line="210" w:lineRule="exact"/>
      <w:ind w:left="475" w:hanging="475"/>
      <w:jc w:val="left"/>
    </w:pPr>
    <w:rPr>
      <w:spacing w:val="5"/>
      <w:w w:val="104"/>
      <w:kern w:val="14"/>
      <w:sz w:val="18"/>
      <w:szCs w:val="20"/>
      <w:lang w:val="fr-FR" w:eastAsia="en-US"/>
    </w:rPr>
  </w:style>
  <w:style w:type="character" w:customStyle="1" w:styleId="FootnoteTextChar">
    <w:name w:val="Footnote Text Char"/>
    <w:basedOn w:val="DefaultParagraphFont"/>
    <w:link w:val="FootnoteText"/>
    <w:rsid w:val="00A91740"/>
    <w:rPr>
      <w:rFonts w:ascii="Times New Roman" w:eastAsia="SimSun" w:hAnsi="Times New Roman" w:cs="Times New Roman"/>
      <w:spacing w:val="5"/>
      <w:w w:val="104"/>
      <w:kern w:val="14"/>
      <w:sz w:val="18"/>
      <w:szCs w:val="20"/>
      <w:lang w:val="fr-FR" w:eastAsia="en-US"/>
    </w:rPr>
  </w:style>
  <w:style w:type="paragraph" w:customStyle="1" w:styleId="Normal-pool">
    <w:name w:val="Normal-pool"/>
    <w:link w:val="Normal-poolChar"/>
    <w:qFormat/>
    <w:rsid w:val="00A91740"/>
    <w:pPr>
      <w:tabs>
        <w:tab w:val="left" w:pos="1247"/>
        <w:tab w:val="left" w:pos="1814"/>
        <w:tab w:val="left" w:pos="2381"/>
        <w:tab w:val="left" w:pos="2948"/>
        <w:tab w:val="left" w:pos="3515"/>
        <w:tab w:val="left" w:pos="4082"/>
      </w:tabs>
    </w:pPr>
    <w:rPr>
      <w:rFonts w:ascii="Times New Roman" w:eastAsia="SimSun" w:hAnsi="Times New Roman" w:cs="Times New Roman"/>
      <w:sz w:val="20"/>
      <w:szCs w:val="20"/>
      <w:lang w:val="en-GB" w:eastAsia="en-US"/>
    </w:rPr>
  </w:style>
  <w:style w:type="character" w:customStyle="1" w:styleId="Normal-poolChar">
    <w:name w:val="Normal-pool Char"/>
    <w:link w:val="Normal-pool"/>
    <w:rsid w:val="00A91740"/>
    <w:rPr>
      <w:rFonts w:ascii="Times New Roman" w:eastAsia="SimSu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Gong</dc:creator>
  <cp:keywords/>
  <dc:description/>
  <cp:lastModifiedBy>Le Gong</cp:lastModifiedBy>
  <cp:revision>2</cp:revision>
  <dcterms:created xsi:type="dcterms:W3CDTF">2020-01-30T16:28:00Z</dcterms:created>
  <dcterms:modified xsi:type="dcterms:W3CDTF">2020-01-30T16:28:00Z</dcterms:modified>
</cp:coreProperties>
</file>