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38" w:rsidRDefault="00D24AD6" w:rsidP="005B1638">
      <w:pPr>
        <w:jc w:val="center"/>
        <w:rPr>
          <w:b/>
          <w:sz w:val="20"/>
        </w:rPr>
      </w:pPr>
      <w:r>
        <w:rPr>
          <w:b/>
          <w:noProof/>
          <w:sz w:val="20"/>
          <w:lang w:val="en-US"/>
        </w:rPr>
        <w:drawing>
          <wp:anchor distT="0" distB="0" distL="114300" distR="114300" simplePos="0" relativeHeight="251659264" behindDoc="1" locked="0" layoutInCell="1" allowOverlap="1">
            <wp:simplePos x="0" y="0"/>
            <wp:positionH relativeFrom="column">
              <wp:posOffset>-709930</wp:posOffset>
            </wp:positionH>
            <wp:positionV relativeFrom="paragraph">
              <wp:posOffset>-414020</wp:posOffset>
            </wp:positionV>
            <wp:extent cx="7105650" cy="1104900"/>
            <wp:effectExtent l="19050" t="0" r="0" b="0"/>
            <wp:wrapNone/>
            <wp:docPr id="6" name="Picture 1" descr="C:\Users\dfrancisco\Documents\SYNERGIES-SSC,SRC,SBC\PAO\PROJECTs\Letterhead TEMPLATE\BC letter_EN-FR-SP\BC letterhea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rancisco\Documents\SYNERGIES-SSC,SRC,SBC\PAO\PROJECTs\Letterhead TEMPLATE\BC letter_EN-FR-SP\BC letterhead_EN.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05650" cy="1104900"/>
                    </a:xfrm>
                    <a:prstGeom prst="rect">
                      <a:avLst/>
                    </a:prstGeom>
                    <a:noFill/>
                    <a:ln>
                      <a:noFill/>
                    </a:ln>
                  </pic:spPr>
                </pic:pic>
              </a:graphicData>
            </a:graphic>
          </wp:anchor>
        </w:drawing>
      </w:r>
    </w:p>
    <w:p w:rsidR="00D24AD6" w:rsidRDefault="00D24AD6" w:rsidP="005B1638">
      <w:pPr>
        <w:jc w:val="center"/>
        <w:rPr>
          <w:b/>
          <w:sz w:val="20"/>
        </w:rPr>
      </w:pPr>
      <w:bookmarkStart w:id="0" w:name="_GoBack"/>
      <w:bookmarkEnd w:id="0"/>
    </w:p>
    <w:p w:rsidR="00D24AD6" w:rsidRDefault="00D24AD6" w:rsidP="005B1638">
      <w:pPr>
        <w:jc w:val="center"/>
        <w:rPr>
          <w:b/>
          <w:sz w:val="20"/>
        </w:rPr>
      </w:pPr>
    </w:p>
    <w:p w:rsidR="00D24AD6" w:rsidRDefault="00D24AD6" w:rsidP="005B1638">
      <w:pPr>
        <w:jc w:val="center"/>
        <w:rPr>
          <w:b/>
          <w:sz w:val="20"/>
        </w:rPr>
      </w:pPr>
    </w:p>
    <w:p w:rsidR="00D24AD6" w:rsidRDefault="00D24AD6" w:rsidP="005B1638">
      <w:pPr>
        <w:jc w:val="center"/>
        <w:rPr>
          <w:b/>
          <w:sz w:val="20"/>
        </w:rPr>
      </w:pPr>
    </w:p>
    <w:p w:rsidR="00D24AD6" w:rsidRPr="00D201E8" w:rsidRDefault="00D24AD6" w:rsidP="005B1638">
      <w:pPr>
        <w:jc w:val="center"/>
        <w:rPr>
          <w:b/>
          <w:sz w:val="20"/>
        </w:rPr>
      </w:pPr>
    </w:p>
    <w:p w:rsidR="00D24AD6" w:rsidRDefault="00D24AD6" w:rsidP="00D24AD6">
      <w:pPr>
        <w:jc w:val="center"/>
        <w:rPr>
          <w:b/>
          <w:bCs/>
          <w:sz w:val="28"/>
          <w:szCs w:val="28"/>
        </w:rPr>
      </w:pPr>
    </w:p>
    <w:p w:rsidR="00D24AD6" w:rsidRDefault="00D24AD6" w:rsidP="00D24AD6">
      <w:pPr>
        <w:jc w:val="center"/>
        <w:rPr>
          <w:b/>
          <w:bCs/>
          <w:sz w:val="28"/>
          <w:szCs w:val="28"/>
        </w:rPr>
      </w:pPr>
    </w:p>
    <w:p w:rsidR="00D24AD6" w:rsidRDefault="00D24AD6" w:rsidP="00D24AD6">
      <w:pPr>
        <w:jc w:val="center"/>
        <w:rPr>
          <w:b/>
          <w:bCs/>
          <w:sz w:val="28"/>
          <w:szCs w:val="28"/>
        </w:rPr>
      </w:pPr>
    </w:p>
    <w:p w:rsidR="00D24AD6" w:rsidRDefault="00D24AD6" w:rsidP="00D24AD6">
      <w:pPr>
        <w:jc w:val="center"/>
        <w:rPr>
          <w:b/>
          <w:bCs/>
          <w:sz w:val="28"/>
          <w:szCs w:val="28"/>
        </w:rPr>
      </w:pPr>
    </w:p>
    <w:p w:rsidR="00D24AD6" w:rsidRDefault="00D24AD6" w:rsidP="00D24AD6">
      <w:pPr>
        <w:jc w:val="center"/>
        <w:rPr>
          <w:b/>
          <w:bCs/>
          <w:sz w:val="28"/>
          <w:szCs w:val="28"/>
        </w:rPr>
      </w:pPr>
    </w:p>
    <w:p w:rsidR="00D24AD6" w:rsidRDefault="00D24AD6" w:rsidP="00D24AD6">
      <w:pPr>
        <w:jc w:val="center"/>
        <w:rPr>
          <w:b/>
          <w:bCs/>
          <w:sz w:val="28"/>
          <w:szCs w:val="28"/>
        </w:rPr>
      </w:pPr>
    </w:p>
    <w:p w:rsidR="00D24AD6" w:rsidRDefault="00D24AD6" w:rsidP="00D24AD6">
      <w:pPr>
        <w:jc w:val="center"/>
        <w:rPr>
          <w:b/>
          <w:bCs/>
          <w:sz w:val="28"/>
          <w:szCs w:val="28"/>
        </w:rPr>
      </w:pPr>
    </w:p>
    <w:p w:rsidR="00D24AD6" w:rsidRDefault="00D24AD6" w:rsidP="00D24AD6">
      <w:pPr>
        <w:jc w:val="center"/>
        <w:rPr>
          <w:b/>
          <w:bCs/>
          <w:sz w:val="28"/>
          <w:szCs w:val="28"/>
        </w:rPr>
      </w:pPr>
    </w:p>
    <w:p w:rsidR="00D24AD6" w:rsidRDefault="00D24AD6" w:rsidP="00D24AD6">
      <w:pPr>
        <w:jc w:val="center"/>
        <w:rPr>
          <w:b/>
          <w:bCs/>
          <w:sz w:val="28"/>
          <w:szCs w:val="28"/>
        </w:rPr>
      </w:pPr>
    </w:p>
    <w:p w:rsidR="005B1638" w:rsidRPr="00D24AD6" w:rsidRDefault="005B1638" w:rsidP="00D24AD6">
      <w:pPr>
        <w:jc w:val="center"/>
        <w:rPr>
          <w:b/>
          <w:bCs/>
          <w:sz w:val="28"/>
          <w:szCs w:val="28"/>
        </w:rPr>
      </w:pPr>
      <w:r w:rsidRPr="00D24AD6">
        <w:rPr>
          <w:b/>
          <w:bCs/>
          <w:sz w:val="28"/>
          <w:szCs w:val="28"/>
        </w:rPr>
        <w:t>Assessing possible incentives to encourage the private sector to invest in environmentally sound management</w:t>
      </w:r>
    </w:p>
    <w:p w:rsidR="005B1638" w:rsidRPr="00D24AD6" w:rsidRDefault="005B1638" w:rsidP="00D24AD6">
      <w:pPr>
        <w:jc w:val="center"/>
        <w:rPr>
          <w:b/>
          <w:sz w:val="28"/>
          <w:szCs w:val="28"/>
        </w:rPr>
      </w:pPr>
      <w:r w:rsidRPr="00D24AD6">
        <w:rPr>
          <w:b/>
          <w:sz w:val="28"/>
          <w:szCs w:val="28"/>
        </w:rPr>
        <w:t>(</w:t>
      </w:r>
      <w:r w:rsidR="00CC699F" w:rsidRPr="00D24AD6">
        <w:rPr>
          <w:b/>
          <w:sz w:val="28"/>
          <w:szCs w:val="28"/>
        </w:rPr>
        <w:t>July</w:t>
      </w:r>
      <w:r w:rsidRPr="00D24AD6">
        <w:rPr>
          <w:b/>
          <w:sz w:val="28"/>
          <w:szCs w:val="28"/>
        </w:rPr>
        <w:t xml:space="preserve"> 201</w:t>
      </w:r>
      <w:r w:rsidR="00CC699F" w:rsidRPr="00D24AD6">
        <w:rPr>
          <w:b/>
          <w:sz w:val="28"/>
          <w:szCs w:val="28"/>
        </w:rPr>
        <w:t>6</w:t>
      </w:r>
      <w:r w:rsidRPr="00D24AD6">
        <w:rPr>
          <w:b/>
          <w:sz w:val="28"/>
          <w:szCs w:val="28"/>
        </w:rPr>
        <w:t>)</w:t>
      </w:r>
    </w:p>
    <w:p w:rsidR="005B1638" w:rsidRDefault="005B1638"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16CB0" w:rsidRDefault="00516CB0" w:rsidP="005B1638">
      <w:pPr>
        <w:jc w:val="center"/>
        <w:rPr>
          <w:b/>
          <w:szCs w:val="24"/>
        </w:rPr>
      </w:pPr>
    </w:p>
    <w:p w:rsidR="00516CB0" w:rsidRDefault="00516CB0" w:rsidP="005B1638">
      <w:pPr>
        <w:jc w:val="center"/>
        <w:rPr>
          <w:b/>
          <w:szCs w:val="24"/>
        </w:rPr>
      </w:pPr>
    </w:p>
    <w:p w:rsidR="00516CB0" w:rsidRDefault="00516CB0" w:rsidP="005B1638">
      <w:pPr>
        <w:jc w:val="center"/>
        <w:rPr>
          <w:b/>
          <w:szCs w:val="24"/>
        </w:rPr>
      </w:pPr>
    </w:p>
    <w:p w:rsidR="00516CB0" w:rsidRDefault="00516CB0" w:rsidP="005B1638">
      <w:pPr>
        <w:jc w:val="center"/>
        <w:rPr>
          <w:b/>
          <w:szCs w:val="24"/>
        </w:rPr>
      </w:pPr>
    </w:p>
    <w:p w:rsidR="00516CB0" w:rsidRDefault="00516CB0" w:rsidP="005B1638">
      <w:pPr>
        <w:jc w:val="center"/>
        <w:rPr>
          <w:b/>
          <w:szCs w:val="24"/>
        </w:rPr>
      </w:pPr>
    </w:p>
    <w:p w:rsidR="00516CB0" w:rsidRDefault="00516CB0" w:rsidP="005B1638">
      <w:pPr>
        <w:jc w:val="center"/>
        <w:rPr>
          <w:b/>
          <w:szCs w:val="24"/>
        </w:rPr>
      </w:pPr>
    </w:p>
    <w:p w:rsidR="00516CB0" w:rsidRDefault="00516CB0" w:rsidP="005B1638">
      <w:pPr>
        <w:jc w:val="center"/>
        <w:rPr>
          <w:b/>
          <w:szCs w:val="24"/>
        </w:rPr>
      </w:pPr>
    </w:p>
    <w:p w:rsidR="00516CB0" w:rsidRDefault="00516CB0"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B1638" w:rsidRDefault="005B1638" w:rsidP="005B1638">
      <w:pPr>
        <w:jc w:val="center"/>
        <w:rPr>
          <w:b/>
          <w:szCs w:val="24"/>
        </w:rPr>
      </w:pPr>
    </w:p>
    <w:p w:rsidR="005B1638" w:rsidRPr="008E0543" w:rsidRDefault="005B1638" w:rsidP="005B1638">
      <w:pPr>
        <w:jc w:val="center"/>
        <w:rPr>
          <w:b/>
          <w:szCs w:val="24"/>
        </w:rPr>
      </w:pPr>
    </w:p>
    <w:p w:rsidR="005B1638" w:rsidRPr="00D24AD6" w:rsidRDefault="005B1638" w:rsidP="005B1638">
      <w:pPr>
        <w:jc w:val="center"/>
        <w:rPr>
          <w:b/>
          <w:szCs w:val="24"/>
        </w:rPr>
      </w:pPr>
      <w:r w:rsidRPr="00D24AD6">
        <w:rPr>
          <w:b/>
          <w:szCs w:val="24"/>
        </w:rPr>
        <w:t xml:space="preserve">Prepared by: Dr. Leila Devia, BCRC Argentina and Mr. Ross Bartley, Bureau of International Recycling </w:t>
      </w:r>
    </w:p>
    <w:p w:rsidR="005B1638" w:rsidRPr="00AE39CC" w:rsidRDefault="005B1638" w:rsidP="005B1638">
      <w:pPr>
        <w:pStyle w:val="Heading1"/>
      </w:pPr>
      <w:r>
        <w:rPr>
          <w:sz w:val="20"/>
        </w:rPr>
        <w:br w:type="page"/>
      </w:r>
      <w:bookmarkStart w:id="1" w:name="_Toc478467371"/>
      <w:r w:rsidRPr="00AE39CC">
        <w:lastRenderedPageBreak/>
        <w:t>List of acronyms</w:t>
      </w:r>
      <w:bookmarkEnd w:id="1"/>
    </w:p>
    <w:tbl>
      <w:tblPr>
        <w:tblW w:w="0" w:type="auto"/>
        <w:tblInd w:w="624" w:type="dxa"/>
        <w:tblLook w:val="04A0"/>
      </w:tblPr>
      <w:tblGrid>
        <w:gridCol w:w="1560"/>
        <w:gridCol w:w="6581"/>
      </w:tblGrid>
      <w:tr w:rsidR="005B1638" w:rsidRPr="00D201E8" w:rsidTr="00D24AD6">
        <w:trPr>
          <w:trHeight w:val="541"/>
        </w:trPr>
        <w:tc>
          <w:tcPr>
            <w:tcW w:w="1560" w:type="dxa"/>
          </w:tcPr>
          <w:p w:rsidR="005B1638" w:rsidRPr="005B1638" w:rsidRDefault="005B1638" w:rsidP="005B1638">
            <w:pPr>
              <w:pStyle w:val="TOC1"/>
              <w:tabs>
                <w:tab w:val="clear" w:pos="1814"/>
              </w:tabs>
              <w:spacing w:before="240" w:line="252" w:lineRule="auto"/>
              <w:ind w:left="0" w:firstLine="0"/>
              <w:rPr>
                <w:rFonts w:eastAsia="Calibri"/>
                <w:b/>
                <w:sz w:val="20"/>
              </w:rPr>
            </w:pPr>
            <w:r w:rsidRPr="005B1638">
              <w:rPr>
                <w:rFonts w:eastAsia="Calibri"/>
                <w:b/>
                <w:sz w:val="20"/>
              </w:rPr>
              <w:t>Acronym</w:t>
            </w:r>
          </w:p>
        </w:tc>
        <w:tc>
          <w:tcPr>
            <w:tcW w:w="6581" w:type="dxa"/>
          </w:tcPr>
          <w:p w:rsidR="005B1638" w:rsidRPr="005B1638" w:rsidRDefault="005B1638" w:rsidP="005B1638">
            <w:pPr>
              <w:pStyle w:val="TOC1"/>
              <w:tabs>
                <w:tab w:val="clear" w:pos="1814"/>
                <w:tab w:val="left" w:pos="851"/>
              </w:tabs>
              <w:spacing w:before="240" w:line="252" w:lineRule="auto"/>
              <w:ind w:left="0" w:firstLine="0"/>
              <w:rPr>
                <w:rFonts w:eastAsia="Calibri"/>
                <w:b/>
                <w:bCs w:val="0"/>
                <w:sz w:val="20"/>
              </w:rPr>
            </w:pPr>
            <w:r w:rsidRPr="005B1638">
              <w:rPr>
                <w:rFonts w:eastAsia="Calibri"/>
                <w:b/>
                <w:bCs w:val="0"/>
                <w:sz w:val="20"/>
              </w:rPr>
              <w:t>Description</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BAT</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Best Available Technique</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BC</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 xml:space="preserve">Basel Convention on the Control of </w:t>
            </w:r>
            <w:proofErr w:type="spellStart"/>
            <w:r w:rsidRPr="005B1638">
              <w:rPr>
                <w:rFonts w:eastAsia="Calibri"/>
                <w:bCs w:val="0"/>
                <w:sz w:val="20"/>
              </w:rPr>
              <w:t>Transboundary</w:t>
            </w:r>
            <w:proofErr w:type="spellEnd"/>
            <w:r w:rsidRPr="005B1638">
              <w:rPr>
                <w:rFonts w:eastAsia="Calibri"/>
                <w:bCs w:val="0"/>
                <w:sz w:val="20"/>
              </w:rPr>
              <w:t xml:space="preserve"> Movements of Hazardous Wastes and their Disposal</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BCRCs</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Basel Convention Regional and Coordinating Centres</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BIR</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Bureau for International Recycling – the World Federation of the Recycling Industries</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BREF</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lang w:val="fr-CH"/>
              </w:rPr>
            </w:pPr>
            <w:r w:rsidRPr="005B1638">
              <w:rPr>
                <w:rFonts w:eastAsia="Calibri"/>
                <w:bCs w:val="0"/>
                <w:sz w:val="20"/>
                <w:lang w:val="fr-CH"/>
              </w:rPr>
              <w:t xml:space="preserve">Best </w:t>
            </w:r>
            <w:r w:rsidRPr="005B1638">
              <w:rPr>
                <w:rFonts w:eastAsia="Calibri"/>
                <w:bCs w:val="0"/>
                <w:sz w:val="20"/>
              </w:rPr>
              <w:t>Available</w:t>
            </w:r>
            <w:r w:rsidRPr="005B1638">
              <w:rPr>
                <w:rFonts w:eastAsia="Calibri"/>
                <w:bCs w:val="0"/>
                <w:sz w:val="20"/>
                <w:lang w:val="fr-CH"/>
              </w:rPr>
              <w:t xml:space="preserve"> Technique </w:t>
            </w:r>
            <w:proofErr w:type="spellStart"/>
            <w:r w:rsidRPr="005B1638">
              <w:rPr>
                <w:rFonts w:eastAsia="Calibri"/>
                <w:bCs w:val="0"/>
                <w:sz w:val="20"/>
                <w:lang w:val="fr-CH"/>
              </w:rPr>
              <w:t>Reference</w:t>
            </w:r>
            <w:proofErr w:type="spellEnd"/>
            <w:r w:rsidRPr="005B1638">
              <w:rPr>
                <w:rFonts w:eastAsia="Calibri"/>
                <w:bCs w:val="0"/>
                <w:sz w:val="20"/>
                <w:lang w:val="fr-CH"/>
              </w:rPr>
              <w:t xml:space="preserve"> document</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COP</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The Basel Convention Conference of the Parties</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CPEs</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Core Performance Elements of the OECD Recommendation of the Council on the Environmentally Sound Management of Waste C(2004)100</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CLI</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Country Led Initiative</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ESM</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Environmentally Sound Management</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EMS</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Environmental Management System</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EPR</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Extended Producer Responsibility</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EU</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European Union</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MPPI</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Mobile Phone Partnership Initiative</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OECD</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Organisation for Economic Co-operation and Development</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OSH</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Occupational Safety and Health</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PACE</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Partnership for Action on Computing Equipment</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PAYT</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Pay As You Throw, variable charging</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SME</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Small and Medium Sized Enterprises</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TBM</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proofErr w:type="spellStart"/>
            <w:r w:rsidRPr="005B1638">
              <w:rPr>
                <w:rFonts w:eastAsia="Calibri"/>
                <w:bCs w:val="0"/>
                <w:sz w:val="20"/>
              </w:rPr>
              <w:t>Transboundary</w:t>
            </w:r>
            <w:proofErr w:type="spellEnd"/>
            <w:r w:rsidRPr="005B1638">
              <w:rPr>
                <w:rFonts w:eastAsia="Calibri"/>
                <w:bCs w:val="0"/>
                <w:sz w:val="20"/>
              </w:rPr>
              <w:t xml:space="preserve"> Movement</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ULAB</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Used Lead Acid Battery</w:t>
            </w:r>
          </w:p>
        </w:tc>
      </w:tr>
      <w:tr w:rsidR="005B1638" w:rsidRPr="00D201E8" w:rsidTr="00D24AD6">
        <w:tc>
          <w:tcPr>
            <w:tcW w:w="1560"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UNEP</w:t>
            </w:r>
          </w:p>
        </w:tc>
        <w:tc>
          <w:tcPr>
            <w:tcW w:w="6581" w:type="dxa"/>
          </w:tcPr>
          <w:p w:rsidR="005B1638" w:rsidRPr="005B1638" w:rsidRDefault="005B1638" w:rsidP="005B1638">
            <w:pPr>
              <w:pStyle w:val="TOC1"/>
              <w:tabs>
                <w:tab w:val="clear" w:pos="1814"/>
                <w:tab w:val="left" w:pos="851"/>
              </w:tabs>
              <w:spacing w:before="0" w:line="252" w:lineRule="auto"/>
              <w:ind w:left="0" w:firstLine="0"/>
              <w:rPr>
                <w:rFonts w:eastAsia="Calibri"/>
                <w:bCs w:val="0"/>
                <w:sz w:val="20"/>
              </w:rPr>
            </w:pPr>
            <w:r w:rsidRPr="005B1638">
              <w:rPr>
                <w:rFonts w:eastAsia="Calibri"/>
                <w:bCs w:val="0"/>
                <w:sz w:val="20"/>
              </w:rPr>
              <w:t>United Nations Environment Programme</w:t>
            </w:r>
          </w:p>
        </w:tc>
      </w:tr>
    </w:tbl>
    <w:p w:rsidR="005B1638" w:rsidRPr="00D201E8" w:rsidRDefault="005B1638" w:rsidP="005B1638">
      <w:pPr>
        <w:pStyle w:val="TOCHeading"/>
        <w:pBdr>
          <w:bottom w:val="none" w:sz="0" w:space="0" w:color="auto"/>
        </w:pBdr>
        <w:rPr>
          <w:rFonts w:ascii="Times New Roman" w:hAnsi="Times New Roman"/>
          <w:b/>
          <w:caps w:val="0"/>
          <w:color w:val="auto"/>
          <w:spacing w:val="0"/>
          <w:sz w:val="20"/>
          <w:szCs w:val="20"/>
        </w:rPr>
      </w:pPr>
    </w:p>
    <w:p w:rsidR="001B7EFB" w:rsidRPr="002070F0" w:rsidRDefault="001B7EFB" w:rsidP="00D24AD6">
      <w:pPr>
        <w:pStyle w:val="TOCHeading"/>
        <w:pBdr>
          <w:bottom w:val="none" w:sz="0" w:space="0" w:color="auto"/>
        </w:pBdr>
        <w:ind w:firstLine="624"/>
        <w:jc w:val="left"/>
        <w:rPr>
          <w:rFonts w:ascii="Times New Roman" w:hAnsi="Times New Roman"/>
          <w:b/>
          <w:bCs/>
          <w:caps w:val="0"/>
          <w:color w:val="auto"/>
        </w:rPr>
      </w:pPr>
      <w:r>
        <w:rPr>
          <w:sz w:val="20"/>
        </w:rPr>
        <w:br w:type="page"/>
      </w:r>
      <w:r w:rsidR="00516CB0" w:rsidRPr="002070F0">
        <w:rPr>
          <w:rFonts w:ascii="Times New Roman" w:hAnsi="Times New Roman"/>
          <w:b/>
          <w:bCs/>
          <w:caps w:val="0"/>
          <w:color w:val="auto"/>
          <w:lang w:val="en-US"/>
        </w:rPr>
        <w:lastRenderedPageBreak/>
        <w:t>C</w:t>
      </w:r>
      <w:proofErr w:type="spellStart"/>
      <w:r w:rsidRPr="002070F0">
        <w:rPr>
          <w:rFonts w:ascii="Times New Roman" w:hAnsi="Times New Roman"/>
          <w:b/>
          <w:bCs/>
          <w:caps w:val="0"/>
          <w:color w:val="auto"/>
        </w:rPr>
        <w:t>ontents</w:t>
      </w:r>
      <w:proofErr w:type="spellEnd"/>
    </w:p>
    <w:p w:rsidR="00F4530D" w:rsidRPr="00F4530D" w:rsidRDefault="008C7F5B">
      <w:pPr>
        <w:pStyle w:val="TOC1"/>
        <w:rPr>
          <w:rFonts w:asciiTheme="minorHAnsi" w:eastAsiaTheme="minorEastAsia" w:hAnsiTheme="minorHAnsi" w:cstheme="minorBidi"/>
          <w:bCs w:val="0"/>
          <w:noProof/>
          <w:sz w:val="20"/>
          <w:lang w:val="en-US"/>
        </w:rPr>
      </w:pPr>
      <w:r w:rsidRPr="00F4530D">
        <w:rPr>
          <w:b/>
          <w:bCs w:val="0"/>
          <w:sz w:val="20"/>
        </w:rPr>
        <w:fldChar w:fldCharType="begin"/>
      </w:r>
      <w:r w:rsidR="001B7EFB" w:rsidRPr="00F4530D">
        <w:rPr>
          <w:b/>
          <w:bCs w:val="0"/>
          <w:sz w:val="20"/>
        </w:rPr>
        <w:instrText xml:space="preserve"> TOC \o "1-3" \u </w:instrText>
      </w:r>
      <w:r w:rsidRPr="00F4530D">
        <w:rPr>
          <w:b/>
          <w:bCs w:val="0"/>
          <w:sz w:val="20"/>
        </w:rPr>
        <w:fldChar w:fldCharType="separate"/>
      </w:r>
      <w:r w:rsidR="00F4530D" w:rsidRPr="00F4530D">
        <w:rPr>
          <w:noProof/>
          <w:sz w:val="20"/>
        </w:rPr>
        <w:t>List of acronyms</w:t>
      </w:r>
      <w:r w:rsidR="00F4530D" w:rsidRPr="00F4530D">
        <w:rPr>
          <w:noProof/>
          <w:sz w:val="20"/>
        </w:rPr>
        <w:tab/>
      </w:r>
      <w:r w:rsidR="00F4530D" w:rsidRPr="00F4530D">
        <w:rPr>
          <w:noProof/>
          <w:sz w:val="20"/>
        </w:rPr>
        <w:fldChar w:fldCharType="begin"/>
      </w:r>
      <w:r w:rsidR="00F4530D" w:rsidRPr="00F4530D">
        <w:rPr>
          <w:noProof/>
          <w:sz w:val="20"/>
        </w:rPr>
        <w:instrText xml:space="preserve"> PAGEREF _Toc478467371 \h </w:instrText>
      </w:r>
      <w:r w:rsidR="00F4530D" w:rsidRPr="00F4530D">
        <w:rPr>
          <w:noProof/>
          <w:sz w:val="20"/>
        </w:rPr>
      </w:r>
      <w:r w:rsidR="00F4530D" w:rsidRPr="00F4530D">
        <w:rPr>
          <w:noProof/>
          <w:sz w:val="20"/>
        </w:rPr>
        <w:fldChar w:fldCharType="separate"/>
      </w:r>
      <w:r w:rsidR="00F4530D" w:rsidRPr="00F4530D">
        <w:rPr>
          <w:noProof/>
          <w:sz w:val="20"/>
        </w:rPr>
        <w:t>2</w:t>
      </w:r>
      <w:r w:rsidR="00F4530D"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pacing w:val="20"/>
          <w:sz w:val="20"/>
        </w:rPr>
        <w:t>I.</w:t>
      </w:r>
      <w:r w:rsidRPr="00F4530D">
        <w:rPr>
          <w:rFonts w:asciiTheme="minorHAnsi" w:eastAsiaTheme="minorEastAsia" w:hAnsiTheme="minorHAnsi" w:cstheme="minorBidi"/>
          <w:bCs w:val="0"/>
          <w:noProof/>
          <w:sz w:val="20"/>
          <w:lang w:val="en-US"/>
        </w:rPr>
        <w:tab/>
      </w:r>
      <w:r w:rsidRPr="00F4530D">
        <w:rPr>
          <w:noProof/>
          <w:spacing w:val="20"/>
          <w:sz w:val="20"/>
        </w:rPr>
        <w:t>Introduction</w:t>
      </w:r>
      <w:r w:rsidRPr="00F4530D">
        <w:rPr>
          <w:noProof/>
          <w:sz w:val="20"/>
        </w:rPr>
        <w:tab/>
      </w:r>
      <w:r w:rsidRPr="00F4530D">
        <w:rPr>
          <w:noProof/>
          <w:sz w:val="20"/>
        </w:rPr>
        <w:fldChar w:fldCharType="begin"/>
      </w:r>
      <w:r w:rsidRPr="00F4530D">
        <w:rPr>
          <w:noProof/>
          <w:sz w:val="20"/>
        </w:rPr>
        <w:instrText xml:space="preserve"> PAGEREF _Toc478467372 \h </w:instrText>
      </w:r>
      <w:r w:rsidRPr="00F4530D">
        <w:rPr>
          <w:noProof/>
          <w:sz w:val="20"/>
        </w:rPr>
      </w:r>
      <w:r w:rsidRPr="00F4530D">
        <w:rPr>
          <w:noProof/>
          <w:sz w:val="20"/>
        </w:rPr>
        <w:fldChar w:fldCharType="separate"/>
      </w:r>
      <w:r w:rsidRPr="00F4530D">
        <w:rPr>
          <w:noProof/>
          <w:sz w:val="20"/>
        </w:rPr>
        <w:t>4</w:t>
      </w:r>
      <w:r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pacing w:val="20"/>
          <w:sz w:val="20"/>
        </w:rPr>
        <w:t>II.</w:t>
      </w:r>
      <w:r w:rsidRPr="00F4530D">
        <w:rPr>
          <w:rFonts w:asciiTheme="minorHAnsi" w:eastAsiaTheme="minorEastAsia" w:hAnsiTheme="minorHAnsi" w:cstheme="minorBidi"/>
          <w:bCs w:val="0"/>
          <w:noProof/>
          <w:sz w:val="20"/>
          <w:lang w:val="en-US"/>
        </w:rPr>
        <w:tab/>
      </w:r>
      <w:r w:rsidRPr="00F4530D">
        <w:rPr>
          <w:noProof/>
          <w:spacing w:val="20"/>
          <w:sz w:val="20"/>
        </w:rPr>
        <w:t>Defining ESM</w:t>
      </w:r>
      <w:r w:rsidRPr="00F4530D">
        <w:rPr>
          <w:noProof/>
          <w:sz w:val="20"/>
        </w:rPr>
        <w:tab/>
      </w:r>
      <w:r w:rsidRPr="00F4530D">
        <w:rPr>
          <w:noProof/>
          <w:sz w:val="20"/>
        </w:rPr>
        <w:fldChar w:fldCharType="begin"/>
      </w:r>
      <w:r w:rsidRPr="00F4530D">
        <w:rPr>
          <w:noProof/>
          <w:sz w:val="20"/>
        </w:rPr>
        <w:instrText xml:space="preserve"> PAGEREF _Toc478467373 \h </w:instrText>
      </w:r>
      <w:r w:rsidRPr="00F4530D">
        <w:rPr>
          <w:noProof/>
          <w:sz w:val="20"/>
        </w:rPr>
      </w:r>
      <w:r w:rsidRPr="00F4530D">
        <w:rPr>
          <w:noProof/>
          <w:sz w:val="20"/>
        </w:rPr>
        <w:fldChar w:fldCharType="separate"/>
      </w:r>
      <w:r w:rsidRPr="00F4530D">
        <w:rPr>
          <w:noProof/>
          <w:sz w:val="20"/>
        </w:rPr>
        <w:t>4</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noProof/>
          <w:sz w:val="20"/>
          <w:lang w:val="en-US"/>
        </w:rPr>
        <w:t>A.</w:t>
      </w:r>
      <w:r w:rsidRPr="00F4530D">
        <w:rPr>
          <w:rFonts w:asciiTheme="minorHAnsi" w:eastAsiaTheme="minorEastAsia" w:hAnsiTheme="minorHAnsi" w:cstheme="minorBidi"/>
          <w:noProof/>
          <w:sz w:val="20"/>
          <w:lang w:val="en-US"/>
        </w:rPr>
        <w:tab/>
      </w:r>
      <w:r w:rsidRPr="00F4530D">
        <w:rPr>
          <w:noProof/>
          <w:sz w:val="20"/>
          <w:lang w:val="en-US"/>
        </w:rPr>
        <w:t xml:space="preserve"> </w:t>
      </w:r>
      <w:r w:rsidRPr="00F4530D">
        <w:rPr>
          <w:rFonts w:hAnsi="Times New Roman Bold"/>
          <w:noProof/>
          <w:sz w:val="20"/>
        </w:rPr>
        <w:t>Pre-2004</w:t>
      </w:r>
      <w:r w:rsidRPr="00F4530D">
        <w:rPr>
          <w:noProof/>
          <w:sz w:val="20"/>
        </w:rPr>
        <w:tab/>
      </w:r>
      <w:r w:rsidRPr="00F4530D">
        <w:rPr>
          <w:noProof/>
          <w:sz w:val="20"/>
        </w:rPr>
        <w:fldChar w:fldCharType="begin"/>
      </w:r>
      <w:r w:rsidRPr="00F4530D">
        <w:rPr>
          <w:noProof/>
          <w:sz w:val="20"/>
        </w:rPr>
        <w:instrText xml:space="preserve"> PAGEREF _Toc478467374 \h </w:instrText>
      </w:r>
      <w:r w:rsidRPr="00F4530D">
        <w:rPr>
          <w:noProof/>
          <w:sz w:val="20"/>
        </w:rPr>
      </w:r>
      <w:r w:rsidRPr="00F4530D">
        <w:rPr>
          <w:noProof/>
          <w:sz w:val="20"/>
        </w:rPr>
        <w:fldChar w:fldCharType="separate"/>
      </w:r>
      <w:r w:rsidRPr="00F4530D">
        <w:rPr>
          <w:noProof/>
          <w:sz w:val="20"/>
        </w:rPr>
        <w:t>4</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B.</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2004 to 2013</w:t>
      </w:r>
      <w:r w:rsidRPr="00F4530D">
        <w:rPr>
          <w:noProof/>
          <w:sz w:val="20"/>
        </w:rPr>
        <w:tab/>
      </w:r>
      <w:r w:rsidRPr="00F4530D">
        <w:rPr>
          <w:noProof/>
          <w:sz w:val="20"/>
        </w:rPr>
        <w:fldChar w:fldCharType="begin"/>
      </w:r>
      <w:r w:rsidRPr="00F4530D">
        <w:rPr>
          <w:noProof/>
          <w:sz w:val="20"/>
        </w:rPr>
        <w:instrText xml:space="preserve"> PAGEREF _Toc478467375 \h </w:instrText>
      </w:r>
      <w:r w:rsidRPr="00F4530D">
        <w:rPr>
          <w:noProof/>
          <w:sz w:val="20"/>
        </w:rPr>
      </w:r>
      <w:r w:rsidRPr="00F4530D">
        <w:rPr>
          <w:noProof/>
          <w:sz w:val="20"/>
        </w:rPr>
        <w:fldChar w:fldCharType="separate"/>
      </w:r>
      <w:r w:rsidRPr="00F4530D">
        <w:rPr>
          <w:noProof/>
          <w:sz w:val="20"/>
        </w:rPr>
        <w:t>5</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C.</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From 2013 (COP-11)</w:t>
      </w:r>
      <w:r w:rsidRPr="00F4530D">
        <w:rPr>
          <w:noProof/>
          <w:sz w:val="20"/>
        </w:rPr>
        <w:tab/>
      </w:r>
      <w:r w:rsidRPr="00F4530D">
        <w:rPr>
          <w:noProof/>
          <w:sz w:val="20"/>
        </w:rPr>
        <w:fldChar w:fldCharType="begin"/>
      </w:r>
      <w:r w:rsidRPr="00F4530D">
        <w:rPr>
          <w:noProof/>
          <w:sz w:val="20"/>
        </w:rPr>
        <w:instrText xml:space="preserve"> PAGEREF _Toc478467376 \h </w:instrText>
      </w:r>
      <w:r w:rsidRPr="00F4530D">
        <w:rPr>
          <w:noProof/>
          <w:sz w:val="20"/>
        </w:rPr>
      </w:r>
      <w:r w:rsidRPr="00F4530D">
        <w:rPr>
          <w:noProof/>
          <w:sz w:val="20"/>
        </w:rPr>
        <w:fldChar w:fldCharType="separate"/>
      </w:r>
      <w:r w:rsidRPr="00F4530D">
        <w:rPr>
          <w:noProof/>
          <w:sz w:val="20"/>
        </w:rPr>
        <w:t>6</w:t>
      </w:r>
      <w:r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pacing w:val="20"/>
          <w:sz w:val="20"/>
        </w:rPr>
        <w:t>III.</w:t>
      </w:r>
      <w:r w:rsidRPr="00F4530D">
        <w:rPr>
          <w:rFonts w:asciiTheme="minorHAnsi" w:eastAsiaTheme="minorEastAsia" w:hAnsiTheme="minorHAnsi" w:cstheme="minorBidi"/>
          <w:bCs w:val="0"/>
          <w:noProof/>
          <w:sz w:val="20"/>
          <w:lang w:val="en-US"/>
        </w:rPr>
        <w:tab/>
      </w:r>
      <w:r w:rsidRPr="00F4530D">
        <w:rPr>
          <w:noProof/>
          <w:spacing w:val="20"/>
          <w:sz w:val="20"/>
        </w:rPr>
        <w:t>Strategies to implement ESM</w:t>
      </w:r>
      <w:r w:rsidRPr="00F4530D">
        <w:rPr>
          <w:noProof/>
          <w:sz w:val="20"/>
        </w:rPr>
        <w:tab/>
      </w:r>
      <w:r w:rsidRPr="00F4530D">
        <w:rPr>
          <w:noProof/>
          <w:sz w:val="20"/>
        </w:rPr>
        <w:fldChar w:fldCharType="begin"/>
      </w:r>
      <w:r w:rsidRPr="00F4530D">
        <w:rPr>
          <w:noProof/>
          <w:sz w:val="20"/>
        </w:rPr>
        <w:instrText xml:space="preserve"> PAGEREF _Toc478467377 \h </w:instrText>
      </w:r>
      <w:r w:rsidRPr="00F4530D">
        <w:rPr>
          <w:noProof/>
          <w:sz w:val="20"/>
        </w:rPr>
      </w:r>
      <w:r w:rsidRPr="00F4530D">
        <w:rPr>
          <w:noProof/>
          <w:sz w:val="20"/>
        </w:rPr>
        <w:fldChar w:fldCharType="separate"/>
      </w:r>
      <w:r w:rsidRPr="00F4530D">
        <w:rPr>
          <w:noProof/>
          <w:sz w:val="20"/>
        </w:rPr>
        <w:t>8</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A.</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A view from Asia</w:t>
      </w:r>
      <w:r w:rsidRPr="00F4530D">
        <w:rPr>
          <w:noProof/>
          <w:sz w:val="20"/>
        </w:rPr>
        <w:tab/>
      </w:r>
      <w:r w:rsidRPr="00F4530D">
        <w:rPr>
          <w:noProof/>
          <w:sz w:val="20"/>
        </w:rPr>
        <w:fldChar w:fldCharType="begin"/>
      </w:r>
      <w:r w:rsidRPr="00F4530D">
        <w:rPr>
          <w:noProof/>
          <w:sz w:val="20"/>
        </w:rPr>
        <w:instrText xml:space="preserve"> PAGEREF _Toc478467378 \h </w:instrText>
      </w:r>
      <w:r w:rsidRPr="00F4530D">
        <w:rPr>
          <w:noProof/>
          <w:sz w:val="20"/>
        </w:rPr>
      </w:r>
      <w:r w:rsidRPr="00F4530D">
        <w:rPr>
          <w:noProof/>
          <w:sz w:val="20"/>
        </w:rPr>
        <w:fldChar w:fldCharType="separate"/>
      </w:r>
      <w:r w:rsidRPr="00F4530D">
        <w:rPr>
          <w:noProof/>
          <w:sz w:val="20"/>
        </w:rPr>
        <w:t>9</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B.</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Different strategies to ensure ESM in OECD countries</w:t>
      </w:r>
      <w:r w:rsidRPr="00F4530D">
        <w:rPr>
          <w:noProof/>
          <w:sz w:val="20"/>
        </w:rPr>
        <w:tab/>
      </w:r>
      <w:r w:rsidRPr="00F4530D">
        <w:rPr>
          <w:noProof/>
          <w:sz w:val="20"/>
        </w:rPr>
        <w:fldChar w:fldCharType="begin"/>
      </w:r>
      <w:r w:rsidRPr="00F4530D">
        <w:rPr>
          <w:noProof/>
          <w:sz w:val="20"/>
        </w:rPr>
        <w:instrText xml:space="preserve"> PAGEREF _Toc478467379 \h </w:instrText>
      </w:r>
      <w:r w:rsidRPr="00F4530D">
        <w:rPr>
          <w:noProof/>
          <w:sz w:val="20"/>
        </w:rPr>
      </w:r>
      <w:r w:rsidRPr="00F4530D">
        <w:rPr>
          <w:noProof/>
          <w:sz w:val="20"/>
        </w:rPr>
        <w:fldChar w:fldCharType="separate"/>
      </w:r>
      <w:r w:rsidRPr="00F4530D">
        <w:rPr>
          <w:noProof/>
          <w:sz w:val="20"/>
        </w:rPr>
        <w:t>10</w:t>
      </w:r>
      <w:r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pacing w:val="20"/>
          <w:sz w:val="20"/>
        </w:rPr>
        <w:t>IV.</w:t>
      </w:r>
      <w:r w:rsidRPr="00F4530D">
        <w:rPr>
          <w:rFonts w:asciiTheme="minorHAnsi" w:eastAsiaTheme="minorEastAsia" w:hAnsiTheme="minorHAnsi" w:cstheme="minorBidi"/>
          <w:bCs w:val="0"/>
          <w:noProof/>
          <w:sz w:val="20"/>
          <w:lang w:val="en-US"/>
        </w:rPr>
        <w:tab/>
      </w:r>
      <w:r w:rsidRPr="00F4530D">
        <w:rPr>
          <w:noProof/>
          <w:spacing w:val="20"/>
          <w:sz w:val="20"/>
        </w:rPr>
        <w:t>Economics</w:t>
      </w:r>
      <w:r w:rsidRPr="00F4530D">
        <w:rPr>
          <w:noProof/>
          <w:sz w:val="20"/>
        </w:rPr>
        <w:tab/>
      </w:r>
      <w:r w:rsidRPr="00F4530D">
        <w:rPr>
          <w:noProof/>
          <w:sz w:val="20"/>
        </w:rPr>
        <w:fldChar w:fldCharType="begin"/>
      </w:r>
      <w:r w:rsidRPr="00F4530D">
        <w:rPr>
          <w:noProof/>
          <w:sz w:val="20"/>
        </w:rPr>
        <w:instrText xml:space="preserve"> PAGEREF _Toc478467380 \h </w:instrText>
      </w:r>
      <w:r w:rsidRPr="00F4530D">
        <w:rPr>
          <w:noProof/>
          <w:sz w:val="20"/>
        </w:rPr>
      </w:r>
      <w:r w:rsidRPr="00F4530D">
        <w:rPr>
          <w:noProof/>
          <w:sz w:val="20"/>
        </w:rPr>
        <w:fldChar w:fldCharType="separate"/>
      </w:r>
      <w:r w:rsidRPr="00F4530D">
        <w:rPr>
          <w:noProof/>
          <w:sz w:val="20"/>
        </w:rPr>
        <w:t>12</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A.</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Investment in facility equipment and personnel</w:t>
      </w:r>
      <w:r w:rsidRPr="00F4530D">
        <w:rPr>
          <w:noProof/>
          <w:sz w:val="20"/>
        </w:rPr>
        <w:tab/>
      </w:r>
      <w:r w:rsidRPr="00F4530D">
        <w:rPr>
          <w:noProof/>
          <w:sz w:val="20"/>
        </w:rPr>
        <w:fldChar w:fldCharType="begin"/>
      </w:r>
      <w:r w:rsidRPr="00F4530D">
        <w:rPr>
          <w:noProof/>
          <w:sz w:val="20"/>
        </w:rPr>
        <w:instrText xml:space="preserve"> PAGEREF _Toc478467381 \h </w:instrText>
      </w:r>
      <w:r w:rsidRPr="00F4530D">
        <w:rPr>
          <w:noProof/>
          <w:sz w:val="20"/>
        </w:rPr>
      </w:r>
      <w:r w:rsidRPr="00F4530D">
        <w:rPr>
          <w:noProof/>
          <w:sz w:val="20"/>
        </w:rPr>
        <w:fldChar w:fldCharType="separate"/>
      </w:r>
      <w:r w:rsidRPr="00F4530D">
        <w:rPr>
          <w:noProof/>
          <w:sz w:val="20"/>
        </w:rPr>
        <w:t>14</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B.</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Investments to demonstrate ESM</w:t>
      </w:r>
      <w:r w:rsidRPr="00F4530D">
        <w:rPr>
          <w:noProof/>
          <w:sz w:val="20"/>
        </w:rPr>
        <w:tab/>
      </w:r>
      <w:r w:rsidRPr="00F4530D">
        <w:rPr>
          <w:noProof/>
          <w:sz w:val="20"/>
        </w:rPr>
        <w:fldChar w:fldCharType="begin"/>
      </w:r>
      <w:r w:rsidRPr="00F4530D">
        <w:rPr>
          <w:noProof/>
          <w:sz w:val="20"/>
        </w:rPr>
        <w:instrText xml:space="preserve"> PAGEREF _Toc478467382 \h </w:instrText>
      </w:r>
      <w:r w:rsidRPr="00F4530D">
        <w:rPr>
          <w:noProof/>
          <w:sz w:val="20"/>
        </w:rPr>
      </w:r>
      <w:r w:rsidRPr="00F4530D">
        <w:rPr>
          <w:noProof/>
          <w:sz w:val="20"/>
        </w:rPr>
        <w:fldChar w:fldCharType="separate"/>
      </w:r>
      <w:r w:rsidRPr="00F4530D">
        <w:rPr>
          <w:noProof/>
          <w:sz w:val="20"/>
        </w:rPr>
        <w:t>14</w:t>
      </w:r>
      <w:r w:rsidRPr="00F4530D">
        <w:rPr>
          <w:noProof/>
          <w:sz w:val="20"/>
        </w:rPr>
        <w:fldChar w:fldCharType="end"/>
      </w:r>
    </w:p>
    <w:p w:rsidR="00F4530D" w:rsidRPr="00F4530D" w:rsidRDefault="00F4530D">
      <w:pPr>
        <w:pStyle w:val="TOC3"/>
        <w:tabs>
          <w:tab w:val="left" w:pos="2948"/>
        </w:tabs>
        <w:rPr>
          <w:rFonts w:asciiTheme="minorHAnsi" w:eastAsiaTheme="minorEastAsia" w:hAnsiTheme="minorHAnsi" w:cstheme="minorBidi"/>
          <w:iCs w:val="0"/>
          <w:noProof/>
          <w:sz w:val="20"/>
          <w:lang w:val="en-US"/>
        </w:rPr>
      </w:pPr>
      <w:r w:rsidRPr="00F4530D">
        <w:rPr>
          <w:bCs/>
          <w:noProof/>
          <w:sz w:val="20"/>
        </w:rPr>
        <w:t>1.</w:t>
      </w:r>
      <w:r w:rsidRPr="00F4530D">
        <w:rPr>
          <w:rFonts w:asciiTheme="minorHAnsi" w:eastAsiaTheme="minorEastAsia" w:hAnsiTheme="minorHAnsi" w:cstheme="minorBidi"/>
          <w:iCs w:val="0"/>
          <w:noProof/>
          <w:sz w:val="20"/>
          <w:lang w:val="en-US"/>
        </w:rPr>
        <w:tab/>
      </w:r>
      <w:r w:rsidRPr="00F4530D">
        <w:rPr>
          <w:bCs/>
          <w:noProof/>
          <w:sz w:val="20"/>
        </w:rPr>
        <w:t>Compliance with strict legislation demonstrating ESM</w:t>
      </w:r>
      <w:r w:rsidRPr="00F4530D">
        <w:rPr>
          <w:noProof/>
          <w:sz w:val="20"/>
        </w:rPr>
        <w:tab/>
      </w:r>
      <w:r w:rsidRPr="00F4530D">
        <w:rPr>
          <w:noProof/>
          <w:sz w:val="20"/>
        </w:rPr>
        <w:fldChar w:fldCharType="begin"/>
      </w:r>
      <w:r w:rsidRPr="00F4530D">
        <w:rPr>
          <w:noProof/>
          <w:sz w:val="20"/>
        </w:rPr>
        <w:instrText xml:space="preserve"> PAGEREF _Toc478467383 \h </w:instrText>
      </w:r>
      <w:r w:rsidRPr="00F4530D">
        <w:rPr>
          <w:noProof/>
          <w:sz w:val="20"/>
        </w:rPr>
      </w:r>
      <w:r w:rsidRPr="00F4530D">
        <w:rPr>
          <w:noProof/>
          <w:sz w:val="20"/>
        </w:rPr>
        <w:fldChar w:fldCharType="separate"/>
      </w:r>
      <w:r w:rsidRPr="00F4530D">
        <w:rPr>
          <w:noProof/>
          <w:sz w:val="20"/>
        </w:rPr>
        <w:t>14</w:t>
      </w:r>
      <w:r w:rsidRPr="00F4530D">
        <w:rPr>
          <w:noProof/>
          <w:sz w:val="20"/>
        </w:rPr>
        <w:fldChar w:fldCharType="end"/>
      </w:r>
    </w:p>
    <w:p w:rsidR="00F4530D" w:rsidRPr="00F4530D" w:rsidRDefault="00F4530D">
      <w:pPr>
        <w:pStyle w:val="TOC3"/>
        <w:tabs>
          <w:tab w:val="left" w:pos="2948"/>
        </w:tabs>
        <w:rPr>
          <w:rFonts w:asciiTheme="minorHAnsi" w:eastAsiaTheme="minorEastAsia" w:hAnsiTheme="minorHAnsi" w:cstheme="minorBidi"/>
          <w:iCs w:val="0"/>
          <w:noProof/>
          <w:sz w:val="20"/>
          <w:lang w:val="en-US"/>
        </w:rPr>
      </w:pPr>
      <w:r w:rsidRPr="00F4530D">
        <w:rPr>
          <w:bCs/>
          <w:noProof/>
          <w:sz w:val="20"/>
        </w:rPr>
        <w:t>2.</w:t>
      </w:r>
      <w:r w:rsidRPr="00F4530D">
        <w:rPr>
          <w:rFonts w:asciiTheme="minorHAnsi" w:eastAsiaTheme="minorEastAsia" w:hAnsiTheme="minorHAnsi" w:cstheme="minorBidi"/>
          <w:iCs w:val="0"/>
          <w:noProof/>
          <w:sz w:val="20"/>
          <w:lang w:val="en-US"/>
        </w:rPr>
        <w:tab/>
      </w:r>
      <w:r w:rsidRPr="00F4530D">
        <w:rPr>
          <w:bCs/>
          <w:noProof/>
          <w:sz w:val="20"/>
        </w:rPr>
        <w:t>Third Party Certification replacing regulatory enforcement</w:t>
      </w:r>
      <w:r w:rsidRPr="00F4530D">
        <w:rPr>
          <w:noProof/>
          <w:sz w:val="20"/>
        </w:rPr>
        <w:tab/>
      </w:r>
      <w:r w:rsidRPr="00F4530D">
        <w:rPr>
          <w:noProof/>
          <w:sz w:val="20"/>
        </w:rPr>
        <w:fldChar w:fldCharType="begin"/>
      </w:r>
      <w:r w:rsidRPr="00F4530D">
        <w:rPr>
          <w:noProof/>
          <w:sz w:val="20"/>
        </w:rPr>
        <w:instrText xml:space="preserve"> PAGEREF _Toc478467384 \h </w:instrText>
      </w:r>
      <w:r w:rsidRPr="00F4530D">
        <w:rPr>
          <w:noProof/>
          <w:sz w:val="20"/>
        </w:rPr>
      </w:r>
      <w:r w:rsidRPr="00F4530D">
        <w:rPr>
          <w:noProof/>
          <w:sz w:val="20"/>
        </w:rPr>
        <w:fldChar w:fldCharType="separate"/>
      </w:r>
      <w:r w:rsidRPr="00F4530D">
        <w:rPr>
          <w:noProof/>
          <w:sz w:val="20"/>
        </w:rPr>
        <w:t>14</w:t>
      </w:r>
      <w:r w:rsidRPr="00F4530D">
        <w:rPr>
          <w:noProof/>
          <w:sz w:val="20"/>
        </w:rPr>
        <w:fldChar w:fldCharType="end"/>
      </w:r>
    </w:p>
    <w:p w:rsidR="00F4530D" w:rsidRPr="00F4530D" w:rsidRDefault="00F4530D">
      <w:pPr>
        <w:pStyle w:val="TOC3"/>
        <w:tabs>
          <w:tab w:val="left" w:pos="2948"/>
        </w:tabs>
        <w:rPr>
          <w:rFonts w:asciiTheme="minorHAnsi" w:eastAsiaTheme="minorEastAsia" w:hAnsiTheme="minorHAnsi" w:cstheme="minorBidi"/>
          <w:iCs w:val="0"/>
          <w:noProof/>
          <w:sz w:val="20"/>
          <w:lang w:val="en-US"/>
        </w:rPr>
      </w:pPr>
      <w:r w:rsidRPr="00F4530D">
        <w:rPr>
          <w:bCs/>
          <w:noProof/>
          <w:sz w:val="20"/>
        </w:rPr>
        <w:t>3.</w:t>
      </w:r>
      <w:r w:rsidRPr="00F4530D">
        <w:rPr>
          <w:rFonts w:asciiTheme="minorHAnsi" w:eastAsiaTheme="minorEastAsia" w:hAnsiTheme="minorHAnsi" w:cstheme="minorBidi"/>
          <w:iCs w:val="0"/>
          <w:noProof/>
          <w:sz w:val="20"/>
          <w:lang w:val="en-US"/>
        </w:rPr>
        <w:tab/>
      </w:r>
      <w:r w:rsidRPr="00F4530D">
        <w:rPr>
          <w:bCs/>
          <w:noProof/>
          <w:sz w:val="20"/>
        </w:rPr>
        <w:t xml:space="preserve"> Assessing facility performance against the Basel Convention technical guidelines</w:t>
      </w:r>
      <w:r w:rsidRPr="00F4530D">
        <w:rPr>
          <w:noProof/>
          <w:sz w:val="20"/>
        </w:rPr>
        <w:tab/>
      </w:r>
      <w:r w:rsidRPr="00F4530D">
        <w:rPr>
          <w:noProof/>
          <w:sz w:val="20"/>
        </w:rPr>
        <w:fldChar w:fldCharType="begin"/>
      </w:r>
      <w:r w:rsidRPr="00F4530D">
        <w:rPr>
          <w:noProof/>
          <w:sz w:val="20"/>
        </w:rPr>
        <w:instrText xml:space="preserve"> PAGEREF _Toc478467385 \h </w:instrText>
      </w:r>
      <w:r w:rsidRPr="00F4530D">
        <w:rPr>
          <w:noProof/>
          <w:sz w:val="20"/>
        </w:rPr>
      </w:r>
      <w:r w:rsidRPr="00F4530D">
        <w:rPr>
          <w:noProof/>
          <w:sz w:val="20"/>
        </w:rPr>
        <w:fldChar w:fldCharType="separate"/>
      </w:r>
      <w:r w:rsidRPr="00F4530D">
        <w:rPr>
          <w:noProof/>
          <w:sz w:val="20"/>
        </w:rPr>
        <w:t>16</w:t>
      </w:r>
      <w:r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pacing w:val="20"/>
          <w:sz w:val="20"/>
        </w:rPr>
        <w:t>V.</w:t>
      </w:r>
      <w:r w:rsidRPr="00F4530D">
        <w:rPr>
          <w:rFonts w:asciiTheme="minorHAnsi" w:eastAsiaTheme="minorEastAsia" w:hAnsiTheme="minorHAnsi" w:cstheme="minorBidi"/>
          <w:bCs w:val="0"/>
          <w:noProof/>
          <w:sz w:val="20"/>
          <w:lang w:val="en-US"/>
        </w:rPr>
        <w:tab/>
      </w:r>
      <w:r w:rsidRPr="00F4530D">
        <w:rPr>
          <w:noProof/>
          <w:spacing w:val="20"/>
          <w:sz w:val="20"/>
        </w:rPr>
        <w:t>Incentives for ESM</w:t>
      </w:r>
      <w:r w:rsidRPr="00F4530D">
        <w:rPr>
          <w:noProof/>
          <w:sz w:val="20"/>
        </w:rPr>
        <w:tab/>
      </w:r>
      <w:r w:rsidRPr="00F4530D">
        <w:rPr>
          <w:noProof/>
          <w:sz w:val="20"/>
        </w:rPr>
        <w:fldChar w:fldCharType="begin"/>
      </w:r>
      <w:r w:rsidRPr="00F4530D">
        <w:rPr>
          <w:noProof/>
          <w:sz w:val="20"/>
        </w:rPr>
        <w:instrText xml:space="preserve"> PAGEREF _Toc478467386 \h </w:instrText>
      </w:r>
      <w:r w:rsidRPr="00F4530D">
        <w:rPr>
          <w:noProof/>
          <w:sz w:val="20"/>
        </w:rPr>
      </w:r>
      <w:r w:rsidRPr="00F4530D">
        <w:rPr>
          <w:noProof/>
          <w:sz w:val="20"/>
        </w:rPr>
        <w:fldChar w:fldCharType="separate"/>
      </w:r>
      <w:r w:rsidRPr="00F4530D">
        <w:rPr>
          <w:noProof/>
          <w:sz w:val="20"/>
        </w:rPr>
        <w:t>16</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A.</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License, Permit, or Other Authorisation to Operate</w:t>
      </w:r>
      <w:r w:rsidRPr="00F4530D">
        <w:rPr>
          <w:noProof/>
          <w:sz w:val="20"/>
        </w:rPr>
        <w:tab/>
      </w:r>
      <w:r w:rsidRPr="00F4530D">
        <w:rPr>
          <w:noProof/>
          <w:sz w:val="20"/>
        </w:rPr>
        <w:fldChar w:fldCharType="begin"/>
      </w:r>
      <w:r w:rsidRPr="00F4530D">
        <w:rPr>
          <w:noProof/>
          <w:sz w:val="20"/>
        </w:rPr>
        <w:instrText xml:space="preserve"> PAGEREF _Toc478467387 \h </w:instrText>
      </w:r>
      <w:r w:rsidRPr="00F4530D">
        <w:rPr>
          <w:noProof/>
          <w:sz w:val="20"/>
        </w:rPr>
      </w:r>
      <w:r w:rsidRPr="00F4530D">
        <w:rPr>
          <w:noProof/>
          <w:sz w:val="20"/>
        </w:rPr>
        <w:fldChar w:fldCharType="separate"/>
      </w:r>
      <w:r w:rsidRPr="00F4530D">
        <w:rPr>
          <w:noProof/>
          <w:sz w:val="20"/>
        </w:rPr>
        <w:t>17</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B.</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Direct financial support</w:t>
      </w:r>
      <w:r w:rsidRPr="00F4530D">
        <w:rPr>
          <w:noProof/>
          <w:sz w:val="20"/>
        </w:rPr>
        <w:tab/>
      </w:r>
      <w:r w:rsidRPr="00F4530D">
        <w:rPr>
          <w:noProof/>
          <w:sz w:val="20"/>
        </w:rPr>
        <w:fldChar w:fldCharType="begin"/>
      </w:r>
      <w:r w:rsidRPr="00F4530D">
        <w:rPr>
          <w:noProof/>
          <w:sz w:val="20"/>
        </w:rPr>
        <w:instrText xml:space="preserve"> PAGEREF _Toc478467388 \h </w:instrText>
      </w:r>
      <w:r w:rsidRPr="00F4530D">
        <w:rPr>
          <w:noProof/>
          <w:sz w:val="20"/>
        </w:rPr>
      </w:r>
      <w:r w:rsidRPr="00F4530D">
        <w:rPr>
          <w:noProof/>
          <w:sz w:val="20"/>
        </w:rPr>
        <w:fldChar w:fldCharType="separate"/>
      </w:r>
      <w:r w:rsidRPr="00F4530D">
        <w:rPr>
          <w:noProof/>
          <w:sz w:val="20"/>
        </w:rPr>
        <w:t>18</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C.</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Indirect financial effects</w:t>
      </w:r>
      <w:r w:rsidRPr="00F4530D">
        <w:rPr>
          <w:noProof/>
          <w:sz w:val="20"/>
        </w:rPr>
        <w:tab/>
      </w:r>
      <w:r w:rsidRPr="00F4530D">
        <w:rPr>
          <w:noProof/>
          <w:sz w:val="20"/>
        </w:rPr>
        <w:fldChar w:fldCharType="begin"/>
      </w:r>
      <w:r w:rsidRPr="00F4530D">
        <w:rPr>
          <w:noProof/>
          <w:sz w:val="20"/>
        </w:rPr>
        <w:instrText xml:space="preserve"> PAGEREF _Toc478467389 \h </w:instrText>
      </w:r>
      <w:r w:rsidRPr="00F4530D">
        <w:rPr>
          <w:noProof/>
          <w:sz w:val="20"/>
        </w:rPr>
      </w:r>
      <w:r w:rsidRPr="00F4530D">
        <w:rPr>
          <w:noProof/>
          <w:sz w:val="20"/>
        </w:rPr>
        <w:fldChar w:fldCharType="separate"/>
      </w:r>
      <w:r w:rsidRPr="00F4530D">
        <w:rPr>
          <w:noProof/>
          <w:sz w:val="20"/>
        </w:rPr>
        <w:t>18</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D.</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Economic instruments</w:t>
      </w:r>
      <w:r w:rsidRPr="00F4530D">
        <w:rPr>
          <w:noProof/>
          <w:sz w:val="20"/>
        </w:rPr>
        <w:tab/>
      </w:r>
      <w:r w:rsidRPr="00F4530D">
        <w:rPr>
          <w:noProof/>
          <w:sz w:val="20"/>
        </w:rPr>
        <w:fldChar w:fldCharType="begin"/>
      </w:r>
      <w:r w:rsidRPr="00F4530D">
        <w:rPr>
          <w:noProof/>
          <w:sz w:val="20"/>
        </w:rPr>
        <w:instrText xml:space="preserve"> PAGEREF _Toc478467390 \h </w:instrText>
      </w:r>
      <w:r w:rsidRPr="00F4530D">
        <w:rPr>
          <w:noProof/>
          <w:sz w:val="20"/>
        </w:rPr>
      </w:r>
      <w:r w:rsidRPr="00F4530D">
        <w:rPr>
          <w:noProof/>
          <w:sz w:val="20"/>
        </w:rPr>
        <w:fldChar w:fldCharType="separate"/>
      </w:r>
      <w:r w:rsidRPr="00F4530D">
        <w:rPr>
          <w:noProof/>
          <w:sz w:val="20"/>
        </w:rPr>
        <w:t>19</w:t>
      </w:r>
      <w:r w:rsidRPr="00F4530D">
        <w:rPr>
          <w:noProof/>
          <w:sz w:val="20"/>
        </w:rPr>
        <w:fldChar w:fldCharType="end"/>
      </w:r>
    </w:p>
    <w:p w:rsidR="00F4530D" w:rsidRPr="00F4530D" w:rsidRDefault="00F4530D">
      <w:pPr>
        <w:pStyle w:val="TOC3"/>
        <w:tabs>
          <w:tab w:val="left" w:pos="2948"/>
        </w:tabs>
        <w:rPr>
          <w:rFonts w:asciiTheme="minorHAnsi" w:eastAsiaTheme="minorEastAsia" w:hAnsiTheme="minorHAnsi" w:cstheme="minorBidi"/>
          <w:iCs w:val="0"/>
          <w:noProof/>
          <w:sz w:val="20"/>
          <w:lang w:val="en-US"/>
        </w:rPr>
      </w:pPr>
      <w:r w:rsidRPr="00F4530D">
        <w:rPr>
          <w:bCs/>
          <w:noProof/>
          <w:sz w:val="20"/>
        </w:rPr>
        <w:t xml:space="preserve">1. </w:t>
      </w:r>
      <w:r w:rsidRPr="00F4530D">
        <w:rPr>
          <w:rFonts w:asciiTheme="minorHAnsi" w:eastAsiaTheme="minorEastAsia" w:hAnsiTheme="minorHAnsi" w:cstheme="minorBidi"/>
          <w:iCs w:val="0"/>
          <w:noProof/>
          <w:sz w:val="20"/>
          <w:lang w:val="en-US"/>
        </w:rPr>
        <w:tab/>
      </w:r>
      <w:r w:rsidRPr="00F4530D">
        <w:rPr>
          <w:bCs/>
          <w:noProof/>
          <w:sz w:val="20"/>
        </w:rPr>
        <w:t>Charges for waste disposal and treatment</w:t>
      </w:r>
      <w:r w:rsidRPr="00F4530D">
        <w:rPr>
          <w:noProof/>
          <w:sz w:val="20"/>
        </w:rPr>
        <w:tab/>
      </w:r>
      <w:r w:rsidRPr="00F4530D">
        <w:rPr>
          <w:noProof/>
          <w:sz w:val="20"/>
        </w:rPr>
        <w:fldChar w:fldCharType="begin"/>
      </w:r>
      <w:r w:rsidRPr="00F4530D">
        <w:rPr>
          <w:noProof/>
          <w:sz w:val="20"/>
        </w:rPr>
        <w:instrText xml:space="preserve"> PAGEREF _Toc478467391 \h </w:instrText>
      </w:r>
      <w:r w:rsidRPr="00F4530D">
        <w:rPr>
          <w:noProof/>
          <w:sz w:val="20"/>
        </w:rPr>
      </w:r>
      <w:r w:rsidRPr="00F4530D">
        <w:rPr>
          <w:noProof/>
          <w:sz w:val="20"/>
        </w:rPr>
        <w:fldChar w:fldCharType="separate"/>
      </w:r>
      <w:r w:rsidRPr="00F4530D">
        <w:rPr>
          <w:noProof/>
          <w:sz w:val="20"/>
        </w:rPr>
        <w:t>19</w:t>
      </w:r>
      <w:r w:rsidRPr="00F4530D">
        <w:rPr>
          <w:noProof/>
          <w:sz w:val="20"/>
        </w:rPr>
        <w:fldChar w:fldCharType="end"/>
      </w:r>
    </w:p>
    <w:p w:rsidR="00F4530D" w:rsidRPr="00F4530D" w:rsidRDefault="00F4530D">
      <w:pPr>
        <w:pStyle w:val="TOC3"/>
        <w:tabs>
          <w:tab w:val="left" w:pos="2948"/>
        </w:tabs>
        <w:rPr>
          <w:rFonts w:asciiTheme="minorHAnsi" w:eastAsiaTheme="minorEastAsia" w:hAnsiTheme="minorHAnsi" w:cstheme="minorBidi"/>
          <w:iCs w:val="0"/>
          <w:noProof/>
          <w:sz w:val="20"/>
          <w:lang w:val="en-US"/>
        </w:rPr>
      </w:pPr>
      <w:r w:rsidRPr="00F4530D">
        <w:rPr>
          <w:bCs/>
          <w:noProof/>
          <w:sz w:val="20"/>
        </w:rPr>
        <w:t>2.</w:t>
      </w:r>
      <w:r w:rsidRPr="00F4530D">
        <w:rPr>
          <w:rFonts w:asciiTheme="minorHAnsi" w:eastAsiaTheme="minorEastAsia" w:hAnsiTheme="minorHAnsi" w:cstheme="minorBidi"/>
          <w:iCs w:val="0"/>
          <w:noProof/>
          <w:sz w:val="20"/>
          <w:lang w:val="en-US"/>
        </w:rPr>
        <w:tab/>
      </w:r>
      <w:r w:rsidRPr="00F4530D">
        <w:rPr>
          <w:bCs/>
          <w:noProof/>
          <w:sz w:val="20"/>
        </w:rPr>
        <w:t>Pay-as-you-throw (PAYT) schemes</w:t>
      </w:r>
      <w:r w:rsidRPr="00F4530D">
        <w:rPr>
          <w:noProof/>
          <w:sz w:val="20"/>
        </w:rPr>
        <w:tab/>
      </w:r>
      <w:r w:rsidRPr="00F4530D">
        <w:rPr>
          <w:noProof/>
          <w:sz w:val="20"/>
        </w:rPr>
        <w:fldChar w:fldCharType="begin"/>
      </w:r>
      <w:r w:rsidRPr="00F4530D">
        <w:rPr>
          <w:noProof/>
          <w:sz w:val="20"/>
        </w:rPr>
        <w:instrText xml:space="preserve"> PAGEREF _Toc478467392 \h </w:instrText>
      </w:r>
      <w:r w:rsidRPr="00F4530D">
        <w:rPr>
          <w:noProof/>
          <w:sz w:val="20"/>
        </w:rPr>
      </w:r>
      <w:r w:rsidRPr="00F4530D">
        <w:rPr>
          <w:noProof/>
          <w:sz w:val="20"/>
        </w:rPr>
        <w:fldChar w:fldCharType="separate"/>
      </w:r>
      <w:r w:rsidRPr="00F4530D">
        <w:rPr>
          <w:noProof/>
          <w:sz w:val="20"/>
        </w:rPr>
        <w:t>19</w:t>
      </w:r>
      <w:r w:rsidRPr="00F4530D">
        <w:rPr>
          <w:noProof/>
          <w:sz w:val="20"/>
        </w:rPr>
        <w:fldChar w:fldCharType="end"/>
      </w:r>
    </w:p>
    <w:p w:rsidR="00F4530D" w:rsidRPr="00F4530D" w:rsidRDefault="00F4530D">
      <w:pPr>
        <w:pStyle w:val="TOC3"/>
        <w:tabs>
          <w:tab w:val="left" w:pos="2948"/>
        </w:tabs>
        <w:rPr>
          <w:rFonts w:asciiTheme="minorHAnsi" w:eastAsiaTheme="minorEastAsia" w:hAnsiTheme="minorHAnsi" w:cstheme="minorBidi"/>
          <w:iCs w:val="0"/>
          <w:noProof/>
          <w:sz w:val="20"/>
          <w:lang w:val="en-US"/>
        </w:rPr>
      </w:pPr>
      <w:r w:rsidRPr="00F4530D">
        <w:rPr>
          <w:bCs/>
          <w:noProof/>
          <w:sz w:val="20"/>
        </w:rPr>
        <w:t>3.</w:t>
      </w:r>
      <w:r w:rsidRPr="00F4530D">
        <w:rPr>
          <w:rFonts w:asciiTheme="minorHAnsi" w:eastAsiaTheme="minorEastAsia" w:hAnsiTheme="minorHAnsi" w:cstheme="minorBidi"/>
          <w:iCs w:val="0"/>
          <w:noProof/>
          <w:sz w:val="20"/>
          <w:lang w:val="en-US"/>
        </w:rPr>
        <w:tab/>
      </w:r>
      <w:r w:rsidRPr="00F4530D">
        <w:rPr>
          <w:bCs/>
          <w:noProof/>
          <w:sz w:val="20"/>
        </w:rPr>
        <w:t>Extended Producer Responsibility (EPR schemes)</w:t>
      </w:r>
      <w:r w:rsidRPr="00F4530D">
        <w:rPr>
          <w:noProof/>
          <w:sz w:val="20"/>
        </w:rPr>
        <w:tab/>
      </w:r>
      <w:r w:rsidRPr="00F4530D">
        <w:rPr>
          <w:noProof/>
          <w:sz w:val="20"/>
        </w:rPr>
        <w:fldChar w:fldCharType="begin"/>
      </w:r>
      <w:r w:rsidRPr="00F4530D">
        <w:rPr>
          <w:noProof/>
          <w:sz w:val="20"/>
        </w:rPr>
        <w:instrText xml:space="preserve"> PAGEREF _Toc478467393 \h </w:instrText>
      </w:r>
      <w:r w:rsidRPr="00F4530D">
        <w:rPr>
          <w:noProof/>
          <w:sz w:val="20"/>
        </w:rPr>
      </w:r>
      <w:r w:rsidRPr="00F4530D">
        <w:rPr>
          <w:noProof/>
          <w:sz w:val="20"/>
        </w:rPr>
        <w:fldChar w:fldCharType="separate"/>
      </w:r>
      <w:r w:rsidRPr="00F4530D">
        <w:rPr>
          <w:noProof/>
          <w:sz w:val="20"/>
        </w:rPr>
        <w:t>20</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E.</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Support from Trade Associations</w:t>
      </w:r>
      <w:r w:rsidRPr="00F4530D">
        <w:rPr>
          <w:noProof/>
          <w:sz w:val="20"/>
        </w:rPr>
        <w:tab/>
      </w:r>
      <w:r w:rsidRPr="00F4530D">
        <w:rPr>
          <w:noProof/>
          <w:sz w:val="20"/>
        </w:rPr>
        <w:fldChar w:fldCharType="begin"/>
      </w:r>
      <w:r w:rsidRPr="00F4530D">
        <w:rPr>
          <w:noProof/>
          <w:sz w:val="20"/>
        </w:rPr>
        <w:instrText xml:space="preserve"> PAGEREF _Toc478467394 \h </w:instrText>
      </w:r>
      <w:r w:rsidRPr="00F4530D">
        <w:rPr>
          <w:noProof/>
          <w:sz w:val="20"/>
        </w:rPr>
      </w:r>
      <w:r w:rsidRPr="00F4530D">
        <w:rPr>
          <w:noProof/>
          <w:sz w:val="20"/>
        </w:rPr>
        <w:fldChar w:fldCharType="separate"/>
      </w:r>
      <w:r w:rsidRPr="00F4530D">
        <w:rPr>
          <w:noProof/>
          <w:sz w:val="20"/>
        </w:rPr>
        <w:t>21</w:t>
      </w:r>
      <w:r w:rsidRPr="00F4530D">
        <w:rPr>
          <w:noProof/>
          <w:sz w:val="20"/>
        </w:rPr>
        <w:fldChar w:fldCharType="end"/>
      </w:r>
    </w:p>
    <w:p w:rsidR="00F4530D" w:rsidRPr="00F4530D" w:rsidRDefault="00F4530D">
      <w:pPr>
        <w:pStyle w:val="TOC2"/>
        <w:rPr>
          <w:rFonts w:asciiTheme="minorHAnsi" w:eastAsiaTheme="minorEastAsia" w:hAnsiTheme="minorHAnsi" w:cstheme="minorBidi"/>
          <w:noProof/>
          <w:sz w:val="20"/>
          <w:lang w:val="en-US"/>
        </w:rPr>
      </w:pPr>
      <w:r w:rsidRPr="00F4530D">
        <w:rPr>
          <w:rFonts w:hAnsi="Times New Roman Bold"/>
          <w:noProof/>
          <w:sz w:val="20"/>
        </w:rPr>
        <w:t>F.</w:t>
      </w:r>
      <w:r w:rsidRPr="00F4530D">
        <w:rPr>
          <w:rFonts w:asciiTheme="minorHAnsi" w:eastAsiaTheme="minorEastAsia" w:hAnsiTheme="minorHAnsi" w:cstheme="minorBidi"/>
          <w:noProof/>
          <w:sz w:val="20"/>
          <w:lang w:val="en-US"/>
        </w:rPr>
        <w:tab/>
      </w:r>
      <w:r w:rsidRPr="00F4530D">
        <w:rPr>
          <w:rFonts w:hAnsi="Times New Roman Bold"/>
          <w:noProof/>
          <w:sz w:val="20"/>
        </w:rPr>
        <w:t xml:space="preserve"> Awards</w:t>
      </w:r>
      <w:r w:rsidRPr="00F4530D">
        <w:rPr>
          <w:noProof/>
          <w:sz w:val="20"/>
        </w:rPr>
        <w:tab/>
      </w:r>
      <w:r w:rsidRPr="00F4530D">
        <w:rPr>
          <w:noProof/>
          <w:sz w:val="20"/>
        </w:rPr>
        <w:fldChar w:fldCharType="begin"/>
      </w:r>
      <w:r w:rsidRPr="00F4530D">
        <w:rPr>
          <w:noProof/>
          <w:sz w:val="20"/>
        </w:rPr>
        <w:instrText xml:space="preserve"> PAGEREF _Toc478467395 \h </w:instrText>
      </w:r>
      <w:r w:rsidRPr="00F4530D">
        <w:rPr>
          <w:noProof/>
          <w:sz w:val="20"/>
        </w:rPr>
      </w:r>
      <w:r w:rsidRPr="00F4530D">
        <w:rPr>
          <w:noProof/>
          <w:sz w:val="20"/>
        </w:rPr>
        <w:fldChar w:fldCharType="separate"/>
      </w:r>
      <w:r w:rsidRPr="00F4530D">
        <w:rPr>
          <w:noProof/>
          <w:sz w:val="20"/>
        </w:rPr>
        <w:t>21</w:t>
      </w:r>
      <w:r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z w:val="20"/>
        </w:rPr>
        <w:t xml:space="preserve">VI. </w:t>
      </w:r>
      <w:r w:rsidRPr="00F4530D">
        <w:rPr>
          <w:rFonts w:asciiTheme="minorHAnsi" w:eastAsiaTheme="minorEastAsia" w:hAnsiTheme="minorHAnsi" w:cstheme="minorBidi"/>
          <w:bCs w:val="0"/>
          <w:noProof/>
          <w:sz w:val="20"/>
          <w:lang w:val="en-US"/>
        </w:rPr>
        <w:tab/>
      </w:r>
      <w:r w:rsidRPr="00F4530D">
        <w:rPr>
          <w:noProof/>
          <w:sz w:val="20"/>
        </w:rPr>
        <w:t xml:space="preserve"> </w:t>
      </w:r>
      <w:r w:rsidRPr="00F4530D">
        <w:rPr>
          <w:noProof/>
          <w:spacing w:val="20"/>
          <w:sz w:val="20"/>
        </w:rPr>
        <w:t>Benefits of ESM in the Private Sector</w:t>
      </w:r>
      <w:r w:rsidRPr="00F4530D">
        <w:rPr>
          <w:noProof/>
          <w:sz w:val="20"/>
        </w:rPr>
        <w:tab/>
      </w:r>
      <w:r w:rsidRPr="00F4530D">
        <w:rPr>
          <w:noProof/>
          <w:sz w:val="20"/>
        </w:rPr>
        <w:fldChar w:fldCharType="begin"/>
      </w:r>
      <w:r w:rsidRPr="00F4530D">
        <w:rPr>
          <w:noProof/>
          <w:sz w:val="20"/>
        </w:rPr>
        <w:instrText xml:space="preserve"> PAGEREF _Toc478467396 \h </w:instrText>
      </w:r>
      <w:r w:rsidRPr="00F4530D">
        <w:rPr>
          <w:noProof/>
          <w:sz w:val="20"/>
        </w:rPr>
      </w:r>
      <w:r w:rsidRPr="00F4530D">
        <w:rPr>
          <w:noProof/>
          <w:sz w:val="20"/>
        </w:rPr>
        <w:fldChar w:fldCharType="separate"/>
      </w:r>
      <w:r w:rsidRPr="00F4530D">
        <w:rPr>
          <w:noProof/>
          <w:sz w:val="20"/>
        </w:rPr>
        <w:t>21</w:t>
      </w:r>
      <w:r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pacing w:val="20"/>
          <w:sz w:val="20"/>
        </w:rPr>
        <w:t>V</w:t>
      </w:r>
      <w:r w:rsidRPr="00F4530D">
        <w:rPr>
          <w:noProof/>
          <w:spacing w:val="20"/>
          <w:sz w:val="20"/>
          <w:lang w:val="en-US"/>
        </w:rPr>
        <w:t>I</w:t>
      </w:r>
      <w:r w:rsidRPr="00F4530D">
        <w:rPr>
          <w:noProof/>
          <w:spacing w:val="20"/>
          <w:sz w:val="20"/>
        </w:rPr>
        <w:t>I.</w:t>
      </w:r>
      <w:r w:rsidRPr="00F4530D">
        <w:rPr>
          <w:rFonts w:asciiTheme="minorHAnsi" w:eastAsiaTheme="minorEastAsia" w:hAnsiTheme="minorHAnsi" w:cstheme="minorBidi"/>
          <w:bCs w:val="0"/>
          <w:noProof/>
          <w:sz w:val="20"/>
          <w:lang w:val="en-US"/>
        </w:rPr>
        <w:tab/>
      </w:r>
      <w:r w:rsidRPr="00F4530D">
        <w:rPr>
          <w:noProof/>
          <w:spacing w:val="20"/>
          <w:sz w:val="20"/>
        </w:rPr>
        <w:t>Conclusions</w:t>
      </w:r>
      <w:r w:rsidRPr="00F4530D">
        <w:rPr>
          <w:noProof/>
          <w:sz w:val="20"/>
        </w:rPr>
        <w:tab/>
      </w:r>
      <w:r w:rsidRPr="00F4530D">
        <w:rPr>
          <w:noProof/>
          <w:sz w:val="20"/>
        </w:rPr>
        <w:fldChar w:fldCharType="begin"/>
      </w:r>
      <w:r w:rsidRPr="00F4530D">
        <w:rPr>
          <w:noProof/>
          <w:sz w:val="20"/>
        </w:rPr>
        <w:instrText xml:space="preserve"> PAGEREF _Toc478467397 \h </w:instrText>
      </w:r>
      <w:r w:rsidRPr="00F4530D">
        <w:rPr>
          <w:noProof/>
          <w:sz w:val="20"/>
        </w:rPr>
      </w:r>
      <w:r w:rsidRPr="00F4530D">
        <w:rPr>
          <w:noProof/>
          <w:sz w:val="20"/>
        </w:rPr>
        <w:fldChar w:fldCharType="separate"/>
      </w:r>
      <w:r w:rsidRPr="00F4530D">
        <w:rPr>
          <w:noProof/>
          <w:sz w:val="20"/>
        </w:rPr>
        <w:t>22</w:t>
      </w:r>
      <w:r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pacing w:val="20"/>
          <w:sz w:val="20"/>
          <w:lang w:val="en-US"/>
        </w:rPr>
        <w:t>Annex I – References</w:t>
      </w:r>
      <w:r w:rsidRPr="00F4530D">
        <w:rPr>
          <w:noProof/>
          <w:sz w:val="20"/>
        </w:rPr>
        <w:tab/>
      </w:r>
      <w:r w:rsidRPr="00F4530D">
        <w:rPr>
          <w:noProof/>
          <w:sz w:val="20"/>
        </w:rPr>
        <w:fldChar w:fldCharType="begin"/>
      </w:r>
      <w:r w:rsidRPr="00F4530D">
        <w:rPr>
          <w:noProof/>
          <w:sz w:val="20"/>
        </w:rPr>
        <w:instrText xml:space="preserve"> PAGEREF _Toc478467398 \h </w:instrText>
      </w:r>
      <w:r w:rsidRPr="00F4530D">
        <w:rPr>
          <w:noProof/>
          <w:sz w:val="20"/>
        </w:rPr>
      </w:r>
      <w:r w:rsidRPr="00F4530D">
        <w:rPr>
          <w:noProof/>
          <w:sz w:val="20"/>
        </w:rPr>
        <w:fldChar w:fldCharType="separate"/>
      </w:r>
      <w:r w:rsidRPr="00F4530D">
        <w:rPr>
          <w:noProof/>
          <w:sz w:val="20"/>
        </w:rPr>
        <w:t>23</w:t>
      </w:r>
      <w:r w:rsidRPr="00F4530D">
        <w:rPr>
          <w:noProof/>
          <w:sz w:val="20"/>
        </w:rPr>
        <w:fldChar w:fldCharType="end"/>
      </w:r>
    </w:p>
    <w:p w:rsidR="00F4530D" w:rsidRPr="00F4530D" w:rsidRDefault="00F4530D">
      <w:pPr>
        <w:pStyle w:val="TOC1"/>
        <w:rPr>
          <w:rFonts w:asciiTheme="minorHAnsi" w:eastAsiaTheme="minorEastAsia" w:hAnsiTheme="minorHAnsi" w:cstheme="minorBidi"/>
          <w:bCs w:val="0"/>
          <w:noProof/>
          <w:sz w:val="20"/>
          <w:lang w:val="en-US"/>
        </w:rPr>
      </w:pPr>
      <w:r w:rsidRPr="00F4530D">
        <w:rPr>
          <w:noProof/>
          <w:spacing w:val="20"/>
          <w:sz w:val="20"/>
          <w:lang w:val="en-US"/>
        </w:rPr>
        <w:t>Annex II – Adopted Technical Guidelines</w:t>
      </w:r>
      <w:r w:rsidRPr="00F4530D">
        <w:rPr>
          <w:noProof/>
          <w:sz w:val="20"/>
        </w:rPr>
        <w:tab/>
      </w:r>
      <w:r w:rsidRPr="00F4530D">
        <w:rPr>
          <w:noProof/>
          <w:sz w:val="20"/>
        </w:rPr>
        <w:fldChar w:fldCharType="begin"/>
      </w:r>
      <w:r w:rsidRPr="00F4530D">
        <w:rPr>
          <w:noProof/>
          <w:sz w:val="20"/>
        </w:rPr>
        <w:instrText xml:space="preserve"> PAGEREF _Toc478467399 \h </w:instrText>
      </w:r>
      <w:r w:rsidRPr="00F4530D">
        <w:rPr>
          <w:noProof/>
          <w:sz w:val="20"/>
        </w:rPr>
      </w:r>
      <w:r w:rsidRPr="00F4530D">
        <w:rPr>
          <w:noProof/>
          <w:sz w:val="20"/>
        </w:rPr>
        <w:fldChar w:fldCharType="separate"/>
      </w:r>
      <w:r w:rsidRPr="00F4530D">
        <w:rPr>
          <w:noProof/>
          <w:sz w:val="20"/>
        </w:rPr>
        <w:t>24</w:t>
      </w:r>
      <w:r w:rsidRPr="00F4530D">
        <w:rPr>
          <w:noProof/>
          <w:sz w:val="20"/>
        </w:rPr>
        <w:fldChar w:fldCharType="end"/>
      </w:r>
    </w:p>
    <w:p w:rsidR="001B7EFB" w:rsidRPr="00D201E8" w:rsidRDefault="008C7F5B" w:rsidP="00D24AD6">
      <w:pPr>
        <w:pStyle w:val="TOC1"/>
        <w:ind w:left="511"/>
      </w:pPr>
      <w:r w:rsidRPr="00F4530D">
        <w:rPr>
          <w:b/>
          <w:bCs w:val="0"/>
          <w:sz w:val="20"/>
        </w:rPr>
        <w:fldChar w:fldCharType="end"/>
      </w:r>
    </w:p>
    <w:p w:rsidR="0050471A" w:rsidRDefault="0050471A" w:rsidP="001B7EFB">
      <w:pPr>
        <w:pStyle w:val="Heading1"/>
        <w:keepNext w:val="0"/>
        <w:tabs>
          <w:tab w:val="clear" w:pos="1247"/>
          <w:tab w:val="clear" w:pos="1814"/>
          <w:tab w:val="right" w:pos="993"/>
          <w:tab w:val="left" w:pos="1418"/>
        </w:tabs>
        <w:ind w:left="0" w:firstLine="0"/>
        <w:rPr>
          <w:b w:val="0"/>
          <w:sz w:val="20"/>
        </w:rPr>
      </w:pPr>
    </w:p>
    <w:p w:rsidR="0050471A" w:rsidRPr="0050471A" w:rsidRDefault="0050471A" w:rsidP="0050471A"/>
    <w:p w:rsidR="0050471A" w:rsidRPr="0050471A" w:rsidRDefault="0050471A" w:rsidP="0050471A"/>
    <w:p w:rsidR="0050471A" w:rsidRDefault="0050471A" w:rsidP="0050471A">
      <w:pPr>
        <w:pStyle w:val="Heading1"/>
        <w:keepNext w:val="0"/>
        <w:tabs>
          <w:tab w:val="clear" w:pos="1247"/>
          <w:tab w:val="clear" w:pos="1814"/>
          <w:tab w:val="left" w:pos="8355"/>
        </w:tabs>
        <w:ind w:left="0" w:firstLine="0"/>
      </w:pPr>
      <w:r>
        <w:tab/>
      </w:r>
    </w:p>
    <w:p w:rsidR="001B7EFB" w:rsidRPr="00F942FF" w:rsidRDefault="001B7EFB" w:rsidP="001B7EFB">
      <w:pPr>
        <w:pStyle w:val="Heading1"/>
        <w:keepNext w:val="0"/>
        <w:tabs>
          <w:tab w:val="clear" w:pos="1247"/>
          <w:tab w:val="clear" w:pos="1814"/>
          <w:tab w:val="right" w:pos="993"/>
          <w:tab w:val="left" w:pos="1418"/>
        </w:tabs>
        <w:ind w:left="0" w:firstLine="0"/>
        <w:rPr>
          <w:b w:val="0"/>
          <w:bCs/>
          <w:caps/>
        </w:rPr>
      </w:pPr>
      <w:r w:rsidRPr="0050471A">
        <w:br w:type="page"/>
      </w:r>
      <w:r w:rsidRPr="001B7EFB">
        <w:rPr>
          <w:bCs/>
          <w:spacing w:val="20"/>
          <w:szCs w:val="28"/>
        </w:rPr>
        <w:lastRenderedPageBreak/>
        <w:tab/>
      </w:r>
      <w:bookmarkStart w:id="2" w:name="_Toc478467372"/>
      <w:r w:rsidRPr="001B7EFB">
        <w:rPr>
          <w:bCs/>
          <w:spacing w:val="20"/>
          <w:szCs w:val="28"/>
        </w:rPr>
        <w:t>I.</w:t>
      </w:r>
      <w:r w:rsidRPr="001B7EFB">
        <w:rPr>
          <w:bCs/>
          <w:spacing w:val="20"/>
          <w:szCs w:val="28"/>
        </w:rPr>
        <w:tab/>
        <w:t>Introduction</w:t>
      </w:r>
      <w:bookmarkEnd w:id="2"/>
    </w:p>
    <w:p w:rsidR="001B7EFB" w:rsidRPr="00D201E8" w:rsidRDefault="001B7EFB" w:rsidP="009A372A">
      <w:pPr>
        <w:numPr>
          <w:ilvl w:val="0"/>
          <w:numId w:val="8"/>
        </w:numPr>
        <w:tabs>
          <w:tab w:val="left" w:pos="1985"/>
        </w:tabs>
        <w:spacing w:after="120"/>
        <w:ind w:left="1418" w:firstLine="0"/>
        <w:rPr>
          <w:sz w:val="20"/>
        </w:rPr>
      </w:pPr>
      <w:r w:rsidRPr="00D201E8">
        <w:rPr>
          <w:sz w:val="20"/>
        </w:rPr>
        <w:t xml:space="preserve">By </w:t>
      </w:r>
      <w:r w:rsidRPr="00D201E8">
        <w:rPr>
          <w:sz w:val="20"/>
          <w:lang w:bidi="en-US"/>
        </w:rPr>
        <w:t>decision</w:t>
      </w:r>
      <w:r w:rsidRPr="00D201E8">
        <w:rPr>
          <w:sz w:val="20"/>
        </w:rPr>
        <w:t xml:space="preserve"> BC-11/1, the eleventh meeting of the Conference of the Parties to the Basel Convention </w:t>
      </w:r>
      <w:r w:rsidR="004B5119">
        <w:rPr>
          <w:sz w:val="20"/>
        </w:rPr>
        <w:t>(COP-</w:t>
      </w:r>
      <w:r w:rsidR="004A4E66">
        <w:rPr>
          <w:sz w:val="20"/>
        </w:rPr>
        <w:t>11) adopted the “</w:t>
      </w:r>
      <w:r w:rsidRPr="00D201E8">
        <w:rPr>
          <w:sz w:val="20"/>
        </w:rPr>
        <w:t>Framework for the environmentally sound management (ESM) of hazardous wastes and other wastes</w:t>
      </w:r>
      <w:r w:rsidR="004A4E66">
        <w:rPr>
          <w:sz w:val="20"/>
        </w:rPr>
        <w:t>”</w:t>
      </w:r>
      <w:r w:rsidRPr="00D201E8">
        <w:rPr>
          <w:rStyle w:val="FootnoteReference"/>
        </w:rPr>
        <w:footnoteReference w:id="1"/>
      </w:r>
      <w:r w:rsidRPr="00D201E8">
        <w:rPr>
          <w:sz w:val="20"/>
        </w:rPr>
        <w:t xml:space="preserve"> (hereafter referred to as the ESM Framework) which establishes a common understanding of what ESM encompasses; identifies tools to support and promote the implementation of ESM; and identifies strategies to implement ESM. By the same decision, an expert working group was mandated to further elaborate and implement actions on initial short-term work items and to develop a work programme for additional priorities and key work and actions for the implementation of ESM.</w:t>
      </w:r>
    </w:p>
    <w:p w:rsidR="001B7EFB" w:rsidRPr="00D201E8" w:rsidRDefault="001B7EFB" w:rsidP="009A372A">
      <w:pPr>
        <w:numPr>
          <w:ilvl w:val="0"/>
          <w:numId w:val="8"/>
        </w:numPr>
        <w:tabs>
          <w:tab w:val="left" w:pos="1985"/>
        </w:tabs>
        <w:spacing w:after="120"/>
        <w:ind w:left="1418" w:firstLine="0"/>
        <w:rPr>
          <w:sz w:val="20"/>
        </w:rPr>
      </w:pPr>
      <w:r w:rsidRPr="00D201E8">
        <w:rPr>
          <w:sz w:val="20"/>
        </w:rPr>
        <w:t>The expert working group on ESM met in December 2013 and decided on several short-term activities to implement ESM. This repor</w:t>
      </w:r>
      <w:r w:rsidR="009E1267">
        <w:rPr>
          <w:sz w:val="20"/>
        </w:rPr>
        <w:t>t deals with the request of COP-</w:t>
      </w:r>
      <w:r w:rsidRPr="00D201E8">
        <w:rPr>
          <w:sz w:val="20"/>
        </w:rPr>
        <w:t>11 and the expert working group to assess possible incentives to encourage the private sector to invest in ESM.</w:t>
      </w:r>
    </w:p>
    <w:p w:rsidR="004A4E66" w:rsidRDefault="001B7EFB" w:rsidP="004A4E66">
      <w:pPr>
        <w:numPr>
          <w:ilvl w:val="0"/>
          <w:numId w:val="8"/>
        </w:numPr>
        <w:tabs>
          <w:tab w:val="left" w:pos="1985"/>
        </w:tabs>
        <w:spacing w:after="120"/>
        <w:ind w:left="1418" w:firstLine="0"/>
        <w:rPr>
          <w:sz w:val="20"/>
        </w:rPr>
      </w:pPr>
      <w:r w:rsidRPr="00D201E8">
        <w:rPr>
          <w:sz w:val="20"/>
        </w:rPr>
        <w:t>Importantly</w:t>
      </w:r>
      <w:r w:rsidR="004A4E66">
        <w:rPr>
          <w:sz w:val="20"/>
        </w:rPr>
        <w:t>,</w:t>
      </w:r>
      <w:r w:rsidRPr="00D201E8">
        <w:rPr>
          <w:sz w:val="20"/>
        </w:rPr>
        <w:t xml:space="preserve"> efforts needed to implement ESM will vary significantly from country to country, from site to site, and from waste type to wa</w:t>
      </w:r>
      <w:r w:rsidR="004A4E66">
        <w:rPr>
          <w:sz w:val="20"/>
        </w:rPr>
        <w:t>ste type. Regarding the latter waste t</w:t>
      </w:r>
      <w:r w:rsidRPr="00D201E8">
        <w:rPr>
          <w:sz w:val="20"/>
        </w:rPr>
        <w:t>ypes</w:t>
      </w:r>
      <w:r w:rsidR="004A4E66">
        <w:rPr>
          <w:sz w:val="20"/>
        </w:rPr>
        <w:t>,</w:t>
      </w:r>
      <w:r w:rsidRPr="00D201E8">
        <w:rPr>
          <w:sz w:val="20"/>
        </w:rPr>
        <w:t xml:space="preserve"> the scope of the ESM Framework is for ha</w:t>
      </w:r>
      <w:r w:rsidR="004A4E66">
        <w:rPr>
          <w:sz w:val="20"/>
        </w:rPr>
        <w:t>zardous wastes and other wastes.</w:t>
      </w:r>
    </w:p>
    <w:p w:rsidR="004A4E66" w:rsidRPr="00D201E8" w:rsidRDefault="004A4E66" w:rsidP="004A4E66">
      <w:pPr>
        <w:tabs>
          <w:tab w:val="left" w:pos="1985"/>
        </w:tabs>
        <w:ind w:left="1411"/>
        <w:rPr>
          <w:sz w:val="20"/>
        </w:rPr>
      </w:pPr>
    </w:p>
    <w:p w:rsidR="001B7EFB" w:rsidRPr="00967DFE" w:rsidRDefault="001B7EFB" w:rsidP="004A4E66">
      <w:pPr>
        <w:pStyle w:val="Heading1"/>
        <w:keepNext w:val="0"/>
        <w:tabs>
          <w:tab w:val="clear" w:pos="1247"/>
          <w:tab w:val="clear" w:pos="1814"/>
          <w:tab w:val="right" w:pos="993"/>
          <w:tab w:val="left" w:pos="1418"/>
        </w:tabs>
        <w:spacing w:before="0"/>
        <w:ind w:left="0" w:firstLine="0"/>
        <w:rPr>
          <w:bCs/>
          <w:spacing w:val="20"/>
          <w:szCs w:val="28"/>
        </w:rPr>
      </w:pPr>
      <w:r w:rsidRPr="00967DFE">
        <w:rPr>
          <w:bCs/>
          <w:spacing w:val="20"/>
          <w:szCs w:val="28"/>
        </w:rPr>
        <w:tab/>
      </w:r>
      <w:bookmarkStart w:id="3" w:name="_Toc478467373"/>
      <w:r w:rsidRPr="00967DFE">
        <w:rPr>
          <w:bCs/>
          <w:spacing w:val="20"/>
          <w:szCs w:val="28"/>
        </w:rPr>
        <w:t>II.</w:t>
      </w:r>
      <w:r w:rsidRPr="00967DFE">
        <w:rPr>
          <w:bCs/>
          <w:spacing w:val="20"/>
          <w:szCs w:val="28"/>
        </w:rPr>
        <w:tab/>
        <w:t>Defining ESM</w:t>
      </w:r>
      <w:bookmarkEnd w:id="3"/>
    </w:p>
    <w:p w:rsidR="001B7EFB" w:rsidRPr="00967DFE" w:rsidRDefault="001B7EFB" w:rsidP="00967DFE">
      <w:pPr>
        <w:pStyle w:val="Heading2"/>
        <w:tabs>
          <w:tab w:val="right" w:pos="993"/>
          <w:tab w:val="left" w:pos="1418"/>
        </w:tabs>
      </w:pPr>
      <w:r w:rsidRPr="00967DFE">
        <w:rPr>
          <w:lang w:val="en-US"/>
        </w:rPr>
        <w:tab/>
      </w:r>
      <w:bookmarkStart w:id="4" w:name="_Toc478467374"/>
      <w:r w:rsidRPr="00967DFE">
        <w:rPr>
          <w:lang w:val="en-US"/>
        </w:rPr>
        <w:t>A.</w:t>
      </w:r>
      <w:r w:rsidRPr="00967DFE">
        <w:rPr>
          <w:lang w:val="en-US"/>
        </w:rPr>
        <w:tab/>
      </w:r>
      <w:r w:rsidR="00967DFE">
        <w:rPr>
          <w:lang w:val="en-US"/>
        </w:rPr>
        <w:tab/>
      </w:r>
      <w:r w:rsidRPr="00967DFE">
        <w:rPr>
          <w:rFonts w:hAnsi="Times New Roman Bold"/>
        </w:rPr>
        <w:t>Pre-2004</w:t>
      </w:r>
      <w:bookmarkEnd w:id="4"/>
    </w:p>
    <w:p w:rsidR="001B7EFB" w:rsidRPr="00D201E8" w:rsidRDefault="00BB6C70" w:rsidP="009A372A">
      <w:pPr>
        <w:numPr>
          <w:ilvl w:val="0"/>
          <w:numId w:val="8"/>
        </w:numPr>
        <w:tabs>
          <w:tab w:val="left" w:pos="1985"/>
        </w:tabs>
        <w:spacing w:after="120"/>
        <w:ind w:left="1418" w:firstLine="0"/>
        <w:rPr>
          <w:sz w:val="20"/>
        </w:rPr>
      </w:pPr>
      <w:r>
        <w:rPr>
          <w:sz w:val="20"/>
        </w:rPr>
        <w:t>“Environmentally sound management (ESM) of w</w:t>
      </w:r>
      <w:r w:rsidR="001B7EFB" w:rsidRPr="00D201E8">
        <w:rPr>
          <w:sz w:val="20"/>
        </w:rPr>
        <w:t xml:space="preserve">aste” is one of the underlying principles of waste management policies and has been referred to in most legislation regarding the </w:t>
      </w:r>
      <w:proofErr w:type="spellStart"/>
      <w:r w:rsidR="001B7EFB" w:rsidRPr="00D201E8">
        <w:rPr>
          <w:sz w:val="20"/>
        </w:rPr>
        <w:t>transboundary</w:t>
      </w:r>
      <w:proofErr w:type="spellEnd"/>
      <w:r w:rsidR="001B7EFB" w:rsidRPr="00D201E8">
        <w:rPr>
          <w:sz w:val="20"/>
        </w:rPr>
        <w:t xml:space="preserve"> movement of waste and in other international, regional and/or national regulations. A basic condition to allow or prohibit an export or import </w:t>
      </w:r>
      <w:r w:rsidR="00DA49ED">
        <w:rPr>
          <w:sz w:val="20"/>
        </w:rPr>
        <w:t>is</w:t>
      </w:r>
      <w:r w:rsidR="001B7EFB" w:rsidRPr="00D201E8">
        <w:rPr>
          <w:sz w:val="20"/>
        </w:rPr>
        <w:t xml:space="preserve"> whether, or not, the receiving facility </w:t>
      </w:r>
      <w:r w:rsidR="00DA49ED">
        <w:rPr>
          <w:sz w:val="20"/>
        </w:rPr>
        <w:t>has the capability to</w:t>
      </w:r>
      <w:r w:rsidR="001B7EFB" w:rsidRPr="00D201E8">
        <w:rPr>
          <w:sz w:val="20"/>
        </w:rPr>
        <w:t xml:space="preserve"> </w:t>
      </w:r>
      <w:r>
        <w:rPr>
          <w:sz w:val="20"/>
        </w:rPr>
        <w:t>handle the waste in an environmentally sound manner.</w:t>
      </w:r>
    </w:p>
    <w:p w:rsidR="00723777" w:rsidRDefault="001B7EFB" w:rsidP="009A372A">
      <w:pPr>
        <w:numPr>
          <w:ilvl w:val="0"/>
          <w:numId w:val="8"/>
        </w:numPr>
        <w:tabs>
          <w:tab w:val="left" w:pos="1985"/>
        </w:tabs>
        <w:spacing w:after="120"/>
        <w:ind w:left="1418" w:firstLine="0"/>
        <w:rPr>
          <w:sz w:val="20"/>
        </w:rPr>
      </w:pPr>
      <w:r w:rsidRPr="00723777">
        <w:rPr>
          <w:sz w:val="20"/>
        </w:rPr>
        <w:t>Managing hazardous or other wastes in an environmentally sound manner is a fundamental obligation of Parties to the Basel Convention, where a number of technical guidelines</w:t>
      </w:r>
      <w:r w:rsidR="00C552BA">
        <w:rPr>
          <w:rStyle w:val="FootnoteReference"/>
        </w:rPr>
        <w:footnoteReference w:id="2"/>
      </w:r>
      <w:r w:rsidRPr="00723777">
        <w:rPr>
          <w:sz w:val="20"/>
        </w:rPr>
        <w:t xml:space="preserve"> have been developed for specific waste streams, such as used tyres, plastic waste, lead-acid batteries, </w:t>
      </w:r>
      <w:proofErr w:type="gramStart"/>
      <w:r w:rsidRPr="00723777">
        <w:rPr>
          <w:sz w:val="20"/>
        </w:rPr>
        <w:t>ships</w:t>
      </w:r>
      <w:proofErr w:type="gramEnd"/>
      <w:r w:rsidRPr="00723777">
        <w:rPr>
          <w:sz w:val="20"/>
        </w:rPr>
        <w:t>, biomedical and healthcare waste. In the context of the Mobile Phones Partnership Initiative (MPPI)</w:t>
      </w:r>
      <w:r w:rsidR="00C552BA">
        <w:rPr>
          <w:rStyle w:val="FootnoteReference"/>
        </w:rPr>
        <w:footnoteReference w:id="3"/>
      </w:r>
      <w:r w:rsidRPr="00723777">
        <w:rPr>
          <w:sz w:val="20"/>
        </w:rPr>
        <w:t>, guidelines on the ESM of end-of-life mobile phones have been develop</w:t>
      </w:r>
      <w:r w:rsidR="00723777" w:rsidRPr="00723777">
        <w:rPr>
          <w:sz w:val="20"/>
        </w:rPr>
        <w:t>ed</w:t>
      </w:r>
      <w:r w:rsidRPr="00723777">
        <w:rPr>
          <w:sz w:val="20"/>
        </w:rPr>
        <w:t xml:space="preserve">. Furthermore in the context of </w:t>
      </w:r>
      <w:r w:rsidR="00723777">
        <w:rPr>
          <w:sz w:val="20"/>
        </w:rPr>
        <w:t>the</w:t>
      </w:r>
      <w:r w:rsidRPr="00723777">
        <w:rPr>
          <w:sz w:val="20"/>
        </w:rPr>
        <w:t xml:space="preserve"> Partnership for Action on Computing Equipment (PA</w:t>
      </w:r>
      <w:r w:rsidR="00723777" w:rsidRPr="00723777">
        <w:rPr>
          <w:sz w:val="20"/>
        </w:rPr>
        <w:t>CE)</w:t>
      </w:r>
      <w:r w:rsidR="00C552BA">
        <w:rPr>
          <w:rStyle w:val="FootnoteReference"/>
        </w:rPr>
        <w:footnoteReference w:id="4"/>
      </w:r>
      <w:r w:rsidR="00723777" w:rsidRPr="00723777">
        <w:rPr>
          <w:sz w:val="20"/>
        </w:rPr>
        <w:t>, guidelines on the ESM of computing e</w:t>
      </w:r>
      <w:r w:rsidR="00723777">
        <w:rPr>
          <w:sz w:val="20"/>
        </w:rPr>
        <w:t>quipment have been developed</w:t>
      </w:r>
      <w:r w:rsidRPr="00723777">
        <w:rPr>
          <w:sz w:val="20"/>
        </w:rPr>
        <w:t>.</w:t>
      </w:r>
    </w:p>
    <w:p w:rsidR="001B7EFB" w:rsidRPr="00723777" w:rsidRDefault="001B7EFB" w:rsidP="009A372A">
      <w:pPr>
        <w:numPr>
          <w:ilvl w:val="0"/>
          <w:numId w:val="8"/>
        </w:numPr>
        <w:tabs>
          <w:tab w:val="left" w:pos="1985"/>
        </w:tabs>
        <w:spacing w:after="120"/>
        <w:ind w:left="1418" w:firstLine="0"/>
        <w:rPr>
          <w:sz w:val="20"/>
        </w:rPr>
      </w:pPr>
      <w:r w:rsidRPr="00723777">
        <w:rPr>
          <w:sz w:val="20"/>
        </w:rPr>
        <w:t xml:space="preserve">At the </w:t>
      </w:r>
      <w:r w:rsidR="00723777">
        <w:rPr>
          <w:sz w:val="20"/>
        </w:rPr>
        <w:t>fifth meeting of the</w:t>
      </w:r>
      <w:r w:rsidRPr="00723777">
        <w:rPr>
          <w:sz w:val="20"/>
        </w:rPr>
        <w:t xml:space="preserve"> Conference of the Parties </w:t>
      </w:r>
      <w:r w:rsidR="00DA49ED">
        <w:rPr>
          <w:sz w:val="20"/>
        </w:rPr>
        <w:t>to</w:t>
      </w:r>
      <w:r w:rsidRPr="00723777">
        <w:rPr>
          <w:sz w:val="20"/>
        </w:rPr>
        <w:t xml:space="preserve"> the Basel Convention in December 1999, Parties adopted </w:t>
      </w:r>
      <w:r w:rsidR="00DA49ED">
        <w:rPr>
          <w:sz w:val="20"/>
        </w:rPr>
        <w:t xml:space="preserve">the </w:t>
      </w:r>
      <w:r w:rsidRPr="00723777">
        <w:rPr>
          <w:sz w:val="20"/>
        </w:rPr>
        <w:t>“Basel Declaration on environmentall</w:t>
      </w:r>
      <w:r w:rsidR="00DA49ED">
        <w:rPr>
          <w:sz w:val="20"/>
        </w:rPr>
        <w:t>y sound management”</w:t>
      </w:r>
      <w:r w:rsidR="00C552BA">
        <w:rPr>
          <w:rStyle w:val="FootnoteReference"/>
        </w:rPr>
        <w:footnoteReference w:id="5"/>
      </w:r>
      <w:r w:rsidR="00DA49ED">
        <w:rPr>
          <w:sz w:val="20"/>
        </w:rPr>
        <w:t>, which called</w:t>
      </w:r>
      <w:r w:rsidRPr="00723777">
        <w:rPr>
          <w:sz w:val="20"/>
        </w:rPr>
        <w:t xml:space="preserve"> for moving from the concept of ESM to its implementation. The concept encompassed the objectives of preventing, minimising, recovering and disposing of wastes in an environmentally sound manner, while taking into account social, technological and economic constraints. To achieve these ESM objectives, a number of tools and actions were recommended, such as the use of cleaner technologies, the reduction of </w:t>
      </w:r>
      <w:proofErr w:type="spellStart"/>
      <w:r w:rsidRPr="00723777">
        <w:rPr>
          <w:sz w:val="20"/>
        </w:rPr>
        <w:t>transboundary</w:t>
      </w:r>
      <w:proofErr w:type="spellEnd"/>
      <w:r w:rsidRPr="00723777">
        <w:rPr>
          <w:sz w:val="20"/>
        </w:rPr>
        <w:t xml:space="preserve"> movements of waste, the prevention and control of illegal traffic, the promotion of institutional and technical capacity-building, the transfer of environmentally sound technologies to developing countries, the development of training and information exchange, etc. </w:t>
      </w:r>
    </w:p>
    <w:p w:rsidR="001B7EFB" w:rsidRPr="00D201E8" w:rsidRDefault="001B7EFB" w:rsidP="009A372A">
      <w:pPr>
        <w:numPr>
          <w:ilvl w:val="0"/>
          <w:numId w:val="8"/>
        </w:numPr>
        <w:tabs>
          <w:tab w:val="left" w:pos="1985"/>
        </w:tabs>
        <w:spacing w:after="120"/>
        <w:ind w:left="1418" w:firstLine="0"/>
        <w:rPr>
          <w:sz w:val="20"/>
        </w:rPr>
      </w:pPr>
      <w:r w:rsidRPr="00D201E8">
        <w:rPr>
          <w:sz w:val="20"/>
        </w:rPr>
        <w:t xml:space="preserve">In addition, the following criteria were recommended for Basel Parties to assess environmentally sound management: </w:t>
      </w:r>
    </w:p>
    <w:p w:rsidR="001B7EFB" w:rsidRPr="00D201E8" w:rsidRDefault="001B7EFB" w:rsidP="001B7EFB">
      <w:pPr>
        <w:tabs>
          <w:tab w:val="left" w:pos="2552"/>
        </w:tabs>
        <w:spacing w:after="120"/>
        <w:ind w:left="1440" w:firstLine="545"/>
        <w:rPr>
          <w:sz w:val="20"/>
        </w:rPr>
      </w:pPr>
      <w:r>
        <w:rPr>
          <w:sz w:val="20"/>
        </w:rPr>
        <w:lastRenderedPageBreak/>
        <w:t>(a)</w:t>
      </w:r>
      <w:r>
        <w:rPr>
          <w:sz w:val="20"/>
        </w:rPr>
        <w:tab/>
        <w:t>T</w:t>
      </w:r>
      <w:r w:rsidRPr="00D201E8">
        <w:rPr>
          <w:sz w:val="20"/>
        </w:rPr>
        <w:t xml:space="preserve">here exists a regulatory and enforcement infrastructure that ensures compliance with applicable regulations; </w:t>
      </w:r>
    </w:p>
    <w:p w:rsidR="001B7EFB" w:rsidRPr="00D201E8" w:rsidRDefault="001B7EFB" w:rsidP="001B7EFB">
      <w:pPr>
        <w:tabs>
          <w:tab w:val="left" w:pos="2552"/>
        </w:tabs>
        <w:spacing w:after="120"/>
        <w:ind w:left="1440" w:firstLine="545"/>
        <w:rPr>
          <w:sz w:val="20"/>
        </w:rPr>
      </w:pPr>
      <w:r>
        <w:rPr>
          <w:sz w:val="20"/>
        </w:rPr>
        <w:t>(b)</w:t>
      </w:r>
      <w:r>
        <w:rPr>
          <w:sz w:val="20"/>
        </w:rPr>
        <w:tab/>
        <w:t>T</w:t>
      </w:r>
      <w:r w:rsidRPr="00D201E8">
        <w:rPr>
          <w:sz w:val="20"/>
        </w:rPr>
        <w:t xml:space="preserve">he facilities are authorised and possess the adequate technology for treating hazardous waste and controlling pollution; </w:t>
      </w:r>
    </w:p>
    <w:p w:rsidR="001B7EFB" w:rsidRPr="00D201E8" w:rsidRDefault="001B7EFB" w:rsidP="001B7EFB">
      <w:pPr>
        <w:tabs>
          <w:tab w:val="left" w:pos="2552"/>
        </w:tabs>
        <w:spacing w:after="120"/>
        <w:ind w:left="1440" w:firstLine="545"/>
        <w:rPr>
          <w:sz w:val="20"/>
        </w:rPr>
      </w:pPr>
      <w:r>
        <w:rPr>
          <w:sz w:val="20"/>
        </w:rPr>
        <w:t>(c)</w:t>
      </w:r>
      <w:r>
        <w:rPr>
          <w:sz w:val="20"/>
        </w:rPr>
        <w:tab/>
        <w:t>T</w:t>
      </w:r>
      <w:r w:rsidRPr="00D201E8">
        <w:rPr>
          <w:sz w:val="20"/>
        </w:rPr>
        <w:t xml:space="preserve">he effects from waste treatment activities are monitored by facility operators; </w:t>
      </w:r>
    </w:p>
    <w:p w:rsidR="001B7EFB" w:rsidRPr="00D201E8" w:rsidRDefault="001B7EFB" w:rsidP="001B7EFB">
      <w:pPr>
        <w:tabs>
          <w:tab w:val="left" w:pos="2552"/>
        </w:tabs>
        <w:spacing w:after="120"/>
        <w:ind w:left="1440" w:firstLine="545"/>
        <w:rPr>
          <w:sz w:val="20"/>
        </w:rPr>
      </w:pPr>
      <w:r>
        <w:rPr>
          <w:sz w:val="20"/>
        </w:rPr>
        <w:t>(d)</w:t>
      </w:r>
      <w:r>
        <w:rPr>
          <w:sz w:val="20"/>
        </w:rPr>
        <w:tab/>
        <w:t>A</w:t>
      </w:r>
      <w:r w:rsidRPr="00D201E8">
        <w:rPr>
          <w:sz w:val="20"/>
        </w:rPr>
        <w:t xml:space="preserve">ppropriate action is taken in case of unacceptable emissions arising from waste management; </w:t>
      </w:r>
    </w:p>
    <w:p w:rsidR="001B7EFB" w:rsidRPr="00D201E8" w:rsidRDefault="001B7EFB" w:rsidP="001B7EFB">
      <w:pPr>
        <w:tabs>
          <w:tab w:val="left" w:pos="2552"/>
        </w:tabs>
        <w:spacing w:after="120"/>
        <w:ind w:left="1440" w:firstLine="545"/>
        <w:rPr>
          <w:sz w:val="20"/>
        </w:rPr>
      </w:pPr>
      <w:r>
        <w:rPr>
          <w:sz w:val="20"/>
        </w:rPr>
        <w:t>(e)</w:t>
      </w:r>
      <w:r>
        <w:rPr>
          <w:sz w:val="20"/>
        </w:rPr>
        <w:tab/>
        <w:t>E</w:t>
      </w:r>
      <w:r w:rsidRPr="00D201E8">
        <w:rPr>
          <w:sz w:val="20"/>
        </w:rPr>
        <w:t>mployees of waste facilities are adequately trained.</w:t>
      </w:r>
    </w:p>
    <w:p w:rsidR="001B7EFB" w:rsidRPr="00D201E8" w:rsidRDefault="001B7EFB" w:rsidP="009A372A">
      <w:pPr>
        <w:numPr>
          <w:ilvl w:val="0"/>
          <w:numId w:val="8"/>
        </w:numPr>
        <w:tabs>
          <w:tab w:val="left" w:pos="1985"/>
        </w:tabs>
        <w:spacing w:after="120"/>
        <w:ind w:left="1418" w:firstLine="0"/>
        <w:rPr>
          <w:sz w:val="20"/>
        </w:rPr>
      </w:pPr>
      <w:r w:rsidRPr="00D201E8">
        <w:rPr>
          <w:sz w:val="20"/>
        </w:rPr>
        <w:t>Prior to 2004 there was no international agreement on exactly what comprise</w:t>
      </w:r>
      <w:r w:rsidR="00DA49ED">
        <w:rPr>
          <w:sz w:val="20"/>
        </w:rPr>
        <w:t>s</w:t>
      </w:r>
      <w:r w:rsidRPr="00D201E8">
        <w:rPr>
          <w:sz w:val="20"/>
        </w:rPr>
        <w:t xml:space="preserve"> ESM. Regarding </w:t>
      </w:r>
      <w:proofErr w:type="spellStart"/>
      <w:r w:rsidRPr="00D201E8">
        <w:rPr>
          <w:sz w:val="20"/>
        </w:rPr>
        <w:t>transboundary</w:t>
      </w:r>
      <w:proofErr w:type="spellEnd"/>
      <w:r w:rsidRPr="00D201E8">
        <w:rPr>
          <w:sz w:val="20"/>
        </w:rPr>
        <w:t xml:space="preserve"> movements of both hazardous waste and non-hazardous waste</w:t>
      </w:r>
      <w:r w:rsidR="0028293F">
        <w:rPr>
          <w:sz w:val="20"/>
        </w:rPr>
        <w:t>, competent a</w:t>
      </w:r>
      <w:r w:rsidRPr="00D201E8">
        <w:rPr>
          <w:sz w:val="20"/>
        </w:rPr>
        <w:t>uthorities relied on their and others’ national registration systems, licensing and permitting systems etc., and so it was assumed that if a waste management facility was licensed, permitted or otherwise authorised that the waste would be managed in an environmentally sound manner.</w:t>
      </w:r>
    </w:p>
    <w:p w:rsidR="001B7EFB" w:rsidRPr="00D201E8" w:rsidRDefault="0028293F" w:rsidP="009A372A">
      <w:pPr>
        <w:numPr>
          <w:ilvl w:val="0"/>
          <w:numId w:val="8"/>
        </w:numPr>
        <w:tabs>
          <w:tab w:val="left" w:pos="1985"/>
        </w:tabs>
        <w:spacing w:after="120"/>
        <w:ind w:left="1418" w:firstLine="0"/>
        <w:rPr>
          <w:sz w:val="20"/>
        </w:rPr>
      </w:pPr>
      <w:r>
        <w:rPr>
          <w:sz w:val="20"/>
        </w:rPr>
        <w:t>At this time, t</w:t>
      </w:r>
      <w:r w:rsidR="001B7EFB" w:rsidRPr="00D201E8">
        <w:rPr>
          <w:sz w:val="20"/>
        </w:rPr>
        <w:t xml:space="preserve">he Technical Guidelines </w:t>
      </w:r>
      <w:r>
        <w:rPr>
          <w:sz w:val="20"/>
        </w:rPr>
        <w:t>developed under</w:t>
      </w:r>
      <w:r w:rsidR="001B7EFB" w:rsidRPr="00D201E8">
        <w:rPr>
          <w:sz w:val="20"/>
        </w:rPr>
        <w:t xml:space="preserve"> the Basel Convention (</w:t>
      </w:r>
      <w:r>
        <w:rPr>
          <w:sz w:val="20"/>
        </w:rPr>
        <w:t xml:space="preserve">see </w:t>
      </w:r>
      <w:r w:rsidR="00F4530D">
        <w:rPr>
          <w:sz w:val="20"/>
        </w:rPr>
        <w:t>Annex</w:t>
      </w:r>
      <w:r>
        <w:rPr>
          <w:sz w:val="20"/>
        </w:rPr>
        <w:t xml:space="preserve"> B) were</w:t>
      </w:r>
      <w:r w:rsidR="001B7EFB" w:rsidRPr="00D201E8">
        <w:rPr>
          <w:sz w:val="20"/>
        </w:rPr>
        <w:t xml:space="preserve"> used by some countries and facilities in assessing ESM.</w:t>
      </w:r>
    </w:p>
    <w:p w:rsidR="001B7EFB" w:rsidRPr="00967DFE" w:rsidRDefault="001B7EFB" w:rsidP="00967DFE">
      <w:pPr>
        <w:pStyle w:val="Heading2"/>
        <w:tabs>
          <w:tab w:val="right" w:pos="993"/>
          <w:tab w:val="left" w:pos="1418"/>
        </w:tabs>
        <w:rPr>
          <w:rFonts w:hAnsi="Times New Roman Bold"/>
        </w:rPr>
      </w:pPr>
      <w:r w:rsidRPr="00967DFE">
        <w:rPr>
          <w:rFonts w:hAnsi="Times New Roman Bold"/>
        </w:rPr>
        <w:tab/>
      </w:r>
      <w:bookmarkStart w:id="5" w:name="_Toc478467375"/>
      <w:r w:rsidRPr="00967DFE">
        <w:rPr>
          <w:rFonts w:hAnsi="Times New Roman Bold"/>
        </w:rPr>
        <w:t>B.</w:t>
      </w:r>
      <w:r w:rsidRPr="00967DFE">
        <w:rPr>
          <w:rFonts w:hAnsi="Times New Roman Bold"/>
        </w:rPr>
        <w:tab/>
      </w:r>
      <w:r w:rsidR="00967DFE">
        <w:rPr>
          <w:rFonts w:hAnsi="Times New Roman Bold"/>
        </w:rPr>
        <w:tab/>
      </w:r>
      <w:r w:rsidRPr="00967DFE">
        <w:rPr>
          <w:rFonts w:hAnsi="Times New Roman Bold"/>
        </w:rPr>
        <w:t>2004 to 2013</w:t>
      </w:r>
      <w:bookmarkEnd w:id="5"/>
    </w:p>
    <w:p w:rsidR="001B7EFB" w:rsidRPr="00D201E8" w:rsidRDefault="001B7EFB" w:rsidP="009A372A">
      <w:pPr>
        <w:numPr>
          <w:ilvl w:val="0"/>
          <w:numId w:val="8"/>
        </w:numPr>
        <w:tabs>
          <w:tab w:val="left" w:pos="1985"/>
        </w:tabs>
        <w:spacing w:after="120"/>
        <w:ind w:left="1418" w:firstLine="0"/>
        <w:rPr>
          <w:sz w:val="20"/>
        </w:rPr>
      </w:pPr>
      <w:r w:rsidRPr="00D201E8">
        <w:rPr>
          <w:sz w:val="20"/>
        </w:rPr>
        <w:t xml:space="preserve">As it was apparent </w:t>
      </w:r>
      <w:r>
        <w:rPr>
          <w:sz w:val="20"/>
        </w:rPr>
        <w:t xml:space="preserve">that </w:t>
      </w:r>
      <w:r w:rsidRPr="00D201E8">
        <w:rPr>
          <w:sz w:val="20"/>
        </w:rPr>
        <w:t>ESM varied greatly from one country to another</w:t>
      </w:r>
      <w:r>
        <w:rPr>
          <w:sz w:val="20"/>
        </w:rPr>
        <w:t>,</w:t>
      </w:r>
      <w:r w:rsidRPr="00D201E8">
        <w:rPr>
          <w:sz w:val="20"/>
        </w:rPr>
        <w:t xml:space="preserve"> </w:t>
      </w:r>
      <w:r>
        <w:rPr>
          <w:sz w:val="20"/>
        </w:rPr>
        <w:t>this</w:t>
      </w:r>
      <w:r w:rsidRPr="00D201E8">
        <w:rPr>
          <w:sz w:val="20"/>
        </w:rPr>
        <w:t xml:space="preserve"> led the OECD Council to adopt its </w:t>
      </w:r>
      <w:r w:rsidR="00A61479">
        <w:rPr>
          <w:sz w:val="20"/>
        </w:rPr>
        <w:t>“Recommendation on the ESM of w</w:t>
      </w:r>
      <w:r w:rsidRPr="00D201E8">
        <w:rPr>
          <w:sz w:val="20"/>
        </w:rPr>
        <w:t>aste</w:t>
      </w:r>
      <w:r w:rsidR="00A61479">
        <w:rPr>
          <w:sz w:val="20"/>
        </w:rPr>
        <w:t>”</w:t>
      </w:r>
      <w:r w:rsidRPr="00D201E8">
        <w:rPr>
          <w:sz w:val="20"/>
        </w:rPr>
        <w:t xml:space="preserve"> on 9 June 2004</w:t>
      </w:r>
      <w:r w:rsidR="00C552BA">
        <w:rPr>
          <w:rStyle w:val="FootnoteReference"/>
        </w:rPr>
        <w:footnoteReference w:id="6"/>
      </w:r>
      <w:r w:rsidRPr="00D201E8">
        <w:rPr>
          <w:sz w:val="20"/>
        </w:rPr>
        <w:t>. The Recommendation set out the scope and level of ESM for O</w:t>
      </w:r>
      <w:r w:rsidR="00A61479">
        <w:rPr>
          <w:sz w:val="20"/>
        </w:rPr>
        <w:t xml:space="preserve">ECD </w:t>
      </w:r>
      <w:r w:rsidR="00C552BA">
        <w:rPr>
          <w:sz w:val="20"/>
        </w:rPr>
        <w:t>M</w:t>
      </w:r>
      <w:r w:rsidR="00A61479">
        <w:rPr>
          <w:sz w:val="20"/>
        </w:rPr>
        <w:t>ember countries and their w</w:t>
      </w:r>
      <w:r w:rsidRPr="00D201E8">
        <w:rPr>
          <w:sz w:val="20"/>
        </w:rPr>
        <w:t xml:space="preserve">aste management facilities handling both hazardous wastes and non-hazardous wastes for both recovery and disposal. </w:t>
      </w:r>
    </w:p>
    <w:p w:rsidR="001B7EFB" w:rsidRPr="00D201E8" w:rsidRDefault="001B7EFB" w:rsidP="009A372A">
      <w:pPr>
        <w:numPr>
          <w:ilvl w:val="0"/>
          <w:numId w:val="8"/>
        </w:numPr>
        <w:tabs>
          <w:tab w:val="left" w:pos="1985"/>
        </w:tabs>
        <w:spacing w:after="120"/>
        <w:ind w:left="1418" w:firstLine="0"/>
        <w:rPr>
          <w:sz w:val="20"/>
        </w:rPr>
      </w:pPr>
      <w:r w:rsidRPr="00D201E8">
        <w:rPr>
          <w:sz w:val="20"/>
        </w:rPr>
        <w:t xml:space="preserve">The OECD Council Recommendation set out </w:t>
      </w:r>
      <w:r w:rsidR="00A61479">
        <w:rPr>
          <w:sz w:val="20"/>
        </w:rPr>
        <w:t>the following recommendations for its member countries</w:t>
      </w:r>
      <w:r w:rsidRPr="00D201E8">
        <w:rPr>
          <w:sz w:val="20"/>
        </w:rPr>
        <w:t xml:space="preserve">: </w:t>
      </w:r>
    </w:p>
    <w:p w:rsidR="001B7EFB" w:rsidRPr="00D201E8" w:rsidRDefault="001B7EFB" w:rsidP="001B7EFB">
      <w:pPr>
        <w:spacing w:after="120"/>
        <w:ind w:left="1985"/>
        <w:rPr>
          <w:sz w:val="20"/>
        </w:rPr>
      </w:pPr>
      <w:r w:rsidRPr="00D201E8">
        <w:rPr>
          <w:sz w:val="20"/>
        </w:rPr>
        <w:t>“THE COUNCIL… RECOMMENDS that Member countries elaborate and implement policies and/or programmes to ensure that waste be managed in an environmentally sound and economically efficient manner. Domestic policies and/or programmes implemented under this Recommendation shall not lead to or create unnecessary obstacles to international trade of waste destined for recovery operations.</w:t>
      </w:r>
    </w:p>
    <w:p w:rsidR="001B7EFB" w:rsidRPr="00D201E8" w:rsidRDefault="001B7EFB" w:rsidP="001B7EFB">
      <w:pPr>
        <w:spacing w:after="120"/>
        <w:ind w:left="1985"/>
        <w:rPr>
          <w:sz w:val="20"/>
        </w:rPr>
      </w:pPr>
      <w:r w:rsidRPr="00D201E8">
        <w:rPr>
          <w:sz w:val="20"/>
        </w:rPr>
        <w:t>For the purpose of this Recommendation, taking into account the size of the enterprise, especially the situation of small and medium size enterprises (SMEs), the type and amount of waste, the nature of the operation and their domestic legislation, Member countries should:…”</w:t>
      </w:r>
    </w:p>
    <w:p w:rsidR="001B7EFB" w:rsidRPr="00D201E8" w:rsidRDefault="001B7EFB" w:rsidP="001B7EFB">
      <w:pPr>
        <w:tabs>
          <w:tab w:val="left" w:pos="4395"/>
        </w:tabs>
        <w:spacing w:after="120"/>
        <w:ind w:left="2552"/>
        <w:rPr>
          <w:sz w:val="20"/>
        </w:rPr>
      </w:pPr>
      <w:r w:rsidRPr="00D201E8">
        <w:rPr>
          <w:sz w:val="20"/>
        </w:rPr>
        <w:t>Recommendation 1</w:t>
      </w:r>
      <w:r w:rsidR="00A61479">
        <w:rPr>
          <w:sz w:val="20"/>
        </w:rPr>
        <w:t>:</w:t>
      </w:r>
      <w:r>
        <w:rPr>
          <w:sz w:val="20"/>
        </w:rPr>
        <w:tab/>
      </w:r>
      <w:r w:rsidRPr="00D201E8">
        <w:rPr>
          <w:sz w:val="20"/>
        </w:rPr>
        <w:t>“have an adequate regulatory and enforcement infrastructure at an appropriate governmental level, consisting of legal requirements such as authorisations/licences/ permits, or standards;”</w:t>
      </w:r>
    </w:p>
    <w:p w:rsidR="001B7EFB" w:rsidRPr="00D201E8" w:rsidRDefault="001B7EFB" w:rsidP="001B7EFB">
      <w:pPr>
        <w:tabs>
          <w:tab w:val="left" w:pos="4395"/>
        </w:tabs>
        <w:spacing w:after="120"/>
        <w:ind w:left="2552"/>
        <w:rPr>
          <w:sz w:val="20"/>
        </w:rPr>
      </w:pPr>
      <w:r w:rsidRPr="00D201E8">
        <w:rPr>
          <w:sz w:val="20"/>
        </w:rPr>
        <w:t>Recommendation 2</w:t>
      </w:r>
      <w:r w:rsidR="00A61479">
        <w:rPr>
          <w:sz w:val="20"/>
        </w:rPr>
        <w:t>:</w:t>
      </w:r>
      <w:r w:rsidRPr="00D201E8">
        <w:rPr>
          <w:sz w:val="20"/>
        </w:rPr>
        <w:tab/>
        <w:t>“develop and implement practices and instruments that facilitate the efforts of competent authorities to monitor the implementation of the Core Performance Elements (CPEs) listed in Annex I to this Recommendation and control compliance of waste management activities with applicable national and international rules and regulations. In case of non-compliance with existing rules, prompt, adequate and effective actions should be undertaken;”</w:t>
      </w:r>
    </w:p>
    <w:p w:rsidR="001B7EFB" w:rsidRPr="00D201E8" w:rsidRDefault="001B7EFB" w:rsidP="001B7EFB">
      <w:pPr>
        <w:tabs>
          <w:tab w:val="left" w:pos="4395"/>
        </w:tabs>
        <w:spacing w:after="120"/>
        <w:ind w:left="2552"/>
        <w:rPr>
          <w:sz w:val="20"/>
        </w:rPr>
      </w:pPr>
      <w:r w:rsidRPr="00D201E8">
        <w:rPr>
          <w:sz w:val="20"/>
        </w:rPr>
        <w:t>Recommendation 3</w:t>
      </w:r>
      <w:r w:rsidR="00A61479">
        <w:rPr>
          <w:sz w:val="20"/>
        </w:rPr>
        <w:t>:</w:t>
      </w:r>
      <w:r w:rsidRPr="00D201E8">
        <w:rPr>
          <w:sz w:val="20"/>
        </w:rPr>
        <w:tab/>
        <w:t>“ensure that waste management facilities are operating according to best available techniques</w:t>
      </w:r>
      <w:r w:rsidR="00A61479">
        <w:rPr>
          <w:rStyle w:val="FootnoteReference"/>
        </w:rPr>
        <w:footnoteReference w:id="7"/>
      </w:r>
      <w:r w:rsidRPr="00D201E8">
        <w:rPr>
          <w:sz w:val="20"/>
        </w:rPr>
        <w:t xml:space="preserve"> while taking into consideration the technical, operational and economic feasibility of doing so, and work towards continually improving environmental performance;” </w:t>
      </w:r>
    </w:p>
    <w:p w:rsidR="001B7EFB" w:rsidRPr="00D201E8" w:rsidRDefault="001B7EFB" w:rsidP="001B7EFB">
      <w:pPr>
        <w:tabs>
          <w:tab w:val="left" w:pos="4395"/>
        </w:tabs>
        <w:spacing w:after="120"/>
        <w:ind w:left="2552"/>
        <w:rPr>
          <w:sz w:val="20"/>
        </w:rPr>
      </w:pPr>
      <w:r w:rsidRPr="00D201E8">
        <w:rPr>
          <w:sz w:val="20"/>
        </w:rPr>
        <w:lastRenderedPageBreak/>
        <w:t>Recommendation 4</w:t>
      </w:r>
      <w:r w:rsidR="004B5119">
        <w:rPr>
          <w:sz w:val="20"/>
        </w:rPr>
        <w:t>:</w:t>
      </w:r>
      <w:r w:rsidRPr="00D201E8">
        <w:rPr>
          <w:sz w:val="20"/>
        </w:rPr>
        <w:tab/>
        <w:t xml:space="preserve">“encourage, through appropriate measures, information exchange between producers, waste generators, waste managers and authorities, including participation in </w:t>
      </w:r>
      <w:proofErr w:type="spellStart"/>
      <w:r w:rsidRPr="00D201E8">
        <w:rPr>
          <w:sz w:val="20"/>
        </w:rPr>
        <w:t>sectoral</w:t>
      </w:r>
      <w:proofErr w:type="spellEnd"/>
      <w:r w:rsidRPr="00D201E8">
        <w:rPr>
          <w:sz w:val="20"/>
        </w:rPr>
        <w:t xml:space="preserve"> trade or industry association activities addressing these issues, in order to foster waste prevention, optimise recovery operations and minimise quantities as well as potential risk of waste destined for disposal or recovery;”</w:t>
      </w:r>
    </w:p>
    <w:p w:rsidR="001B7EFB" w:rsidRPr="00D201E8" w:rsidRDefault="001B7EFB" w:rsidP="001B7EFB">
      <w:pPr>
        <w:tabs>
          <w:tab w:val="left" w:pos="4395"/>
        </w:tabs>
        <w:spacing w:after="120"/>
        <w:ind w:left="2552"/>
        <w:rPr>
          <w:sz w:val="20"/>
        </w:rPr>
      </w:pPr>
      <w:r w:rsidRPr="00D201E8">
        <w:rPr>
          <w:sz w:val="20"/>
        </w:rPr>
        <w:t>Recommendation 5</w:t>
      </w:r>
      <w:r w:rsidR="004B5119">
        <w:rPr>
          <w:sz w:val="20"/>
        </w:rPr>
        <w:t>:</w:t>
      </w:r>
      <w:r w:rsidRPr="00D201E8">
        <w:rPr>
          <w:sz w:val="20"/>
        </w:rPr>
        <w:tab/>
        <w:t>“integrate into national policies and/or programmes the CPEs listed in Annex I to this Recommendation, which constitute the basic requirements to ensure ESM</w:t>
      </w:r>
      <w:r>
        <w:rPr>
          <w:sz w:val="20"/>
        </w:rPr>
        <w:t xml:space="preserve"> </w:t>
      </w:r>
      <w:r w:rsidRPr="00D201E8">
        <w:rPr>
          <w:sz w:val="20"/>
        </w:rPr>
        <w:t>of waste;”</w:t>
      </w:r>
    </w:p>
    <w:p w:rsidR="001B7EFB" w:rsidRPr="00D201E8" w:rsidRDefault="001B7EFB" w:rsidP="001B7EFB">
      <w:pPr>
        <w:tabs>
          <w:tab w:val="left" w:pos="4395"/>
        </w:tabs>
        <w:spacing w:after="120"/>
        <w:ind w:left="2552"/>
        <w:rPr>
          <w:sz w:val="20"/>
        </w:rPr>
      </w:pPr>
      <w:r w:rsidRPr="00D201E8">
        <w:rPr>
          <w:sz w:val="20"/>
        </w:rPr>
        <w:t>Recommendation 6</w:t>
      </w:r>
      <w:r w:rsidR="004B5119">
        <w:rPr>
          <w:sz w:val="20"/>
        </w:rPr>
        <w:t>:</w:t>
      </w:r>
      <w:r w:rsidRPr="00D201E8">
        <w:rPr>
          <w:sz w:val="20"/>
        </w:rPr>
        <w:tab/>
        <w:t>“consider incentives and/or relief measures for facilities that fulfil the CPEs listed in Annex I to this Recommendation;”</w:t>
      </w:r>
    </w:p>
    <w:p w:rsidR="001B7EFB" w:rsidRPr="00D201E8" w:rsidRDefault="001B7EFB" w:rsidP="001B7EFB">
      <w:pPr>
        <w:tabs>
          <w:tab w:val="left" w:pos="4395"/>
        </w:tabs>
        <w:spacing w:after="120"/>
        <w:ind w:left="2552"/>
        <w:rPr>
          <w:sz w:val="20"/>
        </w:rPr>
      </w:pPr>
      <w:r w:rsidRPr="00D201E8">
        <w:rPr>
          <w:sz w:val="20"/>
        </w:rPr>
        <w:t>Recommendation 7</w:t>
      </w:r>
      <w:r w:rsidR="004B5119">
        <w:rPr>
          <w:sz w:val="20"/>
        </w:rPr>
        <w:t>:</w:t>
      </w:r>
      <w:r w:rsidRPr="00D201E8">
        <w:rPr>
          <w:sz w:val="20"/>
        </w:rPr>
        <w:tab/>
        <w:t xml:space="preserve">“implement the technical guidance for ESM of waste that has been developed by the OECD and, where appropriate, work towards the implementation of other ESM guidance referred to in Annex III to this Recommendation;” </w:t>
      </w:r>
    </w:p>
    <w:p w:rsidR="001B7EFB" w:rsidRPr="00D201E8" w:rsidRDefault="001B7EFB" w:rsidP="001B7EFB">
      <w:pPr>
        <w:tabs>
          <w:tab w:val="left" w:pos="4395"/>
        </w:tabs>
        <w:spacing w:after="120"/>
        <w:ind w:left="2552"/>
        <w:rPr>
          <w:sz w:val="20"/>
        </w:rPr>
      </w:pPr>
      <w:r w:rsidRPr="00D201E8">
        <w:rPr>
          <w:sz w:val="20"/>
        </w:rPr>
        <w:t>Recommendation 8</w:t>
      </w:r>
      <w:r w:rsidR="004B5119">
        <w:rPr>
          <w:sz w:val="20"/>
        </w:rPr>
        <w:t>:</w:t>
      </w:r>
      <w:r w:rsidRPr="00D201E8">
        <w:rPr>
          <w:sz w:val="20"/>
        </w:rPr>
        <w:tab/>
        <w:t>“move towards internalisation of environmental and human health costs in waste management, taking into account the differences between hazardous and non</w:t>
      </w:r>
      <w:r>
        <w:rPr>
          <w:sz w:val="20"/>
        </w:rPr>
        <w:t>-</w:t>
      </w:r>
      <w:r w:rsidRPr="00D201E8">
        <w:rPr>
          <w:sz w:val="20"/>
        </w:rPr>
        <w:t>hazardous waste;”</w:t>
      </w:r>
    </w:p>
    <w:p w:rsidR="001B7EFB" w:rsidRPr="00D201E8" w:rsidRDefault="001B7EFB" w:rsidP="001B7EFB">
      <w:pPr>
        <w:tabs>
          <w:tab w:val="left" w:pos="4395"/>
        </w:tabs>
        <w:spacing w:after="120"/>
        <w:ind w:left="2552"/>
        <w:rPr>
          <w:sz w:val="20"/>
        </w:rPr>
      </w:pPr>
      <w:r w:rsidRPr="00D201E8">
        <w:rPr>
          <w:sz w:val="20"/>
        </w:rPr>
        <w:t>Recommendation 9</w:t>
      </w:r>
      <w:r w:rsidR="004B5119">
        <w:rPr>
          <w:sz w:val="20"/>
        </w:rPr>
        <w:t>:</w:t>
      </w:r>
      <w:r w:rsidRPr="00D201E8">
        <w:rPr>
          <w:sz w:val="20"/>
        </w:rPr>
        <w:tab/>
        <w:t>“provide incentives to take part in environmentally sound recycling schemes;”</w:t>
      </w:r>
    </w:p>
    <w:p w:rsidR="001B7EFB" w:rsidRPr="00D201E8" w:rsidRDefault="001B7EFB" w:rsidP="001B7EFB">
      <w:pPr>
        <w:tabs>
          <w:tab w:val="left" w:pos="4395"/>
        </w:tabs>
        <w:spacing w:after="120"/>
        <w:ind w:left="2552"/>
        <w:rPr>
          <w:sz w:val="20"/>
        </w:rPr>
      </w:pPr>
      <w:r w:rsidRPr="00D201E8">
        <w:rPr>
          <w:sz w:val="20"/>
        </w:rPr>
        <w:t>Recommendation 10</w:t>
      </w:r>
      <w:r w:rsidR="004B5119">
        <w:rPr>
          <w:sz w:val="20"/>
        </w:rPr>
        <w:t>:</w:t>
      </w:r>
      <w:r w:rsidRPr="00D201E8">
        <w:rPr>
          <w:sz w:val="20"/>
        </w:rPr>
        <w:tab/>
        <w:t>“encourage the development and implementation of an environmental liability regime for facilities that carry out risky or potentially risky activities to ensure adequate measures upon definite cessation of activities and to prevent environmental damage”.</w:t>
      </w:r>
    </w:p>
    <w:p w:rsidR="001B7EFB" w:rsidRPr="00D201E8" w:rsidRDefault="001B7EFB" w:rsidP="001B7EFB">
      <w:pPr>
        <w:tabs>
          <w:tab w:val="left" w:pos="4395"/>
        </w:tabs>
        <w:spacing w:after="120"/>
        <w:ind w:left="2552"/>
        <w:rPr>
          <w:sz w:val="20"/>
        </w:rPr>
      </w:pPr>
      <w:r w:rsidRPr="00D201E8">
        <w:rPr>
          <w:sz w:val="20"/>
        </w:rPr>
        <w:t>Recommendation 11</w:t>
      </w:r>
      <w:r w:rsidR="004B5119">
        <w:rPr>
          <w:sz w:val="20"/>
        </w:rPr>
        <w:t>:</w:t>
      </w:r>
      <w:r w:rsidRPr="00D201E8">
        <w:rPr>
          <w:sz w:val="20"/>
        </w:rPr>
        <w:tab/>
        <w:t>“ensure that the implementation of the CPEs listed in Annex I to this Recommendation does not discourage recycling in Member countries, recognising, in particular, the flexibility appropriate for each Member country to increase the rates of environmentally sound recovery of low risk waste”.</w:t>
      </w:r>
    </w:p>
    <w:p w:rsidR="001B7EFB" w:rsidRPr="00D201E8" w:rsidRDefault="001B7EFB" w:rsidP="009A372A">
      <w:pPr>
        <w:numPr>
          <w:ilvl w:val="0"/>
          <w:numId w:val="8"/>
        </w:numPr>
        <w:tabs>
          <w:tab w:val="left" w:pos="1985"/>
        </w:tabs>
        <w:spacing w:after="120"/>
        <w:ind w:left="1418" w:firstLine="0"/>
        <w:rPr>
          <w:sz w:val="20"/>
        </w:rPr>
      </w:pPr>
      <w:r w:rsidRPr="00D201E8">
        <w:rPr>
          <w:sz w:val="20"/>
        </w:rPr>
        <w:t xml:space="preserve">The OECD Council Recommendation set out six CPEs that a facility should comply with to be considered </w:t>
      </w:r>
      <w:r>
        <w:rPr>
          <w:sz w:val="20"/>
        </w:rPr>
        <w:t>environmentally sound</w:t>
      </w:r>
      <w:r w:rsidRPr="00D201E8">
        <w:rPr>
          <w:sz w:val="20"/>
        </w:rPr>
        <w:t>. These are:</w:t>
      </w:r>
    </w:p>
    <w:p w:rsidR="001B7EFB" w:rsidRPr="00D201E8" w:rsidRDefault="001B7EFB" w:rsidP="001B7EFB">
      <w:pPr>
        <w:tabs>
          <w:tab w:val="left" w:pos="2552"/>
        </w:tabs>
        <w:spacing w:after="120"/>
        <w:ind w:left="1440" w:firstLine="545"/>
        <w:rPr>
          <w:sz w:val="20"/>
        </w:rPr>
      </w:pPr>
      <w:r>
        <w:rPr>
          <w:sz w:val="20"/>
        </w:rPr>
        <w:t>(a)</w:t>
      </w:r>
      <w:r>
        <w:rPr>
          <w:sz w:val="20"/>
        </w:rPr>
        <w:tab/>
      </w:r>
      <w:r w:rsidRPr="00D201E8">
        <w:rPr>
          <w:sz w:val="20"/>
        </w:rPr>
        <w:t xml:space="preserve">The </w:t>
      </w:r>
      <w:r>
        <w:rPr>
          <w:sz w:val="20"/>
        </w:rPr>
        <w:t>f</w:t>
      </w:r>
      <w:r w:rsidRPr="00D201E8">
        <w:rPr>
          <w:sz w:val="20"/>
        </w:rPr>
        <w:t xml:space="preserve">acility </w:t>
      </w:r>
      <w:r>
        <w:rPr>
          <w:sz w:val="20"/>
        </w:rPr>
        <w:t>s</w:t>
      </w:r>
      <w:r w:rsidRPr="00D201E8">
        <w:rPr>
          <w:sz w:val="20"/>
        </w:rPr>
        <w:t xml:space="preserve">hould </w:t>
      </w:r>
      <w:r>
        <w:rPr>
          <w:sz w:val="20"/>
        </w:rPr>
        <w:t>h</w:t>
      </w:r>
      <w:r w:rsidRPr="00D201E8">
        <w:rPr>
          <w:sz w:val="20"/>
        </w:rPr>
        <w:t xml:space="preserve">ave an </w:t>
      </w:r>
      <w:r>
        <w:rPr>
          <w:sz w:val="20"/>
        </w:rPr>
        <w:t>a</w:t>
      </w:r>
      <w:r w:rsidRPr="00D201E8">
        <w:rPr>
          <w:sz w:val="20"/>
        </w:rPr>
        <w:t xml:space="preserve">pplicable Environmental Management System (EMS) in </w:t>
      </w:r>
      <w:r>
        <w:rPr>
          <w:sz w:val="20"/>
        </w:rPr>
        <w:t>p</w:t>
      </w:r>
      <w:r w:rsidRPr="00D201E8">
        <w:rPr>
          <w:sz w:val="20"/>
        </w:rPr>
        <w:t>lace</w:t>
      </w:r>
      <w:r>
        <w:rPr>
          <w:sz w:val="20"/>
        </w:rPr>
        <w:t>;</w:t>
      </w:r>
    </w:p>
    <w:p w:rsidR="001B7EFB" w:rsidRPr="00D201E8" w:rsidRDefault="001B7EFB" w:rsidP="001B7EFB">
      <w:pPr>
        <w:tabs>
          <w:tab w:val="left" w:pos="2552"/>
        </w:tabs>
        <w:spacing w:after="120"/>
        <w:ind w:left="1440" w:firstLine="545"/>
        <w:rPr>
          <w:sz w:val="20"/>
        </w:rPr>
      </w:pPr>
      <w:r>
        <w:rPr>
          <w:sz w:val="20"/>
        </w:rPr>
        <w:t>(b)</w:t>
      </w:r>
      <w:r>
        <w:rPr>
          <w:sz w:val="20"/>
        </w:rPr>
        <w:tab/>
      </w:r>
      <w:r w:rsidRPr="00D201E8">
        <w:rPr>
          <w:sz w:val="20"/>
        </w:rPr>
        <w:t xml:space="preserve">The </w:t>
      </w:r>
      <w:r>
        <w:rPr>
          <w:sz w:val="20"/>
        </w:rPr>
        <w:t>f</w:t>
      </w:r>
      <w:r w:rsidRPr="00D201E8">
        <w:rPr>
          <w:sz w:val="20"/>
        </w:rPr>
        <w:t xml:space="preserve">acility </w:t>
      </w:r>
      <w:r>
        <w:rPr>
          <w:sz w:val="20"/>
        </w:rPr>
        <w:t>s</w:t>
      </w:r>
      <w:r w:rsidRPr="00D201E8">
        <w:rPr>
          <w:sz w:val="20"/>
        </w:rPr>
        <w:t xml:space="preserve">hould </w:t>
      </w:r>
      <w:r>
        <w:rPr>
          <w:sz w:val="20"/>
        </w:rPr>
        <w:t>t</w:t>
      </w:r>
      <w:r w:rsidRPr="00D201E8">
        <w:rPr>
          <w:sz w:val="20"/>
        </w:rPr>
        <w:t xml:space="preserve">ake </w:t>
      </w:r>
      <w:r>
        <w:rPr>
          <w:sz w:val="20"/>
        </w:rPr>
        <w:t>s</w:t>
      </w:r>
      <w:r w:rsidRPr="00D201E8">
        <w:rPr>
          <w:sz w:val="20"/>
        </w:rPr>
        <w:t xml:space="preserve">ufficient </w:t>
      </w:r>
      <w:r>
        <w:rPr>
          <w:sz w:val="20"/>
        </w:rPr>
        <w:t>m</w:t>
      </w:r>
      <w:r w:rsidRPr="00D201E8">
        <w:rPr>
          <w:sz w:val="20"/>
        </w:rPr>
        <w:t xml:space="preserve">easures to </w:t>
      </w:r>
      <w:r>
        <w:rPr>
          <w:sz w:val="20"/>
        </w:rPr>
        <w:t>s</w:t>
      </w:r>
      <w:r w:rsidRPr="00D201E8">
        <w:rPr>
          <w:sz w:val="20"/>
        </w:rPr>
        <w:t xml:space="preserve">afeguard </w:t>
      </w:r>
      <w:r>
        <w:rPr>
          <w:sz w:val="20"/>
        </w:rPr>
        <w:t>o</w:t>
      </w:r>
      <w:r w:rsidRPr="00D201E8">
        <w:rPr>
          <w:sz w:val="20"/>
        </w:rPr>
        <w:t xml:space="preserve">ccupational and </w:t>
      </w:r>
      <w:r>
        <w:rPr>
          <w:sz w:val="20"/>
        </w:rPr>
        <w:t>e</w:t>
      </w:r>
      <w:r w:rsidRPr="00D201E8">
        <w:rPr>
          <w:sz w:val="20"/>
        </w:rPr>
        <w:t xml:space="preserve">nvironmental </w:t>
      </w:r>
      <w:r>
        <w:rPr>
          <w:sz w:val="20"/>
        </w:rPr>
        <w:t>h</w:t>
      </w:r>
      <w:r w:rsidRPr="00D201E8">
        <w:rPr>
          <w:sz w:val="20"/>
        </w:rPr>
        <w:t xml:space="preserve">ealth and </w:t>
      </w:r>
      <w:r>
        <w:rPr>
          <w:sz w:val="20"/>
        </w:rPr>
        <w:t>s</w:t>
      </w:r>
      <w:r w:rsidRPr="00D201E8">
        <w:rPr>
          <w:sz w:val="20"/>
        </w:rPr>
        <w:t>afety</w:t>
      </w:r>
      <w:r>
        <w:rPr>
          <w:sz w:val="20"/>
        </w:rPr>
        <w:t>;</w:t>
      </w:r>
    </w:p>
    <w:p w:rsidR="001B7EFB" w:rsidRPr="00D201E8" w:rsidRDefault="001B7EFB" w:rsidP="001B7EFB">
      <w:pPr>
        <w:tabs>
          <w:tab w:val="left" w:pos="2552"/>
        </w:tabs>
        <w:spacing w:after="120"/>
        <w:ind w:left="1440" w:firstLine="545"/>
        <w:rPr>
          <w:sz w:val="20"/>
        </w:rPr>
      </w:pPr>
      <w:r>
        <w:rPr>
          <w:sz w:val="20"/>
        </w:rPr>
        <w:t>(c)</w:t>
      </w:r>
      <w:r>
        <w:rPr>
          <w:sz w:val="20"/>
        </w:rPr>
        <w:tab/>
      </w:r>
      <w:r w:rsidRPr="00D201E8">
        <w:rPr>
          <w:sz w:val="20"/>
        </w:rPr>
        <w:t xml:space="preserve">The </w:t>
      </w:r>
      <w:r>
        <w:rPr>
          <w:sz w:val="20"/>
        </w:rPr>
        <w:t>f</w:t>
      </w:r>
      <w:r w:rsidRPr="00D201E8">
        <w:rPr>
          <w:sz w:val="20"/>
        </w:rPr>
        <w:t xml:space="preserve">acility </w:t>
      </w:r>
      <w:r>
        <w:rPr>
          <w:sz w:val="20"/>
        </w:rPr>
        <w:t>s</w:t>
      </w:r>
      <w:r w:rsidRPr="00D201E8">
        <w:rPr>
          <w:sz w:val="20"/>
        </w:rPr>
        <w:t xml:space="preserve">hould </w:t>
      </w:r>
      <w:r>
        <w:rPr>
          <w:sz w:val="20"/>
        </w:rPr>
        <w:t>h</w:t>
      </w:r>
      <w:r w:rsidRPr="00D201E8">
        <w:rPr>
          <w:sz w:val="20"/>
        </w:rPr>
        <w:t xml:space="preserve">ave an </w:t>
      </w:r>
      <w:r>
        <w:rPr>
          <w:sz w:val="20"/>
        </w:rPr>
        <w:t>a</w:t>
      </w:r>
      <w:r w:rsidRPr="00D201E8">
        <w:rPr>
          <w:sz w:val="20"/>
        </w:rPr>
        <w:t xml:space="preserve">dequate </w:t>
      </w:r>
      <w:r>
        <w:rPr>
          <w:sz w:val="20"/>
        </w:rPr>
        <w:t>m</w:t>
      </w:r>
      <w:r w:rsidRPr="00D201E8">
        <w:rPr>
          <w:sz w:val="20"/>
        </w:rPr>
        <w:t xml:space="preserve">onitoring, </w:t>
      </w:r>
      <w:r>
        <w:rPr>
          <w:sz w:val="20"/>
        </w:rPr>
        <w:t>r</w:t>
      </w:r>
      <w:r w:rsidRPr="00D201E8">
        <w:rPr>
          <w:sz w:val="20"/>
        </w:rPr>
        <w:t xml:space="preserve">ecording and </w:t>
      </w:r>
      <w:r>
        <w:rPr>
          <w:sz w:val="20"/>
        </w:rPr>
        <w:t>r</w:t>
      </w:r>
      <w:r w:rsidRPr="00D201E8">
        <w:rPr>
          <w:sz w:val="20"/>
        </w:rPr>
        <w:t xml:space="preserve">eporting </w:t>
      </w:r>
      <w:r>
        <w:rPr>
          <w:sz w:val="20"/>
        </w:rPr>
        <w:t>p</w:t>
      </w:r>
      <w:r w:rsidRPr="00D201E8">
        <w:rPr>
          <w:sz w:val="20"/>
        </w:rPr>
        <w:t>rogramme</w:t>
      </w:r>
      <w:r>
        <w:rPr>
          <w:sz w:val="20"/>
        </w:rPr>
        <w:t>;</w:t>
      </w:r>
    </w:p>
    <w:p w:rsidR="001B7EFB" w:rsidRPr="00D201E8" w:rsidRDefault="001B7EFB" w:rsidP="001B7EFB">
      <w:pPr>
        <w:tabs>
          <w:tab w:val="left" w:pos="2552"/>
        </w:tabs>
        <w:spacing w:after="120"/>
        <w:ind w:left="1440" w:firstLine="545"/>
        <w:rPr>
          <w:sz w:val="20"/>
        </w:rPr>
      </w:pPr>
      <w:r>
        <w:rPr>
          <w:sz w:val="20"/>
        </w:rPr>
        <w:t>(d)</w:t>
      </w:r>
      <w:r>
        <w:rPr>
          <w:sz w:val="20"/>
        </w:rPr>
        <w:tab/>
      </w:r>
      <w:r w:rsidRPr="00D201E8">
        <w:rPr>
          <w:sz w:val="20"/>
        </w:rPr>
        <w:t xml:space="preserve">The </w:t>
      </w:r>
      <w:r>
        <w:rPr>
          <w:sz w:val="20"/>
        </w:rPr>
        <w:t>f</w:t>
      </w:r>
      <w:r w:rsidRPr="00D201E8">
        <w:rPr>
          <w:sz w:val="20"/>
        </w:rPr>
        <w:t xml:space="preserve">acility </w:t>
      </w:r>
      <w:r>
        <w:rPr>
          <w:sz w:val="20"/>
        </w:rPr>
        <w:t>s</w:t>
      </w:r>
      <w:r w:rsidRPr="00D201E8">
        <w:rPr>
          <w:sz w:val="20"/>
        </w:rPr>
        <w:t xml:space="preserve">hould </w:t>
      </w:r>
      <w:r>
        <w:rPr>
          <w:sz w:val="20"/>
        </w:rPr>
        <w:t>h</w:t>
      </w:r>
      <w:r w:rsidRPr="00D201E8">
        <w:rPr>
          <w:sz w:val="20"/>
        </w:rPr>
        <w:t xml:space="preserve">ave an </w:t>
      </w:r>
      <w:r>
        <w:rPr>
          <w:sz w:val="20"/>
        </w:rPr>
        <w:t>a</w:t>
      </w:r>
      <w:r w:rsidRPr="00D201E8">
        <w:rPr>
          <w:sz w:val="20"/>
        </w:rPr>
        <w:t xml:space="preserve">ppropriate and </w:t>
      </w:r>
      <w:r>
        <w:rPr>
          <w:sz w:val="20"/>
        </w:rPr>
        <w:t>a</w:t>
      </w:r>
      <w:r w:rsidRPr="00D201E8">
        <w:rPr>
          <w:sz w:val="20"/>
        </w:rPr>
        <w:t xml:space="preserve">dequate </w:t>
      </w:r>
      <w:r>
        <w:rPr>
          <w:sz w:val="20"/>
        </w:rPr>
        <w:t>t</w:t>
      </w:r>
      <w:r w:rsidRPr="00D201E8">
        <w:rPr>
          <w:sz w:val="20"/>
        </w:rPr>
        <w:t xml:space="preserve">raining </w:t>
      </w:r>
      <w:r>
        <w:rPr>
          <w:sz w:val="20"/>
        </w:rPr>
        <w:t>p</w:t>
      </w:r>
      <w:r w:rsidRPr="00D201E8">
        <w:rPr>
          <w:sz w:val="20"/>
        </w:rPr>
        <w:t xml:space="preserve">rogramme for the </w:t>
      </w:r>
      <w:r>
        <w:rPr>
          <w:sz w:val="20"/>
        </w:rPr>
        <w:t>p</w:t>
      </w:r>
      <w:r w:rsidRPr="00D201E8">
        <w:rPr>
          <w:sz w:val="20"/>
        </w:rPr>
        <w:t>ersonnel</w:t>
      </w:r>
      <w:r>
        <w:rPr>
          <w:sz w:val="20"/>
        </w:rPr>
        <w:t>;</w:t>
      </w:r>
    </w:p>
    <w:p w:rsidR="001B7EFB" w:rsidRPr="00D201E8" w:rsidRDefault="001B7EFB" w:rsidP="001B7EFB">
      <w:pPr>
        <w:tabs>
          <w:tab w:val="left" w:pos="2552"/>
        </w:tabs>
        <w:spacing w:after="120"/>
        <w:ind w:left="1440" w:firstLine="545"/>
        <w:rPr>
          <w:sz w:val="20"/>
        </w:rPr>
      </w:pPr>
      <w:r>
        <w:rPr>
          <w:sz w:val="20"/>
        </w:rPr>
        <w:t>(e)</w:t>
      </w:r>
      <w:r>
        <w:rPr>
          <w:sz w:val="20"/>
        </w:rPr>
        <w:tab/>
      </w:r>
      <w:r w:rsidRPr="00D201E8">
        <w:rPr>
          <w:sz w:val="20"/>
        </w:rPr>
        <w:t xml:space="preserve">The </w:t>
      </w:r>
      <w:r>
        <w:rPr>
          <w:sz w:val="20"/>
        </w:rPr>
        <w:t>f</w:t>
      </w:r>
      <w:r w:rsidRPr="00D201E8">
        <w:rPr>
          <w:sz w:val="20"/>
        </w:rPr>
        <w:t xml:space="preserve">acility </w:t>
      </w:r>
      <w:r>
        <w:rPr>
          <w:sz w:val="20"/>
        </w:rPr>
        <w:t>s</w:t>
      </w:r>
      <w:r w:rsidRPr="00D201E8">
        <w:rPr>
          <w:sz w:val="20"/>
        </w:rPr>
        <w:t xml:space="preserve">hould </w:t>
      </w:r>
      <w:r>
        <w:rPr>
          <w:sz w:val="20"/>
        </w:rPr>
        <w:t>h</w:t>
      </w:r>
      <w:r w:rsidRPr="00D201E8">
        <w:rPr>
          <w:sz w:val="20"/>
        </w:rPr>
        <w:t xml:space="preserve">ave an </w:t>
      </w:r>
      <w:r>
        <w:rPr>
          <w:sz w:val="20"/>
        </w:rPr>
        <w:t>a</w:t>
      </w:r>
      <w:r w:rsidRPr="00D201E8">
        <w:rPr>
          <w:sz w:val="20"/>
        </w:rPr>
        <w:t xml:space="preserve">dequate </w:t>
      </w:r>
      <w:r>
        <w:rPr>
          <w:sz w:val="20"/>
        </w:rPr>
        <w:t>e</w:t>
      </w:r>
      <w:r w:rsidRPr="00D201E8">
        <w:rPr>
          <w:sz w:val="20"/>
        </w:rPr>
        <w:t xml:space="preserve">mergency </w:t>
      </w:r>
      <w:r>
        <w:rPr>
          <w:sz w:val="20"/>
        </w:rPr>
        <w:t>p</w:t>
      </w:r>
      <w:r w:rsidRPr="00D201E8">
        <w:rPr>
          <w:sz w:val="20"/>
        </w:rPr>
        <w:t>lan</w:t>
      </w:r>
      <w:r>
        <w:rPr>
          <w:sz w:val="20"/>
        </w:rPr>
        <w:t>;</w:t>
      </w:r>
    </w:p>
    <w:p w:rsidR="001B7EFB" w:rsidRPr="00D201E8" w:rsidRDefault="001B7EFB" w:rsidP="001B7EFB">
      <w:pPr>
        <w:tabs>
          <w:tab w:val="left" w:pos="2552"/>
        </w:tabs>
        <w:spacing w:after="120"/>
        <w:ind w:left="1440" w:firstLine="545"/>
        <w:rPr>
          <w:sz w:val="20"/>
        </w:rPr>
      </w:pPr>
      <w:r>
        <w:rPr>
          <w:sz w:val="20"/>
        </w:rPr>
        <w:t>(f)</w:t>
      </w:r>
      <w:r>
        <w:rPr>
          <w:sz w:val="20"/>
        </w:rPr>
        <w:tab/>
      </w:r>
      <w:r w:rsidRPr="00D201E8">
        <w:rPr>
          <w:sz w:val="20"/>
        </w:rPr>
        <w:t xml:space="preserve">The </w:t>
      </w:r>
      <w:r>
        <w:rPr>
          <w:sz w:val="20"/>
        </w:rPr>
        <w:t>f</w:t>
      </w:r>
      <w:r w:rsidRPr="00D201E8">
        <w:rPr>
          <w:sz w:val="20"/>
        </w:rPr>
        <w:t xml:space="preserve">acility </w:t>
      </w:r>
      <w:r>
        <w:rPr>
          <w:sz w:val="20"/>
        </w:rPr>
        <w:t>s</w:t>
      </w:r>
      <w:r w:rsidRPr="00D201E8">
        <w:rPr>
          <w:sz w:val="20"/>
        </w:rPr>
        <w:t xml:space="preserve">hould </w:t>
      </w:r>
      <w:r>
        <w:rPr>
          <w:sz w:val="20"/>
        </w:rPr>
        <w:t>h</w:t>
      </w:r>
      <w:r w:rsidRPr="00D201E8">
        <w:rPr>
          <w:sz w:val="20"/>
        </w:rPr>
        <w:t xml:space="preserve">ave an </w:t>
      </w:r>
      <w:r>
        <w:rPr>
          <w:sz w:val="20"/>
        </w:rPr>
        <w:t>a</w:t>
      </w:r>
      <w:r w:rsidRPr="00D201E8">
        <w:rPr>
          <w:sz w:val="20"/>
        </w:rPr>
        <w:t xml:space="preserve">dequate </w:t>
      </w:r>
      <w:r>
        <w:rPr>
          <w:sz w:val="20"/>
        </w:rPr>
        <w:t>p</w:t>
      </w:r>
      <w:r w:rsidRPr="00D201E8">
        <w:rPr>
          <w:sz w:val="20"/>
        </w:rPr>
        <w:t xml:space="preserve">lan for </w:t>
      </w:r>
      <w:r>
        <w:rPr>
          <w:sz w:val="20"/>
        </w:rPr>
        <w:t>c</w:t>
      </w:r>
      <w:r w:rsidRPr="00D201E8">
        <w:rPr>
          <w:sz w:val="20"/>
        </w:rPr>
        <w:t xml:space="preserve">losure and </w:t>
      </w:r>
      <w:r>
        <w:rPr>
          <w:sz w:val="20"/>
        </w:rPr>
        <w:t>a</w:t>
      </w:r>
      <w:r w:rsidRPr="00D201E8">
        <w:rPr>
          <w:sz w:val="20"/>
        </w:rPr>
        <w:t>fter-care</w:t>
      </w:r>
      <w:r>
        <w:rPr>
          <w:sz w:val="20"/>
        </w:rPr>
        <w:t>.</w:t>
      </w:r>
    </w:p>
    <w:p w:rsidR="001B7EFB" w:rsidRPr="00967DFE" w:rsidRDefault="001B7EFB" w:rsidP="00967DFE">
      <w:pPr>
        <w:pStyle w:val="Heading2"/>
        <w:tabs>
          <w:tab w:val="right" w:pos="993"/>
          <w:tab w:val="left" w:pos="1418"/>
        </w:tabs>
        <w:rPr>
          <w:rFonts w:hAnsi="Times New Roman Bold"/>
        </w:rPr>
      </w:pPr>
      <w:r w:rsidRPr="00967DFE">
        <w:rPr>
          <w:rFonts w:hAnsi="Times New Roman Bold"/>
        </w:rPr>
        <w:tab/>
      </w:r>
      <w:bookmarkStart w:id="6" w:name="_Toc478467376"/>
      <w:r w:rsidRPr="00967DFE">
        <w:rPr>
          <w:rFonts w:hAnsi="Times New Roman Bold"/>
        </w:rPr>
        <w:t>C.</w:t>
      </w:r>
      <w:r w:rsidRPr="00967DFE">
        <w:rPr>
          <w:rFonts w:hAnsi="Times New Roman Bold"/>
        </w:rPr>
        <w:tab/>
      </w:r>
      <w:r w:rsidR="00967DFE">
        <w:rPr>
          <w:rFonts w:hAnsi="Times New Roman Bold"/>
        </w:rPr>
        <w:tab/>
      </w:r>
      <w:r w:rsidRPr="00967DFE">
        <w:rPr>
          <w:rFonts w:hAnsi="Times New Roman Bold"/>
        </w:rPr>
        <w:t>From 2013 (COP-11)</w:t>
      </w:r>
      <w:bookmarkEnd w:id="6"/>
    </w:p>
    <w:p w:rsidR="001B7EFB" w:rsidRPr="00D201E8" w:rsidRDefault="001B7EFB" w:rsidP="009A372A">
      <w:pPr>
        <w:numPr>
          <w:ilvl w:val="0"/>
          <w:numId w:val="8"/>
        </w:numPr>
        <w:tabs>
          <w:tab w:val="left" w:pos="1985"/>
        </w:tabs>
        <w:spacing w:after="120"/>
        <w:ind w:left="1418" w:firstLine="0"/>
        <w:rPr>
          <w:sz w:val="20"/>
        </w:rPr>
      </w:pPr>
      <w:r w:rsidRPr="00D201E8">
        <w:rPr>
          <w:sz w:val="20"/>
        </w:rPr>
        <w:t xml:space="preserve">The Conference of the Parties </w:t>
      </w:r>
      <w:r w:rsidR="009E1267">
        <w:rPr>
          <w:sz w:val="20"/>
        </w:rPr>
        <w:t>to the Basel Convention at its eleventh m</w:t>
      </w:r>
      <w:r w:rsidRPr="00D201E8">
        <w:rPr>
          <w:sz w:val="20"/>
        </w:rPr>
        <w:t>eeting adopted the “Framework for the Environmentally Sound Management of Haz</w:t>
      </w:r>
      <w:r w:rsidR="009E1267">
        <w:rPr>
          <w:sz w:val="20"/>
        </w:rPr>
        <w:t>ardous Wastes and Other Wastes” (the ESM Framework)</w:t>
      </w:r>
      <w:r w:rsidR="00C552BA">
        <w:rPr>
          <w:rStyle w:val="FootnoteReference"/>
        </w:rPr>
        <w:footnoteReference w:id="8"/>
      </w:r>
      <w:r w:rsidR="009E1267">
        <w:rPr>
          <w:sz w:val="20"/>
        </w:rPr>
        <w:t>.</w:t>
      </w:r>
    </w:p>
    <w:p w:rsidR="001B7EFB" w:rsidRPr="00D201E8" w:rsidRDefault="001B7EFB" w:rsidP="009A372A">
      <w:pPr>
        <w:numPr>
          <w:ilvl w:val="0"/>
          <w:numId w:val="8"/>
        </w:numPr>
        <w:tabs>
          <w:tab w:val="left" w:pos="1985"/>
        </w:tabs>
        <w:spacing w:after="120"/>
        <w:ind w:left="1418" w:firstLine="0"/>
        <w:rPr>
          <w:sz w:val="20"/>
        </w:rPr>
      </w:pPr>
      <w:r w:rsidRPr="00D201E8">
        <w:rPr>
          <w:sz w:val="20"/>
        </w:rPr>
        <w:t xml:space="preserve">The </w:t>
      </w:r>
      <w:r w:rsidR="00345A40">
        <w:rPr>
          <w:sz w:val="20"/>
        </w:rPr>
        <w:t>ESM Framework sets out its scope and objectives and its g</w:t>
      </w:r>
      <w:r w:rsidRPr="00D201E8">
        <w:rPr>
          <w:sz w:val="20"/>
        </w:rPr>
        <w:t xml:space="preserve">uiding principles. The </w:t>
      </w:r>
      <w:r w:rsidR="00345A40">
        <w:rPr>
          <w:sz w:val="20"/>
        </w:rPr>
        <w:t>Framework</w:t>
      </w:r>
      <w:r w:rsidRPr="00D201E8">
        <w:rPr>
          <w:sz w:val="20"/>
        </w:rPr>
        <w:t xml:space="preserve"> goes on to elaborate </w:t>
      </w:r>
      <w:r w:rsidR="00345A40">
        <w:rPr>
          <w:sz w:val="20"/>
        </w:rPr>
        <w:t>a</w:t>
      </w:r>
      <w:r w:rsidRPr="00D201E8">
        <w:rPr>
          <w:sz w:val="20"/>
        </w:rPr>
        <w:t xml:space="preserve"> common understanding of what ESM enco</w:t>
      </w:r>
      <w:r>
        <w:rPr>
          <w:sz w:val="20"/>
        </w:rPr>
        <w:t>mpasses</w:t>
      </w:r>
      <w:r w:rsidR="00345A40">
        <w:rPr>
          <w:sz w:val="20"/>
        </w:rPr>
        <w:t>;</w:t>
      </w:r>
      <w:r>
        <w:rPr>
          <w:sz w:val="20"/>
        </w:rPr>
        <w:t xml:space="preserve"> it provides advice on t</w:t>
      </w:r>
      <w:r w:rsidRPr="00D201E8">
        <w:rPr>
          <w:sz w:val="20"/>
        </w:rPr>
        <w:t xml:space="preserve">ools to support and promote the implementation of </w:t>
      </w:r>
      <w:r w:rsidR="00345A40">
        <w:rPr>
          <w:sz w:val="20"/>
        </w:rPr>
        <w:t>ESM;</w:t>
      </w:r>
      <w:r>
        <w:rPr>
          <w:sz w:val="20"/>
        </w:rPr>
        <w:t xml:space="preserve"> and s</w:t>
      </w:r>
      <w:r w:rsidRPr="00D201E8">
        <w:rPr>
          <w:sz w:val="20"/>
        </w:rPr>
        <w:t xml:space="preserve">trategies to implement </w:t>
      </w:r>
      <w:r w:rsidR="00345A40">
        <w:rPr>
          <w:sz w:val="20"/>
        </w:rPr>
        <w:t>ESM</w:t>
      </w:r>
      <w:r>
        <w:rPr>
          <w:sz w:val="20"/>
        </w:rPr>
        <w:t>. The r</w:t>
      </w:r>
      <w:r w:rsidRPr="00D201E8">
        <w:rPr>
          <w:sz w:val="20"/>
        </w:rPr>
        <w:t>ol</w:t>
      </w:r>
      <w:r>
        <w:rPr>
          <w:sz w:val="20"/>
        </w:rPr>
        <w:t>e of key stakeholders, such as governments and o</w:t>
      </w:r>
      <w:r w:rsidRPr="00D201E8">
        <w:rPr>
          <w:sz w:val="20"/>
        </w:rPr>
        <w:t xml:space="preserve">ther </w:t>
      </w:r>
      <w:proofErr w:type="gramStart"/>
      <w:r w:rsidRPr="00D201E8">
        <w:rPr>
          <w:sz w:val="20"/>
        </w:rPr>
        <w:t>stakeholders</w:t>
      </w:r>
      <w:r w:rsidR="00345A40">
        <w:rPr>
          <w:sz w:val="20"/>
        </w:rPr>
        <w:t>,</w:t>
      </w:r>
      <w:proofErr w:type="gramEnd"/>
      <w:r w:rsidRPr="00D201E8">
        <w:rPr>
          <w:sz w:val="20"/>
        </w:rPr>
        <w:t xml:space="preserve"> is </w:t>
      </w:r>
      <w:r w:rsidR="00345A40">
        <w:rPr>
          <w:sz w:val="20"/>
        </w:rPr>
        <w:t>provided</w:t>
      </w:r>
      <w:r w:rsidRPr="00D201E8">
        <w:rPr>
          <w:sz w:val="20"/>
        </w:rPr>
        <w:t>. The ESM Fr</w:t>
      </w:r>
      <w:r>
        <w:rPr>
          <w:sz w:val="20"/>
        </w:rPr>
        <w:t>amework goes on to explain the l</w:t>
      </w:r>
      <w:r w:rsidRPr="00D201E8">
        <w:rPr>
          <w:sz w:val="20"/>
        </w:rPr>
        <w:t xml:space="preserve">inkage between ESM and </w:t>
      </w:r>
      <w:proofErr w:type="spellStart"/>
      <w:r w:rsidRPr="00D201E8">
        <w:rPr>
          <w:sz w:val="20"/>
        </w:rPr>
        <w:t>transboundary</w:t>
      </w:r>
      <w:proofErr w:type="spellEnd"/>
      <w:r w:rsidRPr="00D201E8">
        <w:rPr>
          <w:sz w:val="20"/>
        </w:rPr>
        <w:t xml:space="preserve"> movements</w:t>
      </w:r>
      <w:r w:rsidR="00345A40">
        <w:rPr>
          <w:sz w:val="20"/>
        </w:rPr>
        <w:t xml:space="preserve"> of </w:t>
      </w:r>
      <w:r w:rsidR="00345A40">
        <w:rPr>
          <w:sz w:val="20"/>
        </w:rPr>
        <w:lastRenderedPageBreak/>
        <w:t>waste</w:t>
      </w:r>
      <w:r>
        <w:rPr>
          <w:sz w:val="20"/>
        </w:rPr>
        <w:t>. It provides i</w:t>
      </w:r>
      <w:r w:rsidRPr="00D201E8">
        <w:rPr>
          <w:sz w:val="20"/>
        </w:rPr>
        <w:t>ndicators for the verification of</w:t>
      </w:r>
      <w:r>
        <w:rPr>
          <w:sz w:val="20"/>
        </w:rPr>
        <w:t xml:space="preserve"> performance, and sets out r</w:t>
      </w:r>
      <w:r w:rsidRPr="00D201E8">
        <w:rPr>
          <w:sz w:val="20"/>
        </w:rPr>
        <w:t>ecomm</w:t>
      </w:r>
      <w:r>
        <w:rPr>
          <w:sz w:val="20"/>
        </w:rPr>
        <w:t xml:space="preserve">endations. Its </w:t>
      </w:r>
      <w:r w:rsidR="00345A40">
        <w:rPr>
          <w:sz w:val="20"/>
        </w:rPr>
        <w:t>a</w:t>
      </w:r>
      <w:r>
        <w:rPr>
          <w:sz w:val="20"/>
        </w:rPr>
        <w:t>nnexes provide g</w:t>
      </w:r>
      <w:r w:rsidRPr="00D201E8">
        <w:rPr>
          <w:sz w:val="20"/>
        </w:rPr>
        <w:t>uiding principle</w:t>
      </w:r>
      <w:r>
        <w:rPr>
          <w:sz w:val="20"/>
        </w:rPr>
        <w:t>s and a non-exhaustive list of r</w:t>
      </w:r>
      <w:r w:rsidRPr="00D201E8">
        <w:rPr>
          <w:sz w:val="20"/>
        </w:rPr>
        <w:t>esource documents.</w:t>
      </w:r>
    </w:p>
    <w:p w:rsidR="001B7EFB" w:rsidRPr="00D201E8" w:rsidRDefault="001B7EFB" w:rsidP="009A372A">
      <w:pPr>
        <w:numPr>
          <w:ilvl w:val="0"/>
          <w:numId w:val="8"/>
        </w:numPr>
        <w:tabs>
          <w:tab w:val="left" w:pos="1985"/>
        </w:tabs>
        <w:spacing w:after="120"/>
        <w:ind w:left="1418" w:firstLine="0"/>
        <w:rPr>
          <w:sz w:val="20"/>
        </w:rPr>
      </w:pPr>
      <w:r w:rsidRPr="00D201E8">
        <w:rPr>
          <w:sz w:val="20"/>
        </w:rPr>
        <w:t>The ESM Framework is a more complex document tha</w:t>
      </w:r>
      <w:r>
        <w:rPr>
          <w:sz w:val="20"/>
        </w:rPr>
        <w:t>n the OECD Recommendation. For f</w:t>
      </w:r>
      <w:r w:rsidRPr="00D201E8">
        <w:rPr>
          <w:sz w:val="20"/>
        </w:rPr>
        <w:t>acilities it sets out</w:t>
      </w:r>
      <w:r>
        <w:rPr>
          <w:sz w:val="20"/>
        </w:rPr>
        <w:t xml:space="preserve"> in its Section VI the role of s</w:t>
      </w:r>
      <w:r w:rsidRPr="00D201E8">
        <w:rPr>
          <w:sz w:val="20"/>
        </w:rPr>
        <w:t>takeholders, wherein it states for:</w:t>
      </w:r>
    </w:p>
    <w:p w:rsidR="001B7EFB" w:rsidRPr="00967DFE" w:rsidRDefault="001B7EFB" w:rsidP="001B7EFB">
      <w:pPr>
        <w:pStyle w:val="Default"/>
        <w:spacing w:after="120"/>
        <w:ind w:left="1440" w:firstLine="545"/>
        <w:rPr>
          <w:rFonts w:ascii="Times New Roman" w:hAnsi="Times New Roman" w:cs="Times New Roman"/>
          <w:sz w:val="20"/>
          <w:szCs w:val="20"/>
        </w:rPr>
      </w:pPr>
      <w:r w:rsidRPr="00967DFE">
        <w:rPr>
          <w:rFonts w:ascii="Times New Roman" w:hAnsi="Times New Roman" w:cs="Times New Roman"/>
          <w:b/>
          <w:bCs/>
          <w:sz w:val="20"/>
          <w:szCs w:val="20"/>
        </w:rPr>
        <w:t xml:space="preserve">Waste management facilities </w:t>
      </w:r>
    </w:p>
    <w:p w:rsidR="001B7EFB" w:rsidRPr="00967DFE" w:rsidRDefault="001B7EFB" w:rsidP="001B7EFB">
      <w:pPr>
        <w:pStyle w:val="Default"/>
        <w:tabs>
          <w:tab w:val="left" w:pos="2552"/>
        </w:tabs>
        <w:spacing w:after="120"/>
        <w:ind w:left="1985"/>
        <w:rPr>
          <w:rFonts w:ascii="Times New Roman" w:hAnsi="Times New Roman" w:cs="Times New Roman"/>
          <w:sz w:val="20"/>
          <w:szCs w:val="20"/>
        </w:rPr>
      </w:pPr>
      <w:r w:rsidRPr="00967DFE">
        <w:rPr>
          <w:rFonts w:ascii="Times New Roman" w:hAnsi="Times New Roman" w:cs="Times New Roman"/>
          <w:sz w:val="20"/>
          <w:szCs w:val="20"/>
        </w:rPr>
        <w:t xml:space="preserve">33. </w:t>
      </w:r>
      <w:r w:rsidRPr="00967DFE">
        <w:rPr>
          <w:rFonts w:ascii="Times New Roman" w:hAnsi="Times New Roman" w:cs="Times New Roman"/>
          <w:sz w:val="20"/>
          <w:szCs w:val="20"/>
        </w:rPr>
        <w:tab/>
        <w:t xml:space="preserve">Waste management facilities that handle wastes should meet all basic requirements to ensure ESM of wastes and commit to continual improvement in their operations. </w:t>
      </w:r>
    </w:p>
    <w:p w:rsidR="001B7EFB" w:rsidRPr="00967DFE" w:rsidRDefault="001B7EFB" w:rsidP="001B7EFB">
      <w:pPr>
        <w:pStyle w:val="Default"/>
        <w:tabs>
          <w:tab w:val="left" w:pos="2552"/>
        </w:tabs>
        <w:spacing w:after="120"/>
        <w:ind w:left="1985"/>
        <w:rPr>
          <w:rFonts w:ascii="Times New Roman" w:hAnsi="Times New Roman" w:cs="Times New Roman"/>
          <w:sz w:val="20"/>
          <w:szCs w:val="20"/>
        </w:rPr>
      </w:pPr>
      <w:r w:rsidRPr="00967DFE">
        <w:rPr>
          <w:rFonts w:ascii="Times New Roman" w:hAnsi="Times New Roman" w:cs="Times New Roman"/>
          <w:sz w:val="20"/>
          <w:szCs w:val="20"/>
        </w:rPr>
        <w:t xml:space="preserve">34. </w:t>
      </w:r>
      <w:r w:rsidRPr="00967DFE">
        <w:rPr>
          <w:rFonts w:ascii="Times New Roman" w:hAnsi="Times New Roman" w:cs="Times New Roman"/>
          <w:sz w:val="20"/>
          <w:szCs w:val="20"/>
        </w:rPr>
        <w:tab/>
        <w:t xml:space="preserve">The whole life cycle of the facility should be covered, from planning and construction of a facility to its operation and subsequent dismantling or site remediation (in the event of accidents or spills during operation) or site clearance at end of life, as appropriate. As such, a facility should have the following, which should meet the approval of the competent authorities concerned: </w:t>
      </w:r>
    </w:p>
    <w:p w:rsidR="001B7EFB" w:rsidRPr="00967DFE" w:rsidRDefault="001B7EFB" w:rsidP="001B7EFB">
      <w:pPr>
        <w:pStyle w:val="Default"/>
        <w:tabs>
          <w:tab w:val="left" w:pos="3119"/>
        </w:tabs>
        <w:spacing w:after="120"/>
        <w:ind w:left="1985" w:firstLine="567"/>
        <w:rPr>
          <w:rFonts w:ascii="Times New Roman" w:hAnsi="Times New Roman" w:cs="Times New Roman"/>
          <w:sz w:val="20"/>
          <w:szCs w:val="20"/>
        </w:rPr>
      </w:pPr>
      <w:r w:rsidRPr="00967DFE">
        <w:rPr>
          <w:rFonts w:ascii="Times New Roman" w:hAnsi="Times New Roman" w:cs="Times New Roman"/>
          <w:sz w:val="20"/>
          <w:szCs w:val="20"/>
        </w:rPr>
        <w:t xml:space="preserve">(a) </w:t>
      </w:r>
      <w:r w:rsidRPr="00967DFE">
        <w:rPr>
          <w:rFonts w:ascii="Times New Roman" w:hAnsi="Times New Roman" w:cs="Times New Roman"/>
          <w:sz w:val="20"/>
          <w:szCs w:val="20"/>
        </w:rPr>
        <w:tab/>
        <w:t xml:space="preserve">Appropriate design and location of the plant, taking into account potential risks to the environment, including environmentally sensitive areas; </w:t>
      </w:r>
    </w:p>
    <w:p w:rsidR="001B7EFB" w:rsidRPr="00967DFE" w:rsidRDefault="001B7EFB" w:rsidP="001B7EFB">
      <w:pPr>
        <w:pStyle w:val="Default"/>
        <w:tabs>
          <w:tab w:val="left" w:pos="3119"/>
        </w:tabs>
        <w:spacing w:after="120"/>
        <w:ind w:left="1985" w:firstLine="567"/>
        <w:rPr>
          <w:rFonts w:ascii="Times New Roman" w:hAnsi="Times New Roman" w:cs="Times New Roman"/>
          <w:sz w:val="20"/>
          <w:szCs w:val="20"/>
        </w:rPr>
      </w:pPr>
      <w:r w:rsidRPr="00967DFE">
        <w:rPr>
          <w:rFonts w:ascii="Times New Roman" w:hAnsi="Times New Roman" w:cs="Times New Roman"/>
          <w:sz w:val="20"/>
          <w:szCs w:val="20"/>
        </w:rPr>
        <w:t xml:space="preserve">(b) </w:t>
      </w:r>
      <w:r w:rsidRPr="00967DFE">
        <w:rPr>
          <w:rFonts w:ascii="Times New Roman" w:hAnsi="Times New Roman" w:cs="Times New Roman"/>
          <w:sz w:val="20"/>
          <w:szCs w:val="20"/>
        </w:rPr>
        <w:tab/>
        <w:t xml:space="preserve">Where appropriate, an environmental and social impact assessment, which should be conducted and approved by the appropriate authorities before a facility is constructed; </w:t>
      </w:r>
    </w:p>
    <w:p w:rsidR="001B7EFB" w:rsidRPr="00967DFE" w:rsidRDefault="001B7EFB" w:rsidP="001B7EFB">
      <w:pPr>
        <w:pStyle w:val="Default"/>
        <w:tabs>
          <w:tab w:val="left" w:pos="3119"/>
        </w:tabs>
        <w:spacing w:after="120"/>
        <w:ind w:left="1985" w:firstLine="567"/>
        <w:rPr>
          <w:rFonts w:ascii="Times New Roman" w:hAnsi="Times New Roman" w:cs="Times New Roman"/>
          <w:sz w:val="20"/>
          <w:szCs w:val="20"/>
        </w:rPr>
      </w:pPr>
      <w:r w:rsidRPr="00967DFE">
        <w:rPr>
          <w:rFonts w:ascii="Times New Roman" w:hAnsi="Times New Roman" w:cs="Times New Roman"/>
          <w:sz w:val="20"/>
          <w:szCs w:val="20"/>
        </w:rPr>
        <w:t>(c)</w:t>
      </w:r>
      <w:r w:rsidRPr="00967DFE">
        <w:rPr>
          <w:rFonts w:ascii="Times New Roman" w:hAnsi="Times New Roman" w:cs="Times New Roman"/>
          <w:sz w:val="20"/>
          <w:szCs w:val="20"/>
        </w:rPr>
        <w:tab/>
        <w:t xml:space="preserve">Sufficient measures in place to safeguard OSH, including: </w:t>
      </w:r>
    </w:p>
    <w:p w:rsidR="001B7EFB" w:rsidRPr="00967DFE" w:rsidRDefault="001B7EFB" w:rsidP="001B7EFB">
      <w:pPr>
        <w:pStyle w:val="Default"/>
        <w:spacing w:after="120"/>
        <w:ind w:left="3686" w:hanging="567"/>
        <w:rPr>
          <w:rFonts w:ascii="Times New Roman" w:hAnsi="Times New Roman" w:cs="Times New Roman"/>
          <w:sz w:val="20"/>
          <w:szCs w:val="20"/>
        </w:rPr>
      </w:pPr>
      <w:r w:rsidRPr="00967DFE">
        <w:rPr>
          <w:rFonts w:ascii="Times New Roman" w:hAnsi="Times New Roman" w:cs="Times New Roman"/>
          <w:sz w:val="20"/>
          <w:szCs w:val="20"/>
        </w:rPr>
        <w:t>(</w:t>
      </w:r>
      <w:proofErr w:type="spellStart"/>
      <w:proofErr w:type="gramStart"/>
      <w:r w:rsidRPr="00967DFE">
        <w:rPr>
          <w:rFonts w:ascii="Times New Roman" w:hAnsi="Times New Roman" w:cs="Times New Roman"/>
          <w:sz w:val="20"/>
          <w:szCs w:val="20"/>
        </w:rPr>
        <w:t>i</w:t>
      </w:r>
      <w:proofErr w:type="spellEnd"/>
      <w:proofErr w:type="gramEnd"/>
      <w:r w:rsidRPr="00967DFE">
        <w:rPr>
          <w:rFonts w:ascii="Times New Roman" w:hAnsi="Times New Roman" w:cs="Times New Roman"/>
          <w:sz w:val="20"/>
          <w:szCs w:val="20"/>
        </w:rPr>
        <w:t>)</w:t>
      </w:r>
      <w:r w:rsidRPr="00967DFE">
        <w:rPr>
          <w:rFonts w:ascii="Times New Roman" w:hAnsi="Times New Roman" w:cs="Times New Roman"/>
          <w:sz w:val="20"/>
          <w:szCs w:val="20"/>
        </w:rPr>
        <w:tab/>
        <w:t xml:space="preserve">Measures which meet the requirements of national OSH legislation; </w:t>
      </w:r>
    </w:p>
    <w:p w:rsidR="001B7EFB" w:rsidRPr="00967DFE" w:rsidRDefault="001B7EFB" w:rsidP="001B7EFB">
      <w:pPr>
        <w:pStyle w:val="Default"/>
        <w:spacing w:after="120"/>
        <w:ind w:left="3686" w:hanging="567"/>
        <w:rPr>
          <w:rFonts w:ascii="Times New Roman" w:hAnsi="Times New Roman" w:cs="Times New Roman"/>
          <w:sz w:val="20"/>
          <w:szCs w:val="20"/>
        </w:rPr>
      </w:pPr>
      <w:r w:rsidRPr="00967DFE">
        <w:rPr>
          <w:rFonts w:ascii="Times New Roman" w:hAnsi="Times New Roman" w:cs="Times New Roman"/>
          <w:sz w:val="20"/>
          <w:szCs w:val="20"/>
        </w:rPr>
        <w:t xml:space="preserve">(ii) </w:t>
      </w:r>
      <w:r w:rsidRPr="00967DFE">
        <w:rPr>
          <w:rFonts w:ascii="Times New Roman" w:hAnsi="Times New Roman" w:cs="Times New Roman"/>
          <w:sz w:val="20"/>
          <w:szCs w:val="20"/>
        </w:rPr>
        <w:tab/>
        <w:t xml:space="preserve">Appropriate actions to address significant actual and/or potential risks to the health and safety of the public and of workers, based on a risk assessment, and to correct deficiencies that have been identified, including contingency arrangements in the event of plant breakdown or accidental spillages;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(iii)</w:t>
      </w:r>
      <w:r w:rsidRPr="00967DFE">
        <w:rPr>
          <w:rFonts w:ascii="Times New Roman" w:hAnsi="Times New Roman" w:cs="Times New Roman"/>
          <w:color w:val="auto"/>
          <w:sz w:val="20"/>
          <w:szCs w:val="20"/>
        </w:rPr>
        <w:tab/>
        <w:t xml:space="preserve">An appropriate and adequate training programme for personnel, to ensure employees have an appropriate level of awareness, competency and training with respect to the effective management of occupational risks, including the effective management of wastes; </w:t>
      </w:r>
    </w:p>
    <w:p w:rsidR="001B7EFB" w:rsidRPr="00967DFE" w:rsidRDefault="001B7EFB" w:rsidP="001B7EFB">
      <w:pPr>
        <w:pStyle w:val="Default"/>
        <w:tabs>
          <w:tab w:val="left" w:pos="3119"/>
        </w:tabs>
        <w:spacing w:after="120"/>
        <w:ind w:left="1985" w:firstLine="567"/>
        <w:rPr>
          <w:rFonts w:ascii="Times New Roman" w:hAnsi="Times New Roman" w:cs="Times New Roman"/>
          <w:color w:val="auto"/>
          <w:sz w:val="20"/>
          <w:szCs w:val="20"/>
        </w:rPr>
      </w:pPr>
      <w:r w:rsidRPr="00967DFE">
        <w:rPr>
          <w:rFonts w:ascii="Times New Roman" w:hAnsi="Times New Roman" w:cs="Times New Roman"/>
          <w:color w:val="auto"/>
          <w:sz w:val="20"/>
          <w:szCs w:val="20"/>
        </w:rPr>
        <w:t>(d)</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Sufficient</w:t>
      </w:r>
      <w:r w:rsidRPr="00967DFE">
        <w:rPr>
          <w:rFonts w:ascii="Times New Roman" w:hAnsi="Times New Roman" w:cs="Times New Roman"/>
          <w:color w:val="auto"/>
          <w:sz w:val="20"/>
          <w:szCs w:val="20"/>
        </w:rPr>
        <w:t xml:space="preserve"> measures in place to protect the environment, including: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w:t>
      </w:r>
      <w:proofErr w:type="spellStart"/>
      <w:r w:rsidRPr="00967DFE">
        <w:rPr>
          <w:rFonts w:ascii="Times New Roman" w:hAnsi="Times New Roman" w:cs="Times New Roman"/>
          <w:color w:val="auto"/>
          <w:sz w:val="20"/>
          <w:szCs w:val="20"/>
        </w:rPr>
        <w:t>i</w:t>
      </w:r>
      <w:proofErr w:type="spellEnd"/>
      <w:r w:rsidRPr="00967DFE">
        <w:rPr>
          <w:rFonts w:ascii="Times New Roman" w:hAnsi="Times New Roman" w:cs="Times New Roman"/>
          <w:color w:val="auto"/>
          <w:sz w:val="20"/>
          <w:szCs w:val="20"/>
        </w:rPr>
        <w:t>)</w:t>
      </w:r>
      <w:r w:rsidRPr="00967DFE">
        <w:rPr>
          <w:rFonts w:ascii="Times New Roman" w:hAnsi="Times New Roman" w:cs="Times New Roman"/>
          <w:color w:val="auto"/>
          <w:sz w:val="20"/>
          <w:szCs w:val="20"/>
        </w:rPr>
        <w:tab/>
        <w:t xml:space="preserve">Measures to control pollution taking into account emission limit values to air, water and soil;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(ii)</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Appropriate</w:t>
      </w:r>
      <w:r w:rsidRPr="00967DFE">
        <w:rPr>
          <w:rFonts w:ascii="Times New Roman" w:hAnsi="Times New Roman" w:cs="Times New Roman"/>
          <w:color w:val="auto"/>
          <w:sz w:val="20"/>
          <w:szCs w:val="20"/>
        </w:rPr>
        <w:t xml:space="preserve"> actions to address significant actual and/or potential risks to the environment, based on risk assessment, and to correct deficiencies that have been identified, including contingency arrangements in the event of plant breakdown or accidental spillages;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(iii)</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Waste</w:t>
      </w:r>
      <w:r w:rsidRPr="00967DFE">
        <w:rPr>
          <w:rFonts w:ascii="Times New Roman" w:hAnsi="Times New Roman" w:cs="Times New Roman"/>
          <w:color w:val="auto"/>
          <w:sz w:val="20"/>
          <w:szCs w:val="20"/>
        </w:rPr>
        <w:t xml:space="preserve"> acceptance and handling criteria, including measures to ensure due diligence and proper collection, sorting, pre-treatment, treatment, storage and downstream management of wastes and residuals; </w:t>
      </w:r>
    </w:p>
    <w:p w:rsidR="001B7EFB" w:rsidRPr="00967DFE" w:rsidRDefault="001B7EFB" w:rsidP="001B7EFB">
      <w:pPr>
        <w:pStyle w:val="Default"/>
        <w:tabs>
          <w:tab w:val="left" w:pos="3119"/>
        </w:tabs>
        <w:spacing w:after="120"/>
        <w:ind w:left="1985" w:firstLine="567"/>
        <w:rPr>
          <w:rFonts w:ascii="Times New Roman" w:hAnsi="Times New Roman" w:cs="Times New Roman"/>
          <w:color w:val="auto"/>
          <w:sz w:val="20"/>
          <w:szCs w:val="20"/>
        </w:rPr>
      </w:pPr>
      <w:r w:rsidRPr="00967DFE">
        <w:rPr>
          <w:rFonts w:ascii="Times New Roman" w:hAnsi="Times New Roman" w:cs="Times New Roman"/>
          <w:color w:val="auto"/>
          <w:sz w:val="20"/>
          <w:szCs w:val="20"/>
        </w:rPr>
        <w:t>(e)</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An</w:t>
      </w:r>
      <w:r w:rsidRPr="00967DFE">
        <w:rPr>
          <w:rFonts w:ascii="Times New Roman" w:hAnsi="Times New Roman" w:cs="Times New Roman"/>
          <w:color w:val="auto"/>
          <w:sz w:val="20"/>
          <w:szCs w:val="20"/>
        </w:rPr>
        <w:t xml:space="preserve"> </w:t>
      </w:r>
      <w:r w:rsidRPr="00967DFE">
        <w:rPr>
          <w:rFonts w:ascii="Times New Roman" w:hAnsi="Times New Roman" w:cs="Times New Roman"/>
          <w:sz w:val="20"/>
          <w:szCs w:val="20"/>
        </w:rPr>
        <w:t>applicable</w:t>
      </w:r>
      <w:r w:rsidRPr="00967DFE">
        <w:rPr>
          <w:rFonts w:ascii="Times New Roman" w:hAnsi="Times New Roman" w:cs="Times New Roman"/>
          <w:color w:val="auto"/>
          <w:sz w:val="20"/>
          <w:szCs w:val="20"/>
        </w:rPr>
        <w:t xml:space="preserve"> environmental management system in place, if feasible and appropriate, which: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w:t>
      </w:r>
      <w:proofErr w:type="spellStart"/>
      <w:r w:rsidRPr="00967DFE">
        <w:rPr>
          <w:rFonts w:ascii="Times New Roman" w:hAnsi="Times New Roman" w:cs="Times New Roman"/>
          <w:color w:val="auto"/>
          <w:sz w:val="20"/>
          <w:szCs w:val="20"/>
        </w:rPr>
        <w:t>i</w:t>
      </w:r>
      <w:proofErr w:type="spellEnd"/>
      <w:r w:rsidRPr="00967DFE">
        <w:rPr>
          <w:rFonts w:ascii="Times New Roman" w:hAnsi="Times New Roman" w:cs="Times New Roman"/>
          <w:color w:val="auto"/>
          <w:sz w:val="20"/>
          <w:szCs w:val="20"/>
        </w:rPr>
        <w:t>)</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Describes</w:t>
      </w:r>
      <w:r w:rsidRPr="00967DFE">
        <w:rPr>
          <w:rFonts w:ascii="Times New Roman" w:hAnsi="Times New Roman" w:cs="Times New Roman"/>
          <w:color w:val="auto"/>
          <w:sz w:val="20"/>
          <w:szCs w:val="20"/>
        </w:rPr>
        <w:t xml:space="preserve">, assesses and reviews the design, construction, operation, monitoring, management and maintenance of the facility and which will be periodically reviewed;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(ii)</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Demonstrates</w:t>
      </w:r>
      <w:r w:rsidRPr="00967DFE">
        <w:rPr>
          <w:rFonts w:ascii="Times New Roman" w:hAnsi="Times New Roman" w:cs="Times New Roman"/>
          <w:color w:val="auto"/>
          <w:sz w:val="20"/>
          <w:szCs w:val="20"/>
        </w:rPr>
        <w:t xml:space="preserve"> compliance with applicable legislation and regulations;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(iii)</w:t>
      </w:r>
      <w:r w:rsidRPr="00967DFE">
        <w:rPr>
          <w:rFonts w:ascii="Times New Roman" w:hAnsi="Times New Roman" w:cs="Times New Roman"/>
          <w:color w:val="auto"/>
          <w:sz w:val="20"/>
          <w:szCs w:val="20"/>
        </w:rPr>
        <w:tab/>
        <w:t xml:space="preserve">Demonstrates the commitment of management to integrating a systematic and consistent approach to achieve ESM in all aspects of facility operations;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(iv)</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Includes</w:t>
      </w:r>
      <w:r w:rsidRPr="00967DFE">
        <w:rPr>
          <w:rFonts w:ascii="Times New Roman" w:hAnsi="Times New Roman" w:cs="Times New Roman"/>
          <w:color w:val="auto"/>
          <w:sz w:val="20"/>
          <w:szCs w:val="20"/>
        </w:rPr>
        <w:t xml:space="preserve"> provisions to support transparency and confirm implementation of ESM by the facility, subject to appropriate protection of confidential business information, which can help assure the public that operations and activities are compatible with ESM. Such provisions may include third-party audits and inspections; </w:t>
      </w:r>
    </w:p>
    <w:p w:rsidR="001B7EFB" w:rsidRPr="00967DFE" w:rsidRDefault="001B7EFB" w:rsidP="001B7EFB">
      <w:pPr>
        <w:pStyle w:val="Default"/>
        <w:tabs>
          <w:tab w:val="left" w:pos="3119"/>
        </w:tabs>
        <w:spacing w:after="120"/>
        <w:ind w:left="1985" w:firstLine="567"/>
        <w:rPr>
          <w:rFonts w:ascii="Times New Roman" w:hAnsi="Times New Roman" w:cs="Times New Roman"/>
          <w:color w:val="auto"/>
          <w:sz w:val="20"/>
          <w:szCs w:val="20"/>
        </w:rPr>
      </w:pPr>
      <w:r w:rsidRPr="00967DFE">
        <w:rPr>
          <w:rFonts w:ascii="Times New Roman" w:hAnsi="Times New Roman" w:cs="Times New Roman"/>
          <w:color w:val="auto"/>
          <w:sz w:val="20"/>
          <w:szCs w:val="20"/>
        </w:rPr>
        <w:lastRenderedPageBreak/>
        <w:t>(f)</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An</w:t>
      </w:r>
      <w:r w:rsidRPr="00967DFE">
        <w:rPr>
          <w:rFonts w:ascii="Times New Roman" w:hAnsi="Times New Roman" w:cs="Times New Roman"/>
          <w:color w:val="auto"/>
          <w:sz w:val="20"/>
          <w:szCs w:val="20"/>
        </w:rPr>
        <w:t xml:space="preserve"> </w:t>
      </w:r>
      <w:r w:rsidRPr="00967DFE">
        <w:rPr>
          <w:rFonts w:ascii="Times New Roman" w:hAnsi="Times New Roman" w:cs="Times New Roman"/>
          <w:sz w:val="20"/>
          <w:szCs w:val="20"/>
        </w:rPr>
        <w:t>adequate</w:t>
      </w:r>
      <w:r w:rsidRPr="00967DFE">
        <w:rPr>
          <w:rFonts w:ascii="Times New Roman" w:hAnsi="Times New Roman" w:cs="Times New Roman"/>
          <w:color w:val="auto"/>
          <w:sz w:val="20"/>
          <w:szCs w:val="20"/>
        </w:rPr>
        <w:t xml:space="preserve"> and transparent monitoring, recording, reporting and evaluation programme21 which covers: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w:t>
      </w:r>
      <w:proofErr w:type="spellStart"/>
      <w:r w:rsidRPr="00967DFE">
        <w:rPr>
          <w:rFonts w:ascii="Times New Roman" w:hAnsi="Times New Roman" w:cs="Times New Roman"/>
          <w:color w:val="auto"/>
          <w:sz w:val="20"/>
          <w:szCs w:val="20"/>
        </w:rPr>
        <w:t>i</w:t>
      </w:r>
      <w:proofErr w:type="spellEnd"/>
      <w:r w:rsidRPr="00967DFE">
        <w:rPr>
          <w:rFonts w:ascii="Times New Roman" w:hAnsi="Times New Roman" w:cs="Times New Roman"/>
          <w:color w:val="auto"/>
          <w:sz w:val="20"/>
          <w:szCs w:val="20"/>
        </w:rPr>
        <w:t>)</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Relevant</w:t>
      </w:r>
      <w:r w:rsidRPr="00967DFE">
        <w:rPr>
          <w:rFonts w:ascii="Times New Roman" w:hAnsi="Times New Roman" w:cs="Times New Roman"/>
          <w:color w:val="auto"/>
          <w:sz w:val="20"/>
          <w:szCs w:val="20"/>
        </w:rPr>
        <w:t xml:space="preserve"> legal requirements, including key process parameters;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(ii)</w:t>
      </w:r>
      <w:r w:rsidRPr="00967DFE">
        <w:rPr>
          <w:rFonts w:ascii="Times New Roman" w:hAnsi="Times New Roman" w:cs="Times New Roman"/>
          <w:color w:val="auto"/>
          <w:sz w:val="20"/>
          <w:szCs w:val="20"/>
        </w:rPr>
        <w:tab/>
        <w:t xml:space="preserve">Compliance with applicable safety requirements;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r w:rsidRPr="00967DFE">
        <w:rPr>
          <w:rFonts w:ascii="Times New Roman" w:hAnsi="Times New Roman" w:cs="Times New Roman"/>
          <w:color w:val="auto"/>
          <w:sz w:val="20"/>
          <w:szCs w:val="20"/>
        </w:rPr>
        <w:t>(iii)</w:t>
      </w:r>
      <w:r w:rsidRPr="00967DFE">
        <w:rPr>
          <w:rFonts w:ascii="Times New Roman" w:hAnsi="Times New Roman" w:cs="Times New Roman"/>
          <w:color w:val="auto"/>
          <w:sz w:val="20"/>
          <w:szCs w:val="20"/>
        </w:rPr>
        <w:tab/>
        <w:t xml:space="preserve">Effluents and emissions; </w:t>
      </w:r>
    </w:p>
    <w:p w:rsidR="001B7EFB" w:rsidRPr="00967DFE" w:rsidRDefault="001B7EFB" w:rsidP="001B7EFB">
      <w:pPr>
        <w:pStyle w:val="Default"/>
        <w:spacing w:after="120"/>
        <w:ind w:left="3686" w:hanging="567"/>
        <w:rPr>
          <w:rFonts w:ascii="Times New Roman" w:hAnsi="Times New Roman" w:cs="Times New Roman"/>
          <w:color w:val="auto"/>
          <w:sz w:val="20"/>
          <w:szCs w:val="20"/>
        </w:rPr>
      </w:pPr>
      <w:proofErr w:type="gramStart"/>
      <w:r w:rsidRPr="00967DFE">
        <w:rPr>
          <w:rFonts w:ascii="Times New Roman" w:hAnsi="Times New Roman" w:cs="Times New Roman"/>
          <w:color w:val="auto"/>
          <w:sz w:val="20"/>
          <w:szCs w:val="20"/>
        </w:rPr>
        <w:t>(iv)</w:t>
      </w:r>
      <w:r w:rsidRPr="00967DFE">
        <w:rPr>
          <w:rFonts w:ascii="Times New Roman" w:hAnsi="Times New Roman" w:cs="Times New Roman"/>
          <w:color w:val="auto"/>
          <w:sz w:val="20"/>
          <w:szCs w:val="20"/>
        </w:rPr>
        <w:tab/>
        <w:t>Records</w:t>
      </w:r>
      <w:proofErr w:type="gramEnd"/>
      <w:r w:rsidRPr="00967DFE">
        <w:rPr>
          <w:rFonts w:ascii="Times New Roman" w:hAnsi="Times New Roman" w:cs="Times New Roman"/>
          <w:color w:val="auto"/>
          <w:sz w:val="20"/>
          <w:szCs w:val="20"/>
        </w:rPr>
        <w:t xml:space="preserve"> of incoming, stored and outgoing wastes; </w:t>
      </w:r>
    </w:p>
    <w:p w:rsidR="001B7EFB" w:rsidRPr="00967DFE" w:rsidRDefault="001B7EFB" w:rsidP="001B7EFB">
      <w:pPr>
        <w:pStyle w:val="Default"/>
        <w:tabs>
          <w:tab w:val="left" w:pos="3119"/>
        </w:tabs>
        <w:spacing w:after="120"/>
        <w:ind w:left="1985" w:firstLine="567"/>
        <w:rPr>
          <w:rFonts w:ascii="Times New Roman" w:hAnsi="Times New Roman" w:cs="Times New Roman"/>
          <w:color w:val="auto"/>
          <w:sz w:val="20"/>
          <w:szCs w:val="20"/>
        </w:rPr>
      </w:pPr>
      <w:r w:rsidRPr="00967DFE">
        <w:rPr>
          <w:rFonts w:ascii="Times New Roman" w:hAnsi="Times New Roman" w:cs="Times New Roman"/>
          <w:color w:val="auto"/>
          <w:sz w:val="20"/>
          <w:szCs w:val="20"/>
        </w:rPr>
        <w:t>(g)</w:t>
      </w:r>
      <w:r w:rsidRPr="00967DFE">
        <w:rPr>
          <w:rFonts w:ascii="Times New Roman" w:hAnsi="Times New Roman" w:cs="Times New Roman"/>
          <w:color w:val="auto"/>
          <w:sz w:val="20"/>
          <w:szCs w:val="20"/>
        </w:rPr>
        <w:tab/>
        <w:t xml:space="preserve">An adequate emergency plan and response mechanism; </w:t>
      </w:r>
    </w:p>
    <w:p w:rsidR="001B7EFB" w:rsidRPr="00967DFE" w:rsidRDefault="001B7EFB" w:rsidP="001B7EFB">
      <w:pPr>
        <w:pStyle w:val="Default"/>
        <w:tabs>
          <w:tab w:val="left" w:pos="3119"/>
        </w:tabs>
        <w:spacing w:after="120"/>
        <w:ind w:left="1985" w:firstLine="567"/>
        <w:rPr>
          <w:rFonts w:ascii="Times New Roman" w:hAnsi="Times New Roman" w:cs="Times New Roman"/>
          <w:color w:val="auto"/>
          <w:sz w:val="20"/>
          <w:szCs w:val="20"/>
        </w:rPr>
      </w:pPr>
      <w:r w:rsidRPr="00967DFE">
        <w:rPr>
          <w:rFonts w:ascii="Times New Roman" w:hAnsi="Times New Roman" w:cs="Times New Roman"/>
          <w:color w:val="auto"/>
          <w:sz w:val="20"/>
          <w:szCs w:val="20"/>
        </w:rPr>
        <w:t>(h)</w:t>
      </w:r>
      <w:r w:rsidRPr="00967DFE">
        <w:rPr>
          <w:rFonts w:ascii="Times New Roman" w:hAnsi="Times New Roman" w:cs="Times New Roman"/>
          <w:color w:val="auto"/>
          <w:sz w:val="20"/>
          <w:szCs w:val="20"/>
        </w:rPr>
        <w:tab/>
      </w:r>
      <w:r w:rsidRPr="00967DFE">
        <w:rPr>
          <w:rFonts w:ascii="Times New Roman" w:hAnsi="Times New Roman" w:cs="Times New Roman"/>
          <w:sz w:val="20"/>
          <w:szCs w:val="20"/>
        </w:rPr>
        <w:t>An</w:t>
      </w:r>
      <w:r w:rsidRPr="00967DFE">
        <w:rPr>
          <w:rFonts w:ascii="Times New Roman" w:hAnsi="Times New Roman" w:cs="Times New Roman"/>
          <w:color w:val="auto"/>
          <w:sz w:val="20"/>
          <w:szCs w:val="20"/>
        </w:rPr>
        <w:t xml:space="preserve"> adequate plan for closure and aftercare, which includes the identification and remediation of contaminated sites. </w:t>
      </w:r>
    </w:p>
    <w:p w:rsidR="001B7EFB" w:rsidRPr="001915D3" w:rsidRDefault="001B7EFB" w:rsidP="00967DFE">
      <w:pPr>
        <w:pStyle w:val="Heading1"/>
        <w:keepNext w:val="0"/>
        <w:tabs>
          <w:tab w:val="clear" w:pos="1247"/>
          <w:tab w:val="clear" w:pos="1814"/>
          <w:tab w:val="right" w:pos="993"/>
          <w:tab w:val="left" w:pos="1418"/>
        </w:tabs>
        <w:ind w:left="0" w:firstLine="0"/>
        <w:rPr>
          <w:b w:val="0"/>
          <w:bCs/>
          <w:lang w:val="en-US"/>
        </w:rPr>
      </w:pPr>
      <w:r>
        <w:rPr>
          <w:b w:val="0"/>
          <w:bCs/>
          <w:caps/>
          <w:lang w:val="en-US"/>
        </w:rPr>
        <w:tab/>
      </w:r>
      <w:bookmarkStart w:id="7" w:name="_Toc478467377"/>
      <w:r w:rsidRPr="00967DFE">
        <w:rPr>
          <w:bCs/>
          <w:spacing w:val="20"/>
          <w:szCs w:val="28"/>
        </w:rPr>
        <w:t>III.</w:t>
      </w:r>
      <w:r w:rsidRPr="00967DFE">
        <w:rPr>
          <w:bCs/>
          <w:spacing w:val="20"/>
          <w:szCs w:val="28"/>
        </w:rPr>
        <w:tab/>
        <w:t>Strategies to implement ESM</w:t>
      </w:r>
      <w:bookmarkEnd w:id="7"/>
    </w:p>
    <w:p w:rsidR="001B7EFB" w:rsidRPr="00D201E8" w:rsidRDefault="001B7EFB" w:rsidP="009A372A">
      <w:pPr>
        <w:numPr>
          <w:ilvl w:val="0"/>
          <w:numId w:val="8"/>
        </w:numPr>
        <w:tabs>
          <w:tab w:val="left" w:pos="1985"/>
        </w:tabs>
        <w:spacing w:after="120"/>
        <w:ind w:left="1418" w:firstLine="0"/>
        <w:rPr>
          <w:sz w:val="20"/>
        </w:rPr>
      </w:pPr>
      <w:r>
        <w:rPr>
          <w:sz w:val="20"/>
        </w:rPr>
        <w:t>The ESM Framework suggests the following</w:t>
      </w:r>
      <w:r w:rsidRPr="00D201E8">
        <w:rPr>
          <w:sz w:val="20"/>
        </w:rPr>
        <w:t xml:space="preserve"> </w:t>
      </w:r>
      <w:r>
        <w:rPr>
          <w:sz w:val="20"/>
        </w:rPr>
        <w:t>s</w:t>
      </w:r>
      <w:r w:rsidRPr="00D201E8">
        <w:rPr>
          <w:sz w:val="20"/>
        </w:rPr>
        <w:t>trategies to implement ESM:</w:t>
      </w:r>
      <w:bookmarkStart w:id="8" w:name="_Toc348088835"/>
      <w:bookmarkStart w:id="9" w:name="_Toc351117972"/>
    </w:p>
    <w:bookmarkEnd w:id="8"/>
    <w:bookmarkEnd w:id="9"/>
    <w:p w:rsidR="001B7EFB" w:rsidRPr="001915D3" w:rsidRDefault="001B7EFB" w:rsidP="001B7EFB">
      <w:pPr>
        <w:tabs>
          <w:tab w:val="left" w:pos="2552"/>
        </w:tabs>
        <w:spacing w:after="120"/>
        <w:ind w:left="1440" w:firstLine="545"/>
        <w:rPr>
          <w:sz w:val="20"/>
        </w:rPr>
      </w:pPr>
      <w:r w:rsidRPr="001915D3">
        <w:rPr>
          <w:sz w:val="20"/>
        </w:rPr>
        <w:t>(a)</w:t>
      </w:r>
      <w:r w:rsidRPr="001915D3">
        <w:rPr>
          <w:sz w:val="20"/>
        </w:rPr>
        <w:tab/>
        <w:t xml:space="preserve">Strategies should be developed to foster and enhance implementation of ESM of wastes at the international, regional, national, local and facility levels. These strategies should respect the waste management hierarchy and be compatible with the concepts presented in part V, sections </w:t>
      </w:r>
      <w:r w:rsidRPr="001915D3">
        <w:rPr>
          <w:sz w:val="20"/>
          <w:lang w:val="en-US"/>
        </w:rPr>
        <w:t>A and B</w:t>
      </w:r>
      <w:r w:rsidRPr="001915D3">
        <w:rPr>
          <w:sz w:val="20"/>
        </w:rPr>
        <w:t xml:space="preserve"> of this framework.</w:t>
      </w:r>
    </w:p>
    <w:p w:rsidR="001B7EFB" w:rsidRPr="001915D3" w:rsidRDefault="001B7EFB" w:rsidP="001B7EFB">
      <w:pPr>
        <w:tabs>
          <w:tab w:val="left" w:pos="2552"/>
        </w:tabs>
        <w:spacing w:after="120"/>
        <w:ind w:left="1440" w:firstLine="545"/>
        <w:rPr>
          <w:sz w:val="20"/>
        </w:rPr>
      </w:pPr>
      <w:r w:rsidRPr="001915D3">
        <w:rPr>
          <w:sz w:val="20"/>
        </w:rPr>
        <w:t>(b)</w:t>
      </w:r>
      <w:r w:rsidRPr="001915D3">
        <w:rPr>
          <w:sz w:val="20"/>
        </w:rPr>
        <w:tab/>
        <w:t>It is recognized that implementation of ESM is an evolutionary process that takes time to achieve and that existing provisions can vary greatly from country to country and from facility to facility. The capabilities and challenges faced by least developed countries, developing countries and countries with economies in transition need to be considered. In light of this, strategies should be devised to address variations in circumstances. To ensure effective strategy development, it is critical to systematically anticipate, identify and prioritize issues that need to be addressed by compiling baseline information on a variety of waste-related aspects such as:</w:t>
      </w:r>
    </w:p>
    <w:p w:rsidR="001B7EFB" w:rsidRPr="001915D3" w:rsidRDefault="001B7EFB" w:rsidP="001B7EFB">
      <w:pPr>
        <w:pStyle w:val="Normalnumber"/>
        <w:numPr>
          <w:ilvl w:val="0"/>
          <w:numId w:val="0"/>
        </w:numPr>
        <w:ind w:left="3119" w:hanging="567"/>
      </w:pPr>
      <w:bookmarkStart w:id="10" w:name="OLE_LINK1"/>
      <w:bookmarkStart w:id="11" w:name="OLE_LINK2"/>
      <w:r w:rsidRPr="001915D3">
        <w:rPr>
          <w:lang w:val="en-US"/>
        </w:rPr>
        <w:t>(</w:t>
      </w:r>
      <w:proofErr w:type="spellStart"/>
      <w:r w:rsidRPr="001915D3">
        <w:rPr>
          <w:lang w:val="en-US"/>
        </w:rPr>
        <w:t>i</w:t>
      </w:r>
      <w:proofErr w:type="spellEnd"/>
      <w:r w:rsidRPr="001915D3">
        <w:rPr>
          <w:lang w:val="en-US"/>
        </w:rPr>
        <w:t>)</w:t>
      </w:r>
      <w:r w:rsidRPr="001915D3">
        <w:rPr>
          <w:lang w:val="en-US"/>
        </w:rPr>
        <w:tab/>
      </w:r>
      <w:r w:rsidRPr="001915D3">
        <w:t>Types and quantities of wastes generated;</w:t>
      </w:r>
    </w:p>
    <w:p w:rsidR="001B7EFB" w:rsidRPr="001915D3" w:rsidRDefault="001B7EFB" w:rsidP="001B7EFB">
      <w:pPr>
        <w:pStyle w:val="Normalnumber"/>
        <w:numPr>
          <w:ilvl w:val="0"/>
          <w:numId w:val="0"/>
        </w:numPr>
        <w:ind w:left="3119" w:hanging="567"/>
      </w:pPr>
      <w:r w:rsidRPr="001915D3">
        <w:rPr>
          <w:lang w:val="en-US"/>
        </w:rPr>
        <w:t>(ii)</w:t>
      </w:r>
      <w:r w:rsidRPr="001915D3">
        <w:rPr>
          <w:lang w:val="en-US"/>
        </w:rPr>
        <w:tab/>
      </w:r>
      <w:r w:rsidRPr="001915D3">
        <w:t>Potential for waste prevention and minimization;</w:t>
      </w:r>
    </w:p>
    <w:p w:rsidR="001B7EFB" w:rsidRPr="001915D3" w:rsidRDefault="001B7EFB" w:rsidP="001B7EFB">
      <w:pPr>
        <w:pStyle w:val="Normalnumber"/>
        <w:numPr>
          <w:ilvl w:val="0"/>
          <w:numId w:val="0"/>
        </w:numPr>
        <w:ind w:left="3119" w:hanging="567"/>
      </w:pPr>
      <w:r w:rsidRPr="001915D3">
        <w:rPr>
          <w:lang w:val="en-US"/>
        </w:rPr>
        <w:t>(iii)</w:t>
      </w:r>
      <w:r w:rsidRPr="001915D3">
        <w:rPr>
          <w:lang w:val="en-US"/>
        </w:rPr>
        <w:tab/>
      </w:r>
      <w:r w:rsidRPr="001915D3">
        <w:t>Actual or potential risks posed to human health, worker safety and the environment;</w:t>
      </w:r>
    </w:p>
    <w:p w:rsidR="001B7EFB" w:rsidRPr="001915D3" w:rsidRDefault="001B7EFB" w:rsidP="001B7EFB">
      <w:pPr>
        <w:pStyle w:val="Normalnumber"/>
        <w:numPr>
          <w:ilvl w:val="0"/>
          <w:numId w:val="0"/>
        </w:numPr>
        <w:ind w:left="3119" w:hanging="567"/>
      </w:pPr>
      <w:proofErr w:type="gramStart"/>
      <w:r w:rsidRPr="001915D3">
        <w:rPr>
          <w:lang w:val="en-US"/>
        </w:rPr>
        <w:t>(iv)</w:t>
      </w:r>
      <w:r w:rsidRPr="001915D3">
        <w:rPr>
          <w:lang w:val="en-US"/>
        </w:rPr>
        <w:tab/>
      </w:r>
      <w:r w:rsidRPr="001915D3">
        <w:t>Available</w:t>
      </w:r>
      <w:proofErr w:type="gramEnd"/>
      <w:r w:rsidRPr="001915D3">
        <w:t xml:space="preserve"> infrastructure and capacity to manage wastes;</w:t>
      </w:r>
    </w:p>
    <w:p w:rsidR="001B7EFB" w:rsidRPr="001915D3" w:rsidRDefault="001B7EFB" w:rsidP="001B7EFB">
      <w:pPr>
        <w:pStyle w:val="Normalnumber"/>
        <w:numPr>
          <w:ilvl w:val="0"/>
          <w:numId w:val="0"/>
        </w:numPr>
        <w:ind w:left="3119" w:hanging="567"/>
      </w:pPr>
      <w:r w:rsidRPr="001915D3">
        <w:rPr>
          <w:lang w:val="en-US"/>
        </w:rPr>
        <w:t>(v)</w:t>
      </w:r>
      <w:r w:rsidRPr="001915D3">
        <w:rPr>
          <w:lang w:val="en-US"/>
        </w:rPr>
        <w:tab/>
      </w:r>
      <w:r w:rsidRPr="001915D3">
        <w:t>Applicable laws and enforcement provisions;</w:t>
      </w:r>
    </w:p>
    <w:p w:rsidR="001B7EFB" w:rsidRPr="001915D3" w:rsidRDefault="001B7EFB" w:rsidP="001B7EFB">
      <w:pPr>
        <w:pStyle w:val="Normalnumber"/>
        <w:numPr>
          <w:ilvl w:val="0"/>
          <w:numId w:val="0"/>
        </w:numPr>
        <w:ind w:left="3119" w:hanging="567"/>
      </w:pPr>
      <w:proofErr w:type="gramStart"/>
      <w:r w:rsidRPr="001915D3">
        <w:rPr>
          <w:lang w:val="en-US"/>
        </w:rPr>
        <w:t>(vi)</w:t>
      </w:r>
      <w:r w:rsidRPr="001915D3">
        <w:rPr>
          <w:lang w:val="en-US"/>
        </w:rPr>
        <w:tab/>
      </w:r>
      <w:r w:rsidRPr="001915D3">
        <w:t>Waste</w:t>
      </w:r>
      <w:proofErr w:type="gramEnd"/>
      <w:r w:rsidRPr="001915D3">
        <w:t xml:space="preserve"> facility or sector-based measures in place to support ESM;</w:t>
      </w:r>
    </w:p>
    <w:p w:rsidR="001B7EFB" w:rsidRPr="001915D3" w:rsidRDefault="001B7EFB" w:rsidP="001B7EFB">
      <w:pPr>
        <w:pStyle w:val="Normalnumber"/>
        <w:numPr>
          <w:ilvl w:val="0"/>
          <w:numId w:val="0"/>
        </w:numPr>
        <w:ind w:left="3119" w:hanging="567"/>
      </w:pPr>
      <w:r w:rsidRPr="001915D3">
        <w:rPr>
          <w:lang w:val="en-US"/>
        </w:rPr>
        <w:t>(vii)</w:t>
      </w:r>
      <w:r w:rsidRPr="001915D3">
        <w:rPr>
          <w:lang w:val="en-US"/>
        </w:rPr>
        <w:tab/>
      </w:r>
      <w:r w:rsidRPr="001915D3">
        <w:t>Approaches used to validate whether facilities achieve ESM;</w:t>
      </w:r>
    </w:p>
    <w:p w:rsidR="001B7EFB" w:rsidRPr="001915D3" w:rsidRDefault="001B7EFB" w:rsidP="001B7EFB">
      <w:pPr>
        <w:pStyle w:val="Normalnumber"/>
        <w:numPr>
          <w:ilvl w:val="0"/>
          <w:numId w:val="0"/>
        </w:numPr>
        <w:ind w:left="3119" w:hanging="567"/>
      </w:pPr>
      <w:r w:rsidRPr="001915D3">
        <w:rPr>
          <w:lang w:val="en-US"/>
        </w:rPr>
        <w:t>(viii)</w:t>
      </w:r>
      <w:r w:rsidRPr="001915D3">
        <w:rPr>
          <w:lang w:val="en-US"/>
        </w:rPr>
        <w:tab/>
      </w:r>
      <w:r w:rsidRPr="001915D3">
        <w:t>Types of informal waste management activities;</w:t>
      </w:r>
    </w:p>
    <w:p w:rsidR="001B7EFB" w:rsidRPr="001915D3" w:rsidRDefault="001B7EFB" w:rsidP="001B7EFB">
      <w:pPr>
        <w:pStyle w:val="Normalnumber"/>
        <w:numPr>
          <w:ilvl w:val="0"/>
          <w:numId w:val="0"/>
        </w:numPr>
        <w:ind w:left="3119" w:hanging="567"/>
      </w:pPr>
      <w:r w:rsidRPr="001915D3">
        <w:rPr>
          <w:lang w:val="en-US"/>
        </w:rPr>
        <w:t>(ix)</w:t>
      </w:r>
      <w:r w:rsidRPr="001915D3">
        <w:rPr>
          <w:lang w:val="en-US"/>
        </w:rPr>
        <w:tab/>
      </w:r>
      <w:r w:rsidRPr="001915D3">
        <w:t>Availability of necessary funding to achieve ESM.</w:t>
      </w:r>
    </w:p>
    <w:bookmarkEnd w:id="10"/>
    <w:bookmarkEnd w:id="11"/>
    <w:p w:rsidR="001B7EFB" w:rsidRPr="001915D3" w:rsidRDefault="001B7EFB" w:rsidP="001B7EFB">
      <w:pPr>
        <w:tabs>
          <w:tab w:val="left" w:pos="2552"/>
        </w:tabs>
        <w:spacing w:after="120"/>
        <w:ind w:left="1440" w:firstLine="545"/>
        <w:rPr>
          <w:sz w:val="20"/>
        </w:rPr>
      </w:pPr>
      <w:r w:rsidRPr="001915D3">
        <w:rPr>
          <w:sz w:val="20"/>
        </w:rPr>
        <w:t>(c)</w:t>
      </w:r>
      <w:r w:rsidRPr="001915D3">
        <w:rPr>
          <w:sz w:val="20"/>
        </w:rPr>
        <w:tab/>
        <w:t>Any strategy should include a series of core goals to provide a general overview of how its overarching vision will be achieved. Taken together, the following goals represent tangible outcomes or milestones that are considered to be essential to achieve ESM:</w:t>
      </w:r>
    </w:p>
    <w:p w:rsidR="001B7EFB" w:rsidRPr="001915D3" w:rsidRDefault="001B7EFB" w:rsidP="001B7EFB">
      <w:pPr>
        <w:pStyle w:val="Normalnumber"/>
        <w:numPr>
          <w:ilvl w:val="0"/>
          <w:numId w:val="0"/>
        </w:numPr>
        <w:ind w:left="3119" w:hanging="567"/>
      </w:pPr>
      <w:r w:rsidRPr="001915D3">
        <w:rPr>
          <w:lang w:val="en-US"/>
        </w:rPr>
        <w:t>(</w:t>
      </w:r>
      <w:proofErr w:type="spellStart"/>
      <w:r w:rsidRPr="001915D3">
        <w:rPr>
          <w:lang w:val="en-US"/>
        </w:rPr>
        <w:t>i</w:t>
      </w:r>
      <w:proofErr w:type="spellEnd"/>
      <w:r w:rsidRPr="001915D3">
        <w:rPr>
          <w:lang w:val="en-US"/>
        </w:rPr>
        <w:t>)</w:t>
      </w:r>
      <w:r w:rsidRPr="001915D3">
        <w:rPr>
          <w:lang w:val="en-US"/>
        </w:rPr>
        <w:tab/>
      </w:r>
      <w:r w:rsidRPr="00590420">
        <w:rPr>
          <w:lang w:val="en-US"/>
        </w:rPr>
        <w:t>Establish</w:t>
      </w:r>
      <w:r w:rsidRPr="001915D3">
        <w:t xml:space="preserve"> a comprehensive legal framework to:</w:t>
      </w:r>
    </w:p>
    <w:p w:rsidR="001B7EFB" w:rsidRPr="001915D3" w:rsidRDefault="001B7EFB" w:rsidP="00967DFE">
      <w:pPr>
        <w:pStyle w:val="Normalnumber"/>
        <w:numPr>
          <w:ilvl w:val="0"/>
          <w:numId w:val="0"/>
        </w:numPr>
        <w:ind w:left="3600" w:hanging="481"/>
      </w:pPr>
      <w:r w:rsidRPr="001915D3">
        <w:rPr>
          <w:lang w:val="en-US"/>
        </w:rPr>
        <w:t>a.</w:t>
      </w:r>
      <w:r w:rsidRPr="001915D3">
        <w:rPr>
          <w:lang w:val="en-US"/>
        </w:rPr>
        <w:tab/>
      </w:r>
      <w:r w:rsidRPr="001915D3">
        <w:t>Effectively govern all waste management operations;</w:t>
      </w:r>
      <w:r w:rsidRPr="001915D3">
        <w:rPr>
          <w:vertAlign w:val="superscript"/>
        </w:rPr>
        <w:footnoteReference w:id="9"/>
      </w:r>
    </w:p>
    <w:p w:rsidR="001B7EFB" w:rsidRPr="001915D3" w:rsidRDefault="001B7EFB" w:rsidP="00967DFE">
      <w:pPr>
        <w:pStyle w:val="Normalnumber"/>
        <w:numPr>
          <w:ilvl w:val="0"/>
          <w:numId w:val="0"/>
        </w:numPr>
        <w:ind w:left="3600" w:hanging="481"/>
      </w:pPr>
      <w:r w:rsidRPr="001915D3">
        <w:rPr>
          <w:lang w:val="en-US"/>
        </w:rPr>
        <w:t>b.</w:t>
      </w:r>
      <w:r w:rsidRPr="001915D3">
        <w:rPr>
          <w:lang w:val="en-US"/>
        </w:rPr>
        <w:tab/>
      </w:r>
      <w:r w:rsidRPr="001915D3">
        <w:t>Protect the public and workers’ health and safety;</w:t>
      </w:r>
    </w:p>
    <w:p w:rsidR="001B7EFB" w:rsidRPr="001915D3" w:rsidRDefault="001B7EFB" w:rsidP="00967DFE">
      <w:pPr>
        <w:pStyle w:val="Normalnumber"/>
        <w:numPr>
          <w:ilvl w:val="0"/>
          <w:numId w:val="0"/>
        </w:numPr>
        <w:ind w:left="3600" w:hanging="481"/>
      </w:pPr>
      <w:r w:rsidRPr="001915D3">
        <w:rPr>
          <w:lang w:val="en-US"/>
        </w:rPr>
        <w:t>c.</w:t>
      </w:r>
      <w:r w:rsidRPr="001915D3">
        <w:rPr>
          <w:lang w:val="en-US"/>
        </w:rPr>
        <w:tab/>
      </w:r>
      <w:r w:rsidRPr="001915D3">
        <w:t>Protect the environment;</w:t>
      </w:r>
    </w:p>
    <w:p w:rsidR="001B7EFB" w:rsidRPr="001915D3" w:rsidRDefault="001B7EFB" w:rsidP="001B7EFB">
      <w:pPr>
        <w:pStyle w:val="Normalnumber"/>
        <w:numPr>
          <w:ilvl w:val="0"/>
          <w:numId w:val="0"/>
        </w:numPr>
        <w:ind w:left="3600" w:hanging="481"/>
      </w:pPr>
      <w:r w:rsidRPr="001915D3">
        <w:rPr>
          <w:lang w:val="en-US"/>
        </w:rPr>
        <w:t>d.</w:t>
      </w:r>
      <w:r w:rsidRPr="001915D3">
        <w:rPr>
          <w:lang w:val="en-US"/>
        </w:rPr>
        <w:tab/>
      </w:r>
      <w:r w:rsidRPr="001915D3">
        <w:t>Address movements of wastes in accordance with applicable international and regional agreements and conventions, including the Basel Convention</w:t>
      </w:r>
      <w:r w:rsidRPr="001915D3">
        <w:rPr>
          <w:lang w:val="en-US"/>
        </w:rPr>
        <w:t>;</w:t>
      </w:r>
      <w:r w:rsidRPr="001915D3">
        <w:t xml:space="preserve"> </w:t>
      </w:r>
    </w:p>
    <w:p w:rsidR="001B7EFB" w:rsidRPr="001915D3" w:rsidRDefault="001B7EFB" w:rsidP="001B7EFB">
      <w:pPr>
        <w:pStyle w:val="Normalnumber"/>
        <w:numPr>
          <w:ilvl w:val="0"/>
          <w:numId w:val="0"/>
        </w:numPr>
        <w:ind w:left="3119" w:hanging="567"/>
      </w:pPr>
      <w:r w:rsidRPr="001915D3">
        <w:rPr>
          <w:lang w:val="en-US"/>
        </w:rPr>
        <w:t>(ii)</w:t>
      </w:r>
      <w:r w:rsidRPr="001915D3">
        <w:rPr>
          <w:lang w:val="en-US"/>
        </w:rPr>
        <w:tab/>
      </w:r>
      <w:r w:rsidRPr="00590420">
        <w:rPr>
          <w:lang w:val="en-US"/>
        </w:rPr>
        <w:t>Implement</w:t>
      </w:r>
      <w:r w:rsidRPr="001915D3">
        <w:t xml:space="preserve"> effective compliance and enforcement measures to assure conformity with applicable legal requirements;</w:t>
      </w:r>
    </w:p>
    <w:p w:rsidR="001B7EFB" w:rsidRPr="00D201E8" w:rsidRDefault="001B7EFB" w:rsidP="001B7EFB">
      <w:pPr>
        <w:pStyle w:val="Normalnumber"/>
        <w:numPr>
          <w:ilvl w:val="0"/>
          <w:numId w:val="0"/>
        </w:numPr>
        <w:ind w:left="3119" w:hanging="567"/>
      </w:pPr>
      <w:r w:rsidRPr="001915D3">
        <w:rPr>
          <w:lang w:val="en-US"/>
        </w:rPr>
        <w:lastRenderedPageBreak/>
        <w:t>(iii)</w:t>
      </w:r>
      <w:r w:rsidRPr="001915D3">
        <w:rPr>
          <w:lang w:val="en-US"/>
        </w:rPr>
        <w:tab/>
      </w:r>
      <w:r w:rsidRPr="001915D3">
        <w:t>Build sufficient domestic infrastructure and capacity to ensure availability of adequate facilities to undertake waste management operations and ensure these facilities achieve ESM</w:t>
      </w:r>
      <w:r w:rsidRPr="00D201E8">
        <w:rPr>
          <w:lang w:val="en-US"/>
        </w:rPr>
        <w:t>.</w:t>
      </w:r>
    </w:p>
    <w:p w:rsidR="001B7EFB" w:rsidRPr="00287291" w:rsidRDefault="001B7EFB" w:rsidP="001B7EFB">
      <w:pPr>
        <w:tabs>
          <w:tab w:val="left" w:pos="2552"/>
        </w:tabs>
        <w:spacing w:after="120"/>
        <w:ind w:left="1440" w:firstLine="545"/>
        <w:rPr>
          <w:sz w:val="20"/>
        </w:rPr>
      </w:pPr>
      <w:r>
        <w:rPr>
          <w:sz w:val="20"/>
        </w:rPr>
        <w:t>(d)</w:t>
      </w:r>
      <w:r>
        <w:rPr>
          <w:sz w:val="20"/>
        </w:rPr>
        <w:tab/>
      </w:r>
      <w:r w:rsidRPr="00287291">
        <w:rPr>
          <w:sz w:val="20"/>
        </w:rPr>
        <w:t>A comprehensive legal framework establishes a level playing field to protect human health and the environment by obligating all stakeholders involved in waste management operations to comply with legal requirements. Such requirements include provisions that respect international and regional obligations. While law-making is typically a function of Governments and their agencies, it is important for all stakeholders to be aware of, and comply with, existing and emerging legal requirements in the jurisdictions where they conduct business.</w:t>
      </w:r>
    </w:p>
    <w:p w:rsidR="001B7EFB" w:rsidRPr="00287291" w:rsidRDefault="001B7EFB" w:rsidP="001B7EFB">
      <w:pPr>
        <w:tabs>
          <w:tab w:val="left" w:pos="2552"/>
        </w:tabs>
        <w:spacing w:after="120"/>
        <w:ind w:left="1440" w:firstLine="545"/>
        <w:rPr>
          <w:sz w:val="20"/>
        </w:rPr>
      </w:pPr>
      <w:r>
        <w:rPr>
          <w:sz w:val="20"/>
        </w:rPr>
        <w:t>(e)</w:t>
      </w:r>
      <w:r>
        <w:rPr>
          <w:sz w:val="20"/>
        </w:rPr>
        <w:tab/>
      </w:r>
      <w:r w:rsidRPr="00287291">
        <w:rPr>
          <w:sz w:val="20"/>
        </w:rPr>
        <w:t>Effective compliance and enforcement measures ensure that legal requirements are being met by waste management operations. Governments should ensure that consistent measures are in place to enable the competent authorities to confirm whether waste management operations are achieving ESM. Other opportunities also exist and may pertain to compliance promotion efforts, training for inspectors and enforcement officers, joint investigations and intelligence-led inspection activities and court prosecutions. From a facility perspective, compliance with applicable legal requirements is a prerequisite for bona fide businesses and failure to comply with legal requirements can be very costly for an organization. Working with legally compliant suppliers and service providers is also important because it fosters ESM through management of the supply chain and serves to protect business reputations by meeting the expectations of investors, customers, regulators and the public. Voluntary certification schemes may be useful for confirmation of ESM. A number of standards and voluntary certification schemes are identified in annex II to the framework.</w:t>
      </w:r>
    </w:p>
    <w:p w:rsidR="001B7EFB" w:rsidRPr="00287291" w:rsidRDefault="001B7EFB" w:rsidP="001B7EFB">
      <w:pPr>
        <w:tabs>
          <w:tab w:val="left" w:pos="2552"/>
        </w:tabs>
        <w:spacing w:after="120"/>
        <w:ind w:left="1440" w:firstLine="545"/>
        <w:rPr>
          <w:sz w:val="20"/>
        </w:rPr>
      </w:pPr>
      <w:r>
        <w:rPr>
          <w:sz w:val="20"/>
        </w:rPr>
        <w:t>(f)</w:t>
      </w:r>
      <w:r>
        <w:rPr>
          <w:sz w:val="20"/>
        </w:rPr>
        <w:tab/>
      </w:r>
      <w:r w:rsidRPr="00287291">
        <w:rPr>
          <w:sz w:val="20"/>
        </w:rPr>
        <w:t xml:space="preserve">Building sufficient domestic infrastructure and capacity to ensure availability of adequate facilities to undertake waste management operations allows wastes to be managed in close proximity to where they are generated, minimizing the need for them to be exported for management elsewhere, and provides opportunities for enhanced resource recovery, economic growth, employment and increased competitiveness within the global marketplace. Domestic infrastructure needs for waste management may vary considerably from country to country and include but are not limited to: collection services for wastes and recyclable materials; refurbishing, composting, material recovery and recycling facilities; and treatment and final disposal facilities for wastes. </w:t>
      </w:r>
    </w:p>
    <w:p w:rsidR="001B7EFB" w:rsidRPr="00287291" w:rsidRDefault="001B7EFB" w:rsidP="001B7EFB">
      <w:pPr>
        <w:tabs>
          <w:tab w:val="left" w:pos="2552"/>
        </w:tabs>
        <w:spacing w:after="120"/>
        <w:ind w:left="1440" w:firstLine="545"/>
        <w:rPr>
          <w:sz w:val="20"/>
        </w:rPr>
      </w:pPr>
      <w:r>
        <w:rPr>
          <w:sz w:val="20"/>
        </w:rPr>
        <w:t>(g)</w:t>
      </w:r>
      <w:r>
        <w:rPr>
          <w:sz w:val="20"/>
        </w:rPr>
        <w:tab/>
      </w:r>
      <w:r w:rsidRPr="00287291">
        <w:rPr>
          <w:sz w:val="20"/>
        </w:rPr>
        <w:t>The highest levels of support should be sought by key stakeholders to ensure acceptance of the vision and goals of their strategies to implement ESM and that adequate resources will be made available to support delivery. The importance and benefits of any strategy developed to foster and enhance implementation of ESM of wastes should also be well communicated to broaden awareness and foster acceptance of such strategies amongst key stakeholders.</w:t>
      </w:r>
    </w:p>
    <w:p w:rsidR="001B7EFB" w:rsidRPr="00967DFE" w:rsidRDefault="001B7EFB" w:rsidP="00967DFE">
      <w:pPr>
        <w:pStyle w:val="Heading2"/>
        <w:tabs>
          <w:tab w:val="right" w:pos="993"/>
          <w:tab w:val="left" w:pos="1418"/>
        </w:tabs>
        <w:rPr>
          <w:rFonts w:hAnsi="Times New Roman Bold"/>
        </w:rPr>
      </w:pPr>
      <w:r w:rsidRPr="00967DFE">
        <w:rPr>
          <w:rFonts w:hAnsi="Times New Roman Bold"/>
        </w:rPr>
        <w:tab/>
      </w:r>
      <w:bookmarkStart w:id="12" w:name="_Toc478467378"/>
      <w:r w:rsidRPr="00967DFE">
        <w:rPr>
          <w:rFonts w:hAnsi="Times New Roman Bold"/>
        </w:rPr>
        <w:t>A.</w:t>
      </w:r>
      <w:r w:rsidRPr="00967DFE">
        <w:rPr>
          <w:rFonts w:hAnsi="Times New Roman Bold"/>
        </w:rPr>
        <w:tab/>
      </w:r>
      <w:r w:rsidR="00967DFE">
        <w:rPr>
          <w:rFonts w:hAnsi="Times New Roman Bold"/>
        </w:rPr>
        <w:tab/>
      </w:r>
      <w:r w:rsidRPr="00967DFE">
        <w:rPr>
          <w:rFonts w:hAnsi="Times New Roman Bold"/>
        </w:rPr>
        <w:t>A view from Asia</w:t>
      </w:r>
      <w:bookmarkEnd w:id="12"/>
    </w:p>
    <w:p w:rsidR="001B7EFB" w:rsidRPr="00D201E8" w:rsidRDefault="001B7EFB" w:rsidP="009A372A">
      <w:pPr>
        <w:numPr>
          <w:ilvl w:val="0"/>
          <w:numId w:val="8"/>
        </w:numPr>
        <w:tabs>
          <w:tab w:val="left" w:pos="1985"/>
        </w:tabs>
        <w:spacing w:after="120"/>
        <w:ind w:left="1418" w:firstLine="0"/>
        <w:rPr>
          <w:sz w:val="20"/>
        </w:rPr>
      </w:pPr>
      <w:r w:rsidRPr="00D201E8">
        <w:rPr>
          <w:sz w:val="20"/>
        </w:rPr>
        <w:t xml:space="preserve">The Institute of Developing Economies, Japan External Trade Organization </w:t>
      </w:r>
      <w:r w:rsidR="00C552BA">
        <w:rPr>
          <w:sz w:val="20"/>
        </w:rPr>
        <w:t>(IDE-JETRO) in its publication “</w:t>
      </w:r>
      <w:r w:rsidRPr="00D201E8">
        <w:rPr>
          <w:sz w:val="20"/>
        </w:rPr>
        <w:t xml:space="preserve">Policy for Fostering </w:t>
      </w:r>
      <w:r w:rsidR="00C552BA">
        <w:rPr>
          <w:sz w:val="20"/>
        </w:rPr>
        <w:t>‘</w:t>
      </w:r>
      <w:r w:rsidRPr="00D201E8">
        <w:rPr>
          <w:sz w:val="20"/>
        </w:rPr>
        <w:t>Sound</w:t>
      </w:r>
      <w:r w:rsidR="00C552BA">
        <w:rPr>
          <w:sz w:val="20"/>
        </w:rPr>
        <w:t>’</w:t>
      </w:r>
      <w:r w:rsidRPr="00D201E8">
        <w:rPr>
          <w:sz w:val="20"/>
        </w:rPr>
        <w:t xml:space="preserve"> Recycling Industries</w:t>
      </w:r>
      <w:r w:rsidR="00C552BA">
        <w:rPr>
          <w:sz w:val="20"/>
        </w:rPr>
        <w:t>”</w:t>
      </w:r>
      <w:r w:rsidR="00C552BA">
        <w:rPr>
          <w:rStyle w:val="FootnoteReference"/>
        </w:rPr>
        <w:footnoteReference w:id="10"/>
      </w:r>
      <w:r w:rsidRPr="00D201E8">
        <w:rPr>
          <w:sz w:val="20"/>
        </w:rPr>
        <w:t xml:space="preserve"> covered topics </w:t>
      </w:r>
      <w:r w:rsidR="006F2AD8">
        <w:rPr>
          <w:sz w:val="20"/>
        </w:rPr>
        <w:t xml:space="preserve">such </w:t>
      </w:r>
      <w:r w:rsidRPr="00D201E8">
        <w:rPr>
          <w:sz w:val="20"/>
        </w:rPr>
        <w:t xml:space="preserve">as: Stakeholders in Recycling and the Current Status in Asia;  Occupational Health and Safety, Pollution Control, and </w:t>
      </w:r>
      <w:r w:rsidR="00C552BA">
        <w:rPr>
          <w:sz w:val="20"/>
        </w:rPr>
        <w:t xml:space="preserve"> Quality Management; What is a ‘Sound’</w:t>
      </w:r>
      <w:r w:rsidRPr="00D201E8">
        <w:rPr>
          <w:sz w:val="20"/>
        </w:rPr>
        <w:t xml:space="preserve"> Recycling? Strategies for Fostering Sound Recycling; Best Practices in Fostering Sound Recycling Industries; and the Voice of Sound Recyclers.</w:t>
      </w:r>
    </w:p>
    <w:p w:rsidR="001B7EFB" w:rsidRDefault="001B7EFB" w:rsidP="009A372A">
      <w:pPr>
        <w:numPr>
          <w:ilvl w:val="0"/>
          <w:numId w:val="8"/>
        </w:numPr>
        <w:tabs>
          <w:tab w:val="left" w:pos="1985"/>
        </w:tabs>
        <w:spacing w:after="120"/>
        <w:ind w:left="1418" w:firstLine="0"/>
        <w:rPr>
          <w:sz w:val="20"/>
        </w:rPr>
      </w:pPr>
      <w:r w:rsidRPr="00D201E8">
        <w:rPr>
          <w:sz w:val="20"/>
        </w:rPr>
        <w:t>The key points of Chapter 5</w:t>
      </w:r>
      <w:r>
        <w:rPr>
          <w:sz w:val="20"/>
        </w:rPr>
        <w:t>:</w:t>
      </w:r>
      <w:r w:rsidRPr="00D201E8">
        <w:rPr>
          <w:sz w:val="20"/>
        </w:rPr>
        <w:t xml:space="preserve"> Strategies for Fostering Sound Recycling </w:t>
      </w:r>
      <w:r>
        <w:rPr>
          <w:sz w:val="20"/>
        </w:rPr>
        <w:t>are presented in the box below.</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6"/>
      </w:tblGrid>
      <w:tr w:rsidR="001B7EFB" w:rsidRPr="00522877" w:rsidTr="005A60F1">
        <w:tc>
          <w:tcPr>
            <w:tcW w:w="8186" w:type="dxa"/>
          </w:tcPr>
          <w:p w:rsidR="001B7EFB" w:rsidRPr="00522877" w:rsidRDefault="001B7EFB" w:rsidP="005A60F1">
            <w:pPr>
              <w:spacing w:before="120"/>
              <w:jc w:val="center"/>
              <w:rPr>
                <w:rFonts w:eastAsia="Calibri" w:cs="Arial"/>
                <w:b/>
                <w:sz w:val="20"/>
              </w:rPr>
            </w:pPr>
            <w:r w:rsidRPr="00522877">
              <w:rPr>
                <w:rFonts w:eastAsia="Calibri" w:cs="Arial"/>
                <w:b/>
                <w:sz w:val="20"/>
              </w:rPr>
              <w:t>Best Practices in Fostering Sound Recycling Industries in Asian countries</w:t>
            </w:r>
          </w:p>
          <w:p w:rsidR="00F4530D" w:rsidRDefault="00F4530D" w:rsidP="005A60F1">
            <w:pPr>
              <w:spacing w:after="120"/>
              <w:jc w:val="both"/>
              <w:rPr>
                <w:rFonts w:eastAsia="Calibri" w:cs="Arial"/>
                <w:sz w:val="20"/>
              </w:rPr>
            </w:pPr>
          </w:p>
          <w:p w:rsidR="001B7EFB" w:rsidRPr="00522877" w:rsidRDefault="001B7EFB" w:rsidP="005A60F1">
            <w:pPr>
              <w:spacing w:after="120"/>
              <w:jc w:val="both"/>
              <w:rPr>
                <w:rFonts w:eastAsia="Calibri" w:cs="Arial"/>
                <w:sz w:val="20"/>
              </w:rPr>
            </w:pPr>
            <w:r w:rsidRPr="00522877">
              <w:rPr>
                <w:rFonts w:eastAsia="Calibri" w:cs="Arial"/>
                <w:sz w:val="20"/>
              </w:rPr>
              <w:t>1.  Organizing Waste Pickers</w:t>
            </w:r>
          </w:p>
          <w:p w:rsidR="001B7EFB" w:rsidRPr="00522877" w:rsidRDefault="001B7EFB" w:rsidP="005A60F1">
            <w:pPr>
              <w:spacing w:after="120"/>
              <w:jc w:val="both"/>
              <w:rPr>
                <w:rFonts w:eastAsia="Calibri" w:cs="Arial"/>
                <w:sz w:val="20"/>
              </w:rPr>
            </w:pPr>
            <w:r w:rsidRPr="00522877">
              <w:rPr>
                <w:rFonts w:eastAsia="Calibri" w:cs="Arial"/>
                <w:sz w:val="20"/>
              </w:rPr>
              <w:t>2.  Organizing Junk Shops</w:t>
            </w:r>
          </w:p>
          <w:p w:rsidR="001B7EFB" w:rsidRPr="00522877" w:rsidRDefault="001B7EFB" w:rsidP="005A60F1">
            <w:pPr>
              <w:spacing w:after="120"/>
              <w:jc w:val="both"/>
              <w:rPr>
                <w:rFonts w:eastAsia="Calibri" w:cs="Arial"/>
                <w:sz w:val="20"/>
              </w:rPr>
            </w:pPr>
            <w:r w:rsidRPr="00522877">
              <w:rPr>
                <w:rFonts w:eastAsia="Calibri" w:cs="Arial"/>
                <w:sz w:val="20"/>
              </w:rPr>
              <w:t>3.  Waste Collector Parks for Recyclable Waste</w:t>
            </w:r>
          </w:p>
          <w:p w:rsidR="001B7EFB" w:rsidRPr="00522877" w:rsidRDefault="001B7EFB" w:rsidP="005A60F1">
            <w:pPr>
              <w:spacing w:after="120"/>
              <w:jc w:val="both"/>
              <w:rPr>
                <w:rFonts w:eastAsia="Calibri" w:cs="Arial"/>
                <w:sz w:val="20"/>
              </w:rPr>
            </w:pPr>
            <w:r w:rsidRPr="00522877">
              <w:rPr>
                <w:rFonts w:eastAsia="Calibri" w:cs="Arial"/>
                <w:sz w:val="20"/>
              </w:rPr>
              <w:t>4.  Quality Standards for Recyclable Waste and Recycled Products</w:t>
            </w:r>
          </w:p>
          <w:p w:rsidR="001B7EFB" w:rsidRPr="00522877" w:rsidRDefault="001B7EFB" w:rsidP="005A60F1">
            <w:pPr>
              <w:spacing w:after="120"/>
              <w:jc w:val="both"/>
              <w:rPr>
                <w:rFonts w:eastAsia="Calibri" w:cs="Arial"/>
                <w:sz w:val="20"/>
              </w:rPr>
            </w:pPr>
            <w:r w:rsidRPr="00522877">
              <w:rPr>
                <w:rFonts w:eastAsia="Calibri" w:cs="Arial"/>
                <w:sz w:val="20"/>
              </w:rPr>
              <w:lastRenderedPageBreak/>
              <w:t>5.  Eco-labe</w:t>
            </w:r>
            <w:r w:rsidR="00C552BA">
              <w:rPr>
                <w:rFonts w:eastAsia="Calibri" w:cs="Arial"/>
                <w:sz w:val="20"/>
              </w:rPr>
              <w:t>l</w:t>
            </w:r>
            <w:r w:rsidRPr="00522877">
              <w:rPr>
                <w:rFonts w:eastAsia="Calibri" w:cs="Arial"/>
                <w:sz w:val="20"/>
              </w:rPr>
              <w:t xml:space="preserve">ling and Green Purchasing </w:t>
            </w:r>
          </w:p>
          <w:p w:rsidR="001B7EFB" w:rsidRPr="00522877" w:rsidRDefault="001B7EFB" w:rsidP="005A60F1">
            <w:pPr>
              <w:spacing w:after="120"/>
              <w:rPr>
                <w:rFonts w:eastAsia="Calibri" w:cs="Arial"/>
                <w:sz w:val="20"/>
              </w:rPr>
            </w:pPr>
            <w:r w:rsidRPr="00522877">
              <w:rPr>
                <w:rFonts w:eastAsia="Calibri" w:cs="Arial"/>
                <w:sz w:val="20"/>
              </w:rPr>
              <w:t>6.  Extended Producer Responsibility</w:t>
            </w:r>
          </w:p>
          <w:p w:rsidR="001B7EFB" w:rsidRPr="00522877" w:rsidRDefault="001B7EFB" w:rsidP="005A60F1">
            <w:pPr>
              <w:spacing w:after="120"/>
              <w:jc w:val="both"/>
              <w:rPr>
                <w:rFonts w:eastAsia="Calibri" w:cs="Arial"/>
                <w:sz w:val="20"/>
              </w:rPr>
            </w:pPr>
            <w:r w:rsidRPr="00522877">
              <w:rPr>
                <w:rFonts w:eastAsia="Calibri" w:cs="Arial"/>
                <w:sz w:val="20"/>
              </w:rPr>
              <w:t>7.  Recycling Industrial Park</w:t>
            </w:r>
          </w:p>
          <w:p w:rsidR="001B7EFB" w:rsidRPr="00522877" w:rsidRDefault="001B7EFB" w:rsidP="005A60F1">
            <w:pPr>
              <w:spacing w:after="120"/>
              <w:jc w:val="both"/>
              <w:rPr>
                <w:rFonts w:eastAsia="Calibri" w:cs="Arial"/>
                <w:sz w:val="20"/>
              </w:rPr>
            </w:pPr>
            <w:r w:rsidRPr="00522877">
              <w:rPr>
                <w:rFonts w:eastAsia="Calibri" w:cs="Arial"/>
                <w:sz w:val="20"/>
              </w:rPr>
              <w:t>8.  Award Program for Excellent Recyclers</w:t>
            </w:r>
          </w:p>
          <w:p w:rsidR="001B7EFB" w:rsidRPr="00522877" w:rsidRDefault="001B7EFB" w:rsidP="005A60F1">
            <w:pPr>
              <w:spacing w:after="120"/>
              <w:jc w:val="both"/>
              <w:rPr>
                <w:rFonts w:eastAsia="Calibri" w:cs="Arial"/>
                <w:sz w:val="20"/>
              </w:rPr>
            </w:pPr>
            <w:r w:rsidRPr="00522877">
              <w:rPr>
                <w:rFonts w:eastAsia="Calibri" w:cs="Arial"/>
                <w:sz w:val="20"/>
              </w:rPr>
              <w:t>9.  Tax incentives, Subsidies, and Low-interest Loans</w:t>
            </w:r>
          </w:p>
        </w:tc>
      </w:tr>
    </w:tbl>
    <w:p w:rsidR="001B7EFB" w:rsidRPr="00967DFE" w:rsidRDefault="001B7EFB" w:rsidP="00967DFE">
      <w:pPr>
        <w:pStyle w:val="Heading2"/>
        <w:tabs>
          <w:tab w:val="right" w:pos="993"/>
          <w:tab w:val="left" w:pos="1418"/>
        </w:tabs>
        <w:rPr>
          <w:rFonts w:hAnsi="Times New Roman Bold"/>
        </w:rPr>
      </w:pPr>
      <w:bookmarkStart w:id="13" w:name="_Toc478467379"/>
      <w:r w:rsidRPr="00967DFE">
        <w:rPr>
          <w:rFonts w:hAnsi="Times New Roman Bold"/>
        </w:rPr>
        <w:lastRenderedPageBreak/>
        <w:t>B.</w:t>
      </w:r>
      <w:r w:rsidRPr="00967DFE">
        <w:rPr>
          <w:rFonts w:hAnsi="Times New Roman Bold"/>
        </w:rPr>
        <w:tab/>
      </w:r>
      <w:r w:rsidRPr="00967DFE">
        <w:rPr>
          <w:rFonts w:hAnsi="Times New Roman Bold"/>
        </w:rPr>
        <w:tab/>
      </w:r>
      <w:r w:rsidR="00967DFE">
        <w:rPr>
          <w:rFonts w:hAnsi="Times New Roman Bold"/>
        </w:rPr>
        <w:tab/>
      </w:r>
      <w:r w:rsidRPr="00967DFE">
        <w:rPr>
          <w:rFonts w:hAnsi="Times New Roman Bold"/>
        </w:rPr>
        <w:t>Different strategies to ensure ESM in OECD countries</w:t>
      </w:r>
      <w:bookmarkEnd w:id="13"/>
    </w:p>
    <w:p w:rsidR="001B7EFB" w:rsidRPr="00D201E8" w:rsidRDefault="001B7EFB" w:rsidP="009A372A">
      <w:pPr>
        <w:numPr>
          <w:ilvl w:val="0"/>
          <w:numId w:val="8"/>
        </w:numPr>
        <w:tabs>
          <w:tab w:val="left" w:pos="1985"/>
        </w:tabs>
        <w:spacing w:after="120"/>
        <w:ind w:left="1418" w:firstLine="0"/>
        <w:rPr>
          <w:sz w:val="20"/>
        </w:rPr>
      </w:pPr>
      <w:r>
        <w:rPr>
          <w:sz w:val="20"/>
        </w:rPr>
        <w:t>A review of</w:t>
      </w:r>
      <w:r w:rsidRPr="00D201E8">
        <w:rPr>
          <w:sz w:val="20"/>
        </w:rPr>
        <w:t xml:space="preserve"> the way, and extent to which, OECD Member Countries implemented the ESM Recommendation took place three years after its adoption (i.e. in 2007)</w:t>
      </w:r>
      <w:r w:rsidR="00996D4E">
        <w:rPr>
          <w:rStyle w:val="FootnoteReference"/>
        </w:rPr>
        <w:footnoteReference w:id="11"/>
      </w:r>
      <w:r w:rsidRPr="00D201E8">
        <w:rPr>
          <w:sz w:val="20"/>
        </w:rPr>
        <w:t>. That revi</w:t>
      </w:r>
      <w:r w:rsidR="006F2AD8">
        <w:rPr>
          <w:sz w:val="20"/>
        </w:rPr>
        <w:t>ew showed that the OECD Member c</w:t>
      </w:r>
      <w:r w:rsidRPr="00D201E8">
        <w:rPr>
          <w:sz w:val="20"/>
        </w:rPr>
        <w:t>ountries have different strategies to ensure ESM whereby certain means or a combination of means carried out by governments and other stakeholders ensure their facilities are ESM, for example:</w:t>
      </w:r>
    </w:p>
    <w:p w:rsidR="00A30615" w:rsidRDefault="001B7EFB" w:rsidP="00967DFE">
      <w:pPr>
        <w:tabs>
          <w:tab w:val="left" w:pos="2552"/>
        </w:tabs>
        <w:spacing w:after="120"/>
        <w:ind w:left="1440" w:firstLine="545"/>
        <w:rPr>
          <w:sz w:val="20"/>
        </w:rPr>
      </w:pPr>
      <w:r>
        <w:rPr>
          <w:sz w:val="20"/>
        </w:rPr>
        <w:t>(a)</w:t>
      </w:r>
      <w:r>
        <w:rPr>
          <w:sz w:val="20"/>
        </w:rPr>
        <w:tab/>
        <w:t>B</w:t>
      </w:r>
      <w:r w:rsidRPr="00D201E8">
        <w:rPr>
          <w:sz w:val="20"/>
        </w:rPr>
        <w:t>y strict prescriptive legislation on what to do and how to do it:</w:t>
      </w:r>
    </w:p>
    <w:p w:rsidR="005A60F1" w:rsidRDefault="00103D1F" w:rsidP="00967DFE">
      <w:pPr>
        <w:tabs>
          <w:tab w:val="left" w:pos="2552"/>
        </w:tabs>
        <w:spacing w:after="120"/>
        <w:ind w:left="1440" w:firstLine="545"/>
        <w:rPr>
          <w:sz w:val="20"/>
        </w:rPr>
      </w:pPr>
      <w:r>
        <w:rPr>
          <w:noProof/>
          <w:sz w:val="20"/>
          <w:lang w:val="en-US"/>
        </w:rPr>
        <w:drawing>
          <wp:inline distT="0" distB="0" distL="0" distR="0">
            <wp:extent cx="4352925" cy="3267075"/>
            <wp:effectExtent l="19050" t="19050" r="28575" b="28575"/>
            <wp:docPr id="3" name="Picture 4" descr="Illustration 1 for UNEP Basel Convention incentives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1 for UNEP Basel Convention incentives document.jpg"/>
                    <pic:cNvPicPr>
                      <a:picLocks noChangeAspect="1" noChangeArrowheads="1"/>
                    </pic:cNvPicPr>
                  </pic:nvPicPr>
                  <pic:blipFill>
                    <a:blip r:embed="rId9" cstate="print"/>
                    <a:srcRect/>
                    <a:stretch>
                      <a:fillRect/>
                    </a:stretch>
                  </pic:blipFill>
                  <pic:spPr bwMode="auto">
                    <a:xfrm>
                      <a:off x="0" y="0"/>
                      <a:ext cx="4352925" cy="3267075"/>
                    </a:xfrm>
                    <a:prstGeom prst="rect">
                      <a:avLst/>
                    </a:prstGeom>
                    <a:noFill/>
                    <a:ln w="9525" cmpd="sng">
                      <a:solidFill>
                        <a:srgbClr val="4F81BD"/>
                      </a:solidFill>
                      <a:miter lim="800000"/>
                      <a:headEnd/>
                      <a:tailEnd/>
                    </a:ln>
                    <a:effectLst/>
                  </pic:spPr>
                </pic:pic>
              </a:graphicData>
            </a:graphic>
          </wp:inline>
        </w:drawing>
      </w:r>
    </w:p>
    <w:p w:rsidR="005A60F1" w:rsidRPr="00D201E8" w:rsidRDefault="005A60F1" w:rsidP="00A140D6">
      <w:pPr>
        <w:tabs>
          <w:tab w:val="left" w:pos="2552"/>
        </w:tabs>
        <w:spacing w:before="240" w:after="240"/>
        <w:ind w:left="1440" w:firstLine="545"/>
        <w:rPr>
          <w:sz w:val="20"/>
        </w:rPr>
      </w:pPr>
      <w:r>
        <w:rPr>
          <w:sz w:val="20"/>
        </w:rPr>
        <w:t>(b)</w:t>
      </w:r>
      <w:r>
        <w:rPr>
          <w:sz w:val="20"/>
        </w:rPr>
        <w:tab/>
        <w:t>B</w:t>
      </w:r>
      <w:r w:rsidRPr="00D201E8">
        <w:rPr>
          <w:sz w:val="20"/>
        </w:rPr>
        <w:t>y ensuring proper application of a generic Management Sys</w:t>
      </w:r>
      <w:r>
        <w:rPr>
          <w:sz w:val="20"/>
        </w:rPr>
        <w:t xml:space="preserve">tem with a plan – do – check </w:t>
      </w:r>
      <w:r w:rsidRPr="00C029A8">
        <w:rPr>
          <w:b/>
          <w:sz w:val="20"/>
        </w:rPr>
        <w:t>-</w:t>
      </w:r>
      <w:r>
        <w:rPr>
          <w:sz w:val="20"/>
        </w:rPr>
        <w:t xml:space="preserve"> </w:t>
      </w:r>
      <w:r w:rsidRPr="00D201E8">
        <w:rPr>
          <w:sz w:val="20"/>
        </w:rPr>
        <w:t>act model that will determine what to do and how to do it, in combination with less prescriptive framework legislation</w:t>
      </w:r>
      <w:r>
        <w:rPr>
          <w:sz w:val="20"/>
        </w:rPr>
        <w:t>:</w:t>
      </w:r>
    </w:p>
    <w:p w:rsidR="005A60F1" w:rsidRDefault="00103D1F" w:rsidP="00967DFE">
      <w:pPr>
        <w:tabs>
          <w:tab w:val="left" w:pos="2552"/>
        </w:tabs>
        <w:spacing w:after="120"/>
        <w:ind w:left="1440" w:firstLine="545"/>
        <w:rPr>
          <w:sz w:val="20"/>
        </w:rPr>
      </w:pPr>
      <w:r>
        <w:rPr>
          <w:noProof/>
          <w:sz w:val="20"/>
          <w:lang w:val="en-US"/>
        </w:rPr>
        <w:lastRenderedPageBreak/>
        <w:drawing>
          <wp:inline distT="0" distB="0" distL="0" distR="0">
            <wp:extent cx="4352925" cy="3267075"/>
            <wp:effectExtent l="19050" t="19050" r="28575" b="28575"/>
            <wp:docPr id="4" name="Picture 5" descr="Illustration 2 for UNEP Basel Convention incentives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2 for UNEP Basel Convention incentives document.jpg"/>
                    <pic:cNvPicPr>
                      <a:picLocks noChangeAspect="1" noChangeArrowheads="1"/>
                    </pic:cNvPicPr>
                  </pic:nvPicPr>
                  <pic:blipFill>
                    <a:blip r:embed="rId10" cstate="print"/>
                    <a:srcRect/>
                    <a:stretch>
                      <a:fillRect/>
                    </a:stretch>
                  </pic:blipFill>
                  <pic:spPr bwMode="auto">
                    <a:xfrm>
                      <a:off x="0" y="0"/>
                      <a:ext cx="4352925" cy="3267075"/>
                    </a:xfrm>
                    <a:prstGeom prst="rect">
                      <a:avLst/>
                    </a:prstGeom>
                    <a:noFill/>
                    <a:ln w="9525" cmpd="sng">
                      <a:solidFill>
                        <a:srgbClr val="4F81BD"/>
                      </a:solidFill>
                      <a:miter lim="800000"/>
                      <a:headEnd/>
                      <a:tailEnd/>
                    </a:ln>
                    <a:effectLst/>
                  </pic:spPr>
                </pic:pic>
              </a:graphicData>
            </a:graphic>
          </wp:inline>
        </w:drawing>
      </w:r>
    </w:p>
    <w:p w:rsidR="005A60F1" w:rsidRDefault="00A140D6" w:rsidP="00A140D6">
      <w:pPr>
        <w:tabs>
          <w:tab w:val="left" w:pos="2552"/>
        </w:tabs>
        <w:spacing w:before="240" w:after="240"/>
        <w:ind w:left="1440" w:firstLine="545"/>
        <w:rPr>
          <w:sz w:val="20"/>
        </w:rPr>
      </w:pPr>
      <w:r>
        <w:rPr>
          <w:sz w:val="20"/>
        </w:rPr>
        <w:t>(c)</w:t>
      </w:r>
      <w:r>
        <w:rPr>
          <w:sz w:val="20"/>
        </w:rPr>
        <w:tab/>
        <w:t>B</w:t>
      </w:r>
      <w:r w:rsidRPr="00D201E8">
        <w:rPr>
          <w:sz w:val="20"/>
        </w:rPr>
        <w:t xml:space="preserve">y tailor made sector specific </w:t>
      </w:r>
      <w:r w:rsidR="00C87AF3">
        <w:rPr>
          <w:sz w:val="20"/>
        </w:rPr>
        <w:t>EMSs</w:t>
      </w:r>
      <w:r w:rsidRPr="00D201E8">
        <w:rPr>
          <w:sz w:val="20"/>
        </w:rPr>
        <w:t xml:space="preserve"> on what to do and how to do it, in combination with less prescriptive framework legislation</w:t>
      </w:r>
      <w:r>
        <w:rPr>
          <w:sz w:val="20"/>
        </w:rPr>
        <w:t>:</w:t>
      </w:r>
    </w:p>
    <w:p w:rsidR="005A60F1" w:rsidRDefault="00103D1F" w:rsidP="00967DFE">
      <w:pPr>
        <w:tabs>
          <w:tab w:val="left" w:pos="2552"/>
        </w:tabs>
        <w:spacing w:after="120"/>
        <w:ind w:left="1440" w:firstLine="545"/>
        <w:rPr>
          <w:sz w:val="20"/>
        </w:rPr>
      </w:pPr>
      <w:r>
        <w:rPr>
          <w:noProof/>
          <w:sz w:val="20"/>
          <w:lang w:val="en-US"/>
        </w:rPr>
        <w:drawing>
          <wp:inline distT="0" distB="0" distL="0" distR="0">
            <wp:extent cx="4333875" cy="3257550"/>
            <wp:effectExtent l="19050" t="19050" r="28575" b="19050"/>
            <wp:docPr id="5" name="Picture 7" descr="Illustration 3 for UNEP Basel Convention incentives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3 for UNEP Basel Convention incentives document.jpg"/>
                    <pic:cNvPicPr>
                      <a:picLocks noChangeAspect="1" noChangeArrowheads="1"/>
                    </pic:cNvPicPr>
                  </pic:nvPicPr>
                  <pic:blipFill>
                    <a:blip r:embed="rId11" cstate="print"/>
                    <a:srcRect/>
                    <a:stretch>
                      <a:fillRect/>
                    </a:stretch>
                  </pic:blipFill>
                  <pic:spPr bwMode="auto">
                    <a:xfrm>
                      <a:off x="0" y="0"/>
                      <a:ext cx="4333875" cy="3257550"/>
                    </a:xfrm>
                    <a:prstGeom prst="rect">
                      <a:avLst/>
                    </a:prstGeom>
                    <a:noFill/>
                    <a:ln w="9525" cmpd="sng">
                      <a:solidFill>
                        <a:srgbClr val="4F81BD"/>
                      </a:solidFill>
                      <a:miter lim="800000"/>
                      <a:headEnd/>
                      <a:tailEnd/>
                    </a:ln>
                    <a:effectLst/>
                  </pic:spPr>
                </pic:pic>
              </a:graphicData>
            </a:graphic>
          </wp:inline>
        </w:drawing>
      </w:r>
    </w:p>
    <w:p w:rsidR="005A60F1" w:rsidRDefault="005A60F1" w:rsidP="00967DFE">
      <w:pPr>
        <w:tabs>
          <w:tab w:val="left" w:pos="2552"/>
        </w:tabs>
        <w:spacing w:after="120"/>
        <w:ind w:left="1440" w:firstLine="545"/>
        <w:rPr>
          <w:sz w:val="20"/>
        </w:rPr>
      </w:pPr>
    </w:p>
    <w:p w:rsidR="00A140D6" w:rsidRPr="00D201E8" w:rsidRDefault="00A140D6" w:rsidP="00A140D6">
      <w:pPr>
        <w:tabs>
          <w:tab w:val="left" w:pos="2552"/>
        </w:tabs>
        <w:spacing w:after="120"/>
        <w:ind w:left="1440" w:firstLine="545"/>
        <w:rPr>
          <w:sz w:val="20"/>
        </w:rPr>
      </w:pPr>
      <w:r>
        <w:rPr>
          <w:sz w:val="20"/>
        </w:rPr>
        <w:t>(d)</w:t>
      </w:r>
      <w:r>
        <w:rPr>
          <w:sz w:val="20"/>
        </w:rPr>
        <w:tab/>
      </w:r>
      <w:r w:rsidRPr="00D201E8">
        <w:rPr>
          <w:sz w:val="20"/>
        </w:rPr>
        <w:t>Linking with respective Basel Convention Technical Guidelines</w:t>
      </w:r>
      <w:r>
        <w:rPr>
          <w:sz w:val="20"/>
        </w:rPr>
        <w:t>:</w:t>
      </w:r>
    </w:p>
    <w:p w:rsidR="00A140D6" w:rsidRPr="00D201E8" w:rsidRDefault="00A140D6" w:rsidP="00A140D6">
      <w:pPr>
        <w:spacing w:after="240"/>
        <w:ind w:left="2552"/>
        <w:rPr>
          <w:sz w:val="20"/>
        </w:rPr>
      </w:pPr>
      <w:r>
        <w:rPr>
          <w:sz w:val="20"/>
        </w:rPr>
        <w:t>Over</w:t>
      </w:r>
      <w:r w:rsidRPr="00D201E8">
        <w:rPr>
          <w:sz w:val="20"/>
        </w:rPr>
        <w:t xml:space="preserve"> </w:t>
      </w:r>
      <w:r>
        <w:rPr>
          <w:sz w:val="20"/>
        </w:rPr>
        <w:t>20</w:t>
      </w:r>
      <w:r w:rsidRPr="00D201E8">
        <w:rPr>
          <w:sz w:val="20"/>
        </w:rPr>
        <w:t xml:space="preserve"> years</w:t>
      </w:r>
      <w:r w:rsidR="00996D4E">
        <w:rPr>
          <w:sz w:val="20"/>
        </w:rPr>
        <w:t>,</w:t>
      </w:r>
      <w:r w:rsidRPr="00D201E8">
        <w:rPr>
          <w:sz w:val="20"/>
        </w:rPr>
        <w:t xml:space="preserve"> the Basel Convention has adopted and promulgated technical guidelines principally on the ESM of certain wastes, and on disposal operations such as </w:t>
      </w:r>
      <w:proofErr w:type="spellStart"/>
      <w:r w:rsidRPr="00D201E8">
        <w:rPr>
          <w:sz w:val="20"/>
        </w:rPr>
        <w:t>landfilling</w:t>
      </w:r>
      <w:proofErr w:type="spellEnd"/>
      <w:r w:rsidRPr="00D201E8">
        <w:rPr>
          <w:sz w:val="20"/>
        </w:rPr>
        <w:t xml:space="preserve"> and incineration on land, but also on other technical issues such as hazard characterisation. </w:t>
      </w:r>
      <w:r w:rsidR="00F4530D">
        <w:rPr>
          <w:sz w:val="20"/>
        </w:rPr>
        <w:t>Annex</w:t>
      </w:r>
      <w:r w:rsidRPr="00D201E8">
        <w:rPr>
          <w:sz w:val="20"/>
        </w:rPr>
        <w:t xml:space="preserve"> B lists the adopted technical guidelines. The practical linkage of facility operations with the Basel Convention Technical Guidelines has not been fully exploited for all final disposal or recovery operations. Assessing facility ESM against relevant Basel Convention Technical Guidelines is another path to ESM, with many benefits for the Basel Convention itself. The experience of the Green Lead Initiative which has developed and made applicable an assessment method for </w:t>
      </w:r>
      <w:r w:rsidRPr="00D201E8">
        <w:rPr>
          <w:sz w:val="20"/>
        </w:rPr>
        <w:lastRenderedPageBreak/>
        <w:t>verifying compliance with ESM for Used Lead Acid Batteries (ULABs) is related here below.</w:t>
      </w:r>
    </w:p>
    <w:tbl>
      <w:tblPr>
        <w:tblW w:w="0" w:type="auto"/>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5"/>
      </w:tblGrid>
      <w:tr w:rsidR="00A140D6" w:rsidRPr="00522877" w:rsidTr="00A140D6">
        <w:trPr>
          <w:trHeight w:val="2261"/>
        </w:trPr>
        <w:tc>
          <w:tcPr>
            <w:tcW w:w="8185" w:type="dxa"/>
          </w:tcPr>
          <w:p w:rsidR="00A140D6" w:rsidRPr="00522877" w:rsidRDefault="00A140D6" w:rsidP="00A140D6">
            <w:pPr>
              <w:spacing w:before="120" w:after="120"/>
              <w:jc w:val="center"/>
              <w:rPr>
                <w:rFonts w:eastAsia="Calibri" w:cs="Arial"/>
                <w:b/>
                <w:sz w:val="20"/>
              </w:rPr>
            </w:pPr>
            <w:r w:rsidRPr="00522877">
              <w:rPr>
                <w:rFonts w:eastAsia="Calibri" w:cs="Arial"/>
                <w:b/>
                <w:sz w:val="20"/>
              </w:rPr>
              <w:t>The Green Lead initiative</w:t>
            </w:r>
          </w:p>
          <w:p w:rsidR="00A140D6" w:rsidRPr="00522877" w:rsidRDefault="00A140D6" w:rsidP="00A140D6">
            <w:pPr>
              <w:spacing w:after="120"/>
              <w:rPr>
                <w:rFonts w:eastAsia="Calibri" w:cs="Arial"/>
                <w:sz w:val="20"/>
              </w:rPr>
            </w:pPr>
            <w:r w:rsidRPr="00522877">
              <w:rPr>
                <w:rFonts w:eastAsia="Calibri" w:cs="Arial"/>
                <w:sz w:val="20"/>
              </w:rPr>
              <w:t>The basic philosophy behind the Green Lead initiative</w:t>
            </w:r>
            <w:r w:rsidR="00020671">
              <w:rPr>
                <w:rStyle w:val="FootnoteReference"/>
                <w:rFonts w:eastAsia="Calibri" w:cs="Arial"/>
              </w:rPr>
              <w:footnoteReference w:id="12"/>
            </w:r>
            <w:r w:rsidRPr="00522877">
              <w:rPr>
                <w:rFonts w:eastAsia="Calibri" w:cs="Arial"/>
                <w:sz w:val="20"/>
              </w:rPr>
              <w:t xml:space="preserve"> is the use of an audit tool to assess the recovery and recycling procedures and processes for the sound management</w:t>
            </w:r>
            <w:r w:rsidR="007F3429">
              <w:rPr>
                <w:rFonts w:eastAsia="Calibri" w:cs="Arial"/>
                <w:sz w:val="20"/>
              </w:rPr>
              <w:t xml:space="preserve"> of the lead life-</w:t>
            </w:r>
            <w:r w:rsidRPr="00522877">
              <w:rPr>
                <w:rFonts w:eastAsia="Calibri" w:cs="Arial"/>
                <w:sz w:val="20"/>
              </w:rPr>
              <w:t xml:space="preserve">cycle to determine the degree of compliance with the respective national environmental and occupational health legislation, the Basel Convention for the </w:t>
            </w:r>
            <w:proofErr w:type="spellStart"/>
            <w:r w:rsidRPr="00522877">
              <w:rPr>
                <w:rFonts w:eastAsia="Calibri" w:cs="Arial"/>
                <w:sz w:val="20"/>
              </w:rPr>
              <w:t>transboundary</w:t>
            </w:r>
            <w:proofErr w:type="spellEnd"/>
            <w:r w:rsidRPr="00522877">
              <w:rPr>
                <w:rFonts w:eastAsia="Calibri" w:cs="Arial"/>
                <w:sz w:val="20"/>
              </w:rPr>
              <w:t xml:space="preserve"> movement of ULAB and conformance with the Basel Technical Guidelines for the ESM of ULAB.</w:t>
            </w:r>
          </w:p>
          <w:p w:rsidR="00A140D6" w:rsidRPr="00522877" w:rsidRDefault="00A140D6" w:rsidP="00A140D6">
            <w:pPr>
              <w:spacing w:after="120"/>
              <w:rPr>
                <w:rFonts w:eastAsia="Calibri" w:cs="Arial"/>
                <w:sz w:val="20"/>
              </w:rPr>
            </w:pPr>
            <w:r w:rsidRPr="00522877">
              <w:rPr>
                <w:rFonts w:eastAsia="Calibri" w:cs="Arial"/>
                <w:sz w:val="20"/>
              </w:rPr>
              <w:t xml:space="preserve">In 2002, as part of </w:t>
            </w:r>
            <w:r w:rsidR="007F3429">
              <w:rPr>
                <w:rFonts w:eastAsia="Calibri" w:cs="Arial"/>
                <w:sz w:val="20"/>
              </w:rPr>
              <w:t>a</w:t>
            </w:r>
            <w:r w:rsidRPr="00522877">
              <w:rPr>
                <w:rFonts w:eastAsia="Calibri" w:cs="Arial"/>
                <w:sz w:val="20"/>
              </w:rPr>
              <w:t xml:space="preserve"> ULAB recovery and recycling project in Central America and the Caribbean Island States, the Basel Secretariat initiated work on the development of an assessment tool to measure conformance with the Basel Convention and the Basel Technical Guidelines. In 2004, the Secretariat decided to pool resources with the Green Lead Initiative, which was also developing </w:t>
            </w:r>
            <w:r w:rsidR="007F3429">
              <w:rPr>
                <w:rFonts w:eastAsia="Calibri" w:cs="Arial"/>
                <w:sz w:val="20"/>
              </w:rPr>
              <w:t>an ESM assessment tool for the lead i</w:t>
            </w:r>
            <w:r w:rsidRPr="00522877">
              <w:rPr>
                <w:rFonts w:eastAsia="Calibri" w:cs="Arial"/>
                <w:sz w:val="20"/>
              </w:rPr>
              <w:t>ndustry and to adopt the term “Green Lead” for its assessment tool.</w:t>
            </w:r>
          </w:p>
          <w:p w:rsidR="00A140D6" w:rsidRPr="00522877" w:rsidRDefault="00A140D6" w:rsidP="00A140D6">
            <w:pPr>
              <w:spacing w:after="120"/>
              <w:rPr>
                <w:rFonts w:eastAsia="Calibri" w:cs="Arial"/>
                <w:sz w:val="20"/>
              </w:rPr>
            </w:pPr>
            <w:r w:rsidRPr="00522877">
              <w:rPr>
                <w:rFonts w:eastAsia="Calibri" w:cs="Arial"/>
                <w:sz w:val="20"/>
              </w:rPr>
              <w:t>The Green Lead Assessment Tool identifies any a</w:t>
            </w:r>
            <w:r w:rsidR="007F3429">
              <w:rPr>
                <w:rFonts w:eastAsia="Calibri" w:cs="Arial"/>
                <w:sz w:val="20"/>
              </w:rPr>
              <w:t>dverse impacts associated with l</w:t>
            </w:r>
            <w:r w:rsidRPr="00522877">
              <w:rPr>
                <w:rFonts w:eastAsia="Calibri" w:cs="Arial"/>
                <w:sz w:val="20"/>
              </w:rPr>
              <w:t>ead during the ULAB recovery and recycling phases and provides a platform to establish procedures to minimize or eliminate these impacts. In this respect the Green Lead Assessment T</w:t>
            </w:r>
            <w:r w:rsidR="007F3429">
              <w:rPr>
                <w:rFonts w:eastAsia="Calibri" w:cs="Arial"/>
                <w:sz w:val="20"/>
              </w:rPr>
              <w:t>ool is a pro-</w:t>
            </w:r>
            <w:r w:rsidRPr="00522877">
              <w:rPr>
                <w:rFonts w:eastAsia="Calibri" w:cs="Arial"/>
                <w:sz w:val="20"/>
              </w:rPr>
              <w:t>active product stewardship instrument aimed at contributing to broader and better sustainable development outcomes for the lead industry through the sound management of the lead product life cycle.</w:t>
            </w:r>
          </w:p>
          <w:p w:rsidR="00A140D6" w:rsidRPr="00522877" w:rsidRDefault="00A140D6" w:rsidP="00A140D6">
            <w:pPr>
              <w:spacing w:after="120"/>
              <w:rPr>
                <w:rFonts w:eastAsia="Calibri" w:cs="Arial"/>
                <w:sz w:val="20"/>
              </w:rPr>
            </w:pPr>
            <w:r w:rsidRPr="00522877">
              <w:rPr>
                <w:rFonts w:eastAsia="Calibri" w:cs="Arial"/>
                <w:sz w:val="20"/>
              </w:rPr>
              <w:t>The basic process concept of Green Lead is the identification of impacts associated with lead, the establishment of protocols and subsequent mechanisms to minimize these impacts and recognition of organizations that achieve compliance with the protocols through the Green Lead Award for ESM and Sustainable Recovery and Recycling of ULAB in compliance with prevailing legislation, the Basel Convention and the respective Technical Guidelines.</w:t>
            </w:r>
          </w:p>
          <w:p w:rsidR="00A140D6" w:rsidRPr="00522877" w:rsidRDefault="00A140D6" w:rsidP="007F3429">
            <w:pPr>
              <w:spacing w:after="120"/>
              <w:rPr>
                <w:rFonts w:eastAsia="Calibri" w:cs="Arial"/>
                <w:sz w:val="20"/>
              </w:rPr>
            </w:pPr>
            <w:r w:rsidRPr="00522877">
              <w:rPr>
                <w:rFonts w:eastAsia="Calibri" w:cs="Arial"/>
                <w:sz w:val="20"/>
              </w:rPr>
              <w:t>The Green Lead Assessment Tool is applicable to Mine Sites, ULAB storage units, ULAB transportation and recycling plants. In principle, this means that a Green Lead Assessment Program should</w:t>
            </w:r>
            <w:r w:rsidR="007F3429">
              <w:rPr>
                <w:rFonts w:eastAsia="Calibri" w:cs="Arial"/>
                <w:sz w:val="20"/>
              </w:rPr>
              <w:t xml:space="preserve"> direct all sectors in the life-</w:t>
            </w:r>
            <w:r w:rsidRPr="00522877">
              <w:rPr>
                <w:rFonts w:eastAsia="Calibri" w:cs="Arial"/>
                <w:sz w:val="20"/>
              </w:rPr>
              <w:t>cycle of a Lead Acid Battery</w:t>
            </w:r>
            <w:r w:rsidR="007F3429">
              <w:rPr>
                <w:rFonts w:eastAsia="Calibri" w:cs="Arial"/>
                <w:sz w:val="20"/>
              </w:rPr>
              <w:t>: that is, the lead mines, the primary and secondary smelters, the battery manufacturers, the consumers and the r</w:t>
            </w:r>
            <w:r w:rsidRPr="00522877">
              <w:rPr>
                <w:rFonts w:eastAsia="Calibri" w:cs="Arial"/>
                <w:sz w:val="20"/>
              </w:rPr>
              <w:t>ecyclers, in practices and procedures that are sustainable and minimize or negate any potential adverse impacts on either the environment or the population.</w:t>
            </w:r>
          </w:p>
        </w:tc>
      </w:tr>
    </w:tbl>
    <w:p w:rsidR="00A140D6" w:rsidRPr="00A140D6" w:rsidRDefault="00A140D6" w:rsidP="00A140D6">
      <w:pPr>
        <w:pStyle w:val="Heading1"/>
        <w:keepNext w:val="0"/>
        <w:tabs>
          <w:tab w:val="clear" w:pos="1247"/>
          <w:tab w:val="clear" w:pos="1814"/>
          <w:tab w:val="right" w:pos="993"/>
          <w:tab w:val="left" w:pos="1418"/>
        </w:tabs>
        <w:ind w:left="0" w:firstLine="0"/>
        <w:rPr>
          <w:bCs/>
          <w:spacing w:val="20"/>
          <w:szCs w:val="28"/>
        </w:rPr>
      </w:pPr>
      <w:r w:rsidRPr="00A140D6">
        <w:rPr>
          <w:bCs/>
          <w:spacing w:val="20"/>
          <w:szCs w:val="28"/>
        </w:rPr>
        <w:tab/>
      </w:r>
      <w:bookmarkStart w:id="14" w:name="_Toc478467380"/>
      <w:r w:rsidRPr="00A140D6">
        <w:rPr>
          <w:bCs/>
          <w:spacing w:val="20"/>
          <w:szCs w:val="28"/>
        </w:rPr>
        <w:t>IV.</w:t>
      </w:r>
      <w:r w:rsidRPr="00A140D6">
        <w:rPr>
          <w:bCs/>
          <w:spacing w:val="20"/>
          <w:szCs w:val="28"/>
        </w:rPr>
        <w:tab/>
        <w:t>Economics</w:t>
      </w:r>
      <w:bookmarkEnd w:id="14"/>
    </w:p>
    <w:p w:rsidR="00A140D6" w:rsidRPr="00D201E8" w:rsidRDefault="00A140D6" w:rsidP="009A372A">
      <w:pPr>
        <w:numPr>
          <w:ilvl w:val="0"/>
          <w:numId w:val="8"/>
        </w:numPr>
        <w:tabs>
          <w:tab w:val="left" w:pos="1985"/>
        </w:tabs>
        <w:spacing w:after="120"/>
        <w:ind w:left="1418" w:firstLine="0"/>
        <w:rPr>
          <w:sz w:val="20"/>
        </w:rPr>
      </w:pPr>
      <w:r w:rsidRPr="00D201E8">
        <w:rPr>
          <w:sz w:val="20"/>
        </w:rPr>
        <w:t xml:space="preserve">The basic economics of a waste management business involve firstly establishing the business with </w:t>
      </w:r>
      <w:r w:rsidR="009C510F">
        <w:rPr>
          <w:sz w:val="20"/>
        </w:rPr>
        <w:t>start-up c</w:t>
      </w:r>
      <w:r w:rsidRPr="00D201E8">
        <w:rPr>
          <w:sz w:val="20"/>
        </w:rPr>
        <w:t>apital, and secondly and most importantly</w:t>
      </w:r>
      <w:r>
        <w:rPr>
          <w:sz w:val="20"/>
        </w:rPr>
        <w:t>,</w:t>
      </w:r>
      <w:r w:rsidRPr="00D201E8">
        <w:rPr>
          <w:sz w:val="20"/>
        </w:rPr>
        <w:t xml:space="preserve"> running the business so that it breaks even, or if it is run as a commercial enterprise, that it makes a profit. The required </w:t>
      </w:r>
      <w:r w:rsidR="009C510F">
        <w:rPr>
          <w:sz w:val="20"/>
        </w:rPr>
        <w:t>start-u</w:t>
      </w:r>
      <w:r w:rsidRPr="00D201E8">
        <w:rPr>
          <w:sz w:val="20"/>
        </w:rPr>
        <w:t>p capital will include such items as:</w:t>
      </w:r>
    </w:p>
    <w:p w:rsidR="00A140D6" w:rsidRPr="00D201E8" w:rsidRDefault="00A140D6" w:rsidP="00A140D6">
      <w:pPr>
        <w:tabs>
          <w:tab w:val="left" w:pos="2552"/>
        </w:tabs>
        <w:spacing w:after="120"/>
        <w:ind w:left="1440" w:firstLine="545"/>
        <w:rPr>
          <w:sz w:val="20"/>
        </w:rPr>
      </w:pPr>
      <w:r>
        <w:rPr>
          <w:sz w:val="20"/>
        </w:rPr>
        <w:t>(a)</w:t>
      </w:r>
      <w:r>
        <w:rPr>
          <w:sz w:val="20"/>
        </w:rPr>
        <w:tab/>
      </w:r>
      <w:r w:rsidRPr="00D201E8">
        <w:rPr>
          <w:sz w:val="20"/>
        </w:rPr>
        <w:t>Investments</w:t>
      </w:r>
      <w:r>
        <w:rPr>
          <w:sz w:val="20"/>
        </w:rPr>
        <w:t>:</w:t>
      </w:r>
    </w:p>
    <w:p w:rsidR="00A140D6" w:rsidRPr="00D201E8" w:rsidRDefault="00A140D6" w:rsidP="00A140D6">
      <w:pPr>
        <w:tabs>
          <w:tab w:val="left" w:pos="3119"/>
        </w:tabs>
        <w:spacing w:after="120"/>
        <w:ind w:left="2160" w:firstLine="392"/>
        <w:rPr>
          <w:sz w:val="20"/>
        </w:rPr>
      </w:pPr>
      <w:r>
        <w:rPr>
          <w:sz w:val="20"/>
        </w:rPr>
        <w:t>(</w:t>
      </w:r>
      <w:proofErr w:type="spellStart"/>
      <w:r>
        <w:rPr>
          <w:sz w:val="20"/>
        </w:rPr>
        <w:t>i</w:t>
      </w:r>
      <w:proofErr w:type="spellEnd"/>
      <w:r>
        <w:rPr>
          <w:sz w:val="20"/>
        </w:rPr>
        <w:t>)</w:t>
      </w:r>
      <w:r>
        <w:rPr>
          <w:sz w:val="20"/>
        </w:rPr>
        <w:tab/>
      </w:r>
      <w:r w:rsidR="009C510F">
        <w:rPr>
          <w:sz w:val="20"/>
        </w:rPr>
        <w:t>Business p</w:t>
      </w:r>
      <w:r w:rsidRPr="00D201E8">
        <w:rPr>
          <w:sz w:val="20"/>
        </w:rPr>
        <w:t>remises</w:t>
      </w:r>
      <w:r>
        <w:rPr>
          <w:sz w:val="20"/>
        </w:rPr>
        <w:t>;</w:t>
      </w:r>
    </w:p>
    <w:p w:rsidR="00A140D6" w:rsidRPr="00D201E8" w:rsidRDefault="00A140D6" w:rsidP="00A140D6">
      <w:pPr>
        <w:tabs>
          <w:tab w:val="left" w:pos="3119"/>
        </w:tabs>
        <w:spacing w:after="120"/>
        <w:ind w:left="2160" w:firstLine="392"/>
        <w:rPr>
          <w:sz w:val="20"/>
        </w:rPr>
      </w:pPr>
      <w:r>
        <w:rPr>
          <w:sz w:val="20"/>
        </w:rPr>
        <w:t>(ii)</w:t>
      </w:r>
      <w:r>
        <w:rPr>
          <w:sz w:val="20"/>
        </w:rPr>
        <w:tab/>
      </w:r>
      <w:r w:rsidRPr="00D201E8">
        <w:rPr>
          <w:sz w:val="20"/>
        </w:rPr>
        <w:t>Equipment</w:t>
      </w:r>
      <w:r>
        <w:rPr>
          <w:sz w:val="20"/>
        </w:rPr>
        <w:t>;</w:t>
      </w:r>
    </w:p>
    <w:p w:rsidR="00A140D6" w:rsidRPr="00D201E8" w:rsidRDefault="00A140D6" w:rsidP="00A140D6">
      <w:pPr>
        <w:tabs>
          <w:tab w:val="left" w:pos="2552"/>
        </w:tabs>
        <w:spacing w:after="120"/>
        <w:ind w:left="1440" w:firstLine="545"/>
        <w:rPr>
          <w:sz w:val="20"/>
        </w:rPr>
      </w:pPr>
      <w:r>
        <w:rPr>
          <w:sz w:val="20"/>
        </w:rPr>
        <w:t>(b)</w:t>
      </w:r>
      <w:r>
        <w:rPr>
          <w:sz w:val="20"/>
        </w:rPr>
        <w:tab/>
      </w:r>
      <w:r w:rsidRPr="00D201E8">
        <w:rPr>
          <w:sz w:val="20"/>
        </w:rPr>
        <w:t>Working Capital</w:t>
      </w:r>
      <w:r>
        <w:rPr>
          <w:sz w:val="20"/>
        </w:rPr>
        <w:t>:</w:t>
      </w:r>
    </w:p>
    <w:p w:rsidR="00A140D6" w:rsidRPr="00D201E8" w:rsidRDefault="00A140D6" w:rsidP="00A140D6">
      <w:pPr>
        <w:tabs>
          <w:tab w:val="left" w:pos="3119"/>
        </w:tabs>
        <w:spacing w:after="120"/>
        <w:ind w:left="2160" w:firstLine="392"/>
        <w:rPr>
          <w:sz w:val="20"/>
        </w:rPr>
      </w:pPr>
      <w:r>
        <w:rPr>
          <w:sz w:val="20"/>
        </w:rPr>
        <w:t>(</w:t>
      </w:r>
      <w:proofErr w:type="spellStart"/>
      <w:r>
        <w:rPr>
          <w:sz w:val="20"/>
        </w:rPr>
        <w:t>i</w:t>
      </w:r>
      <w:proofErr w:type="spellEnd"/>
      <w:r>
        <w:rPr>
          <w:sz w:val="20"/>
        </w:rPr>
        <w:t>)</w:t>
      </w:r>
      <w:r>
        <w:rPr>
          <w:sz w:val="20"/>
        </w:rPr>
        <w:tab/>
      </w:r>
      <w:r w:rsidR="009C510F">
        <w:rPr>
          <w:sz w:val="20"/>
        </w:rPr>
        <w:t>For licensing, permitting or other a</w:t>
      </w:r>
      <w:r w:rsidRPr="00D201E8">
        <w:rPr>
          <w:sz w:val="20"/>
        </w:rPr>
        <w:t>uthorisation</w:t>
      </w:r>
      <w:r>
        <w:rPr>
          <w:sz w:val="20"/>
        </w:rPr>
        <w:t>;</w:t>
      </w:r>
    </w:p>
    <w:p w:rsidR="00A140D6" w:rsidRPr="00D201E8" w:rsidRDefault="00A140D6" w:rsidP="00A140D6">
      <w:pPr>
        <w:tabs>
          <w:tab w:val="left" w:pos="3119"/>
        </w:tabs>
        <w:spacing w:after="120"/>
        <w:ind w:left="2160" w:firstLine="392"/>
        <w:rPr>
          <w:sz w:val="20"/>
        </w:rPr>
      </w:pPr>
      <w:r>
        <w:rPr>
          <w:sz w:val="20"/>
        </w:rPr>
        <w:t>(ii)</w:t>
      </w:r>
      <w:r>
        <w:rPr>
          <w:sz w:val="20"/>
        </w:rPr>
        <w:tab/>
      </w:r>
      <w:r w:rsidRPr="00D201E8">
        <w:rPr>
          <w:sz w:val="20"/>
        </w:rPr>
        <w:t>Stocks of raw materials</w:t>
      </w:r>
      <w:r>
        <w:rPr>
          <w:sz w:val="20"/>
        </w:rPr>
        <w:t>;</w:t>
      </w:r>
    </w:p>
    <w:p w:rsidR="00A140D6" w:rsidRPr="00D201E8" w:rsidRDefault="00A140D6" w:rsidP="00A140D6">
      <w:pPr>
        <w:tabs>
          <w:tab w:val="left" w:pos="3119"/>
        </w:tabs>
        <w:spacing w:after="120"/>
        <w:ind w:left="2160" w:firstLine="392"/>
        <w:rPr>
          <w:sz w:val="20"/>
        </w:rPr>
      </w:pPr>
      <w:r>
        <w:rPr>
          <w:sz w:val="20"/>
        </w:rPr>
        <w:t>(iii)</w:t>
      </w:r>
      <w:r>
        <w:rPr>
          <w:sz w:val="20"/>
        </w:rPr>
        <w:tab/>
      </w:r>
      <w:r w:rsidRPr="00D201E8">
        <w:rPr>
          <w:sz w:val="20"/>
        </w:rPr>
        <w:t>Wages and salaries</w:t>
      </w:r>
      <w:r>
        <w:rPr>
          <w:sz w:val="20"/>
        </w:rPr>
        <w:t>;</w:t>
      </w:r>
    </w:p>
    <w:p w:rsidR="00A140D6" w:rsidRPr="00D201E8" w:rsidRDefault="00A140D6" w:rsidP="00A140D6">
      <w:pPr>
        <w:tabs>
          <w:tab w:val="left" w:pos="3119"/>
        </w:tabs>
        <w:spacing w:after="120"/>
        <w:ind w:left="2160" w:firstLine="392"/>
        <w:rPr>
          <w:sz w:val="20"/>
        </w:rPr>
      </w:pPr>
      <w:proofErr w:type="gramStart"/>
      <w:r>
        <w:rPr>
          <w:sz w:val="20"/>
        </w:rPr>
        <w:t>(iv)</w:t>
      </w:r>
      <w:r>
        <w:rPr>
          <w:sz w:val="20"/>
        </w:rPr>
        <w:tab/>
      </w:r>
      <w:r w:rsidRPr="00D201E8">
        <w:rPr>
          <w:sz w:val="20"/>
        </w:rPr>
        <w:t>Rent</w:t>
      </w:r>
      <w:proofErr w:type="gramEnd"/>
      <w:r>
        <w:rPr>
          <w:sz w:val="20"/>
        </w:rPr>
        <w:t>.</w:t>
      </w:r>
    </w:p>
    <w:p w:rsidR="00A140D6" w:rsidRPr="00D201E8" w:rsidRDefault="00A140D6" w:rsidP="009A372A">
      <w:pPr>
        <w:numPr>
          <w:ilvl w:val="0"/>
          <w:numId w:val="8"/>
        </w:numPr>
        <w:tabs>
          <w:tab w:val="left" w:pos="1985"/>
        </w:tabs>
        <w:spacing w:after="120"/>
        <w:ind w:left="1418" w:firstLine="0"/>
        <w:rPr>
          <w:sz w:val="20"/>
        </w:rPr>
      </w:pPr>
      <w:r w:rsidRPr="00D201E8">
        <w:rPr>
          <w:sz w:val="20"/>
        </w:rPr>
        <w:t>The most important types of start-up capital are:</w:t>
      </w:r>
    </w:p>
    <w:p w:rsidR="00A140D6" w:rsidRPr="00D201E8" w:rsidRDefault="00A140D6" w:rsidP="00A140D6">
      <w:pPr>
        <w:tabs>
          <w:tab w:val="left" w:pos="2552"/>
        </w:tabs>
        <w:spacing w:after="120"/>
        <w:ind w:left="1440" w:firstLine="545"/>
        <w:rPr>
          <w:sz w:val="20"/>
        </w:rPr>
      </w:pPr>
      <w:r>
        <w:rPr>
          <w:sz w:val="20"/>
        </w:rPr>
        <w:t>(a)</w:t>
      </w:r>
      <w:r>
        <w:rPr>
          <w:sz w:val="20"/>
        </w:rPr>
        <w:tab/>
      </w:r>
      <w:r w:rsidR="00024368">
        <w:rPr>
          <w:sz w:val="20"/>
        </w:rPr>
        <w:t>Owner’s equity - e</w:t>
      </w:r>
      <w:r w:rsidRPr="00D201E8">
        <w:rPr>
          <w:sz w:val="20"/>
        </w:rPr>
        <w:t>quity or owner’s contribution means the private money t</w:t>
      </w:r>
      <w:r>
        <w:rPr>
          <w:sz w:val="20"/>
        </w:rPr>
        <w:t>he owner puts into the business;</w:t>
      </w:r>
    </w:p>
    <w:p w:rsidR="00A140D6" w:rsidRPr="00D201E8" w:rsidRDefault="00A140D6" w:rsidP="00A140D6">
      <w:pPr>
        <w:tabs>
          <w:tab w:val="left" w:pos="2552"/>
        </w:tabs>
        <w:spacing w:after="120"/>
        <w:ind w:left="1440" w:firstLine="545"/>
        <w:rPr>
          <w:sz w:val="20"/>
        </w:rPr>
      </w:pPr>
      <w:r>
        <w:rPr>
          <w:sz w:val="20"/>
        </w:rPr>
        <w:lastRenderedPageBreak/>
        <w:t>(b)</w:t>
      </w:r>
      <w:r>
        <w:rPr>
          <w:sz w:val="20"/>
        </w:rPr>
        <w:tab/>
      </w:r>
      <w:r w:rsidR="00480C76">
        <w:rPr>
          <w:sz w:val="20"/>
        </w:rPr>
        <w:t>Loans - from such as: banks; g</w:t>
      </w:r>
      <w:r w:rsidRPr="00D201E8">
        <w:rPr>
          <w:sz w:val="20"/>
        </w:rPr>
        <w:t>overnment credit scheme</w:t>
      </w:r>
      <w:r w:rsidR="00480C76">
        <w:rPr>
          <w:sz w:val="20"/>
        </w:rPr>
        <w:t>s; n</w:t>
      </w:r>
      <w:r w:rsidRPr="00D201E8">
        <w:rPr>
          <w:sz w:val="20"/>
        </w:rPr>
        <w:t>on-government credit scheme</w:t>
      </w:r>
      <w:r w:rsidR="00480C76">
        <w:rPr>
          <w:sz w:val="20"/>
        </w:rPr>
        <w:t>s</w:t>
      </w:r>
      <w:r w:rsidRPr="00D201E8">
        <w:rPr>
          <w:sz w:val="20"/>
        </w:rPr>
        <w:t>; or private e.g. from friends</w:t>
      </w:r>
      <w:r>
        <w:rPr>
          <w:sz w:val="20"/>
        </w:rPr>
        <w:t>;</w:t>
      </w:r>
    </w:p>
    <w:p w:rsidR="00A140D6" w:rsidRPr="00D201E8" w:rsidRDefault="00A140D6" w:rsidP="00A140D6">
      <w:pPr>
        <w:tabs>
          <w:tab w:val="left" w:pos="2552"/>
        </w:tabs>
        <w:spacing w:after="120"/>
        <w:ind w:left="1440" w:firstLine="545"/>
        <w:rPr>
          <w:sz w:val="20"/>
        </w:rPr>
      </w:pPr>
      <w:r>
        <w:rPr>
          <w:sz w:val="20"/>
        </w:rPr>
        <w:t>(c)</w:t>
      </w:r>
      <w:r>
        <w:rPr>
          <w:sz w:val="20"/>
        </w:rPr>
        <w:tab/>
      </w:r>
      <w:r w:rsidRPr="00D201E8">
        <w:rPr>
          <w:sz w:val="20"/>
        </w:rPr>
        <w:t>Grants - an allowance that a government or an organization gives to support business creation</w:t>
      </w:r>
      <w:r>
        <w:rPr>
          <w:sz w:val="20"/>
        </w:rPr>
        <w:t>.</w:t>
      </w:r>
    </w:p>
    <w:p w:rsidR="00A140D6" w:rsidRPr="00D201E8" w:rsidRDefault="00480C76" w:rsidP="009A372A">
      <w:pPr>
        <w:numPr>
          <w:ilvl w:val="0"/>
          <w:numId w:val="8"/>
        </w:numPr>
        <w:tabs>
          <w:tab w:val="left" w:pos="1985"/>
        </w:tabs>
        <w:spacing w:after="120"/>
        <w:ind w:left="1418" w:firstLine="0"/>
        <w:rPr>
          <w:sz w:val="20"/>
        </w:rPr>
      </w:pPr>
      <w:r>
        <w:rPr>
          <w:sz w:val="20"/>
        </w:rPr>
        <w:t xml:space="preserve">The scope of the </w:t>
      </w:r>
      <w:r w:rsidR="00A140D6" w:rsidRPr="00D201E8">
        <w:rPr>
          <w:sz w:val="20"/>
        </w:rPr>
        <w:t>ESM Framework</w:t>
      </w:r>
      <w:r>
        <w:rPr>
          <w:sz w:val="20"/>
        </w:rPr>
        <w:t xml:space="preserve"> is reiterated here as for </w:t>
      </w:r>
      <w:r w:rsidR="00A140D6" w:rsidRPr="00D201E8">
        <w:rPr>
          <w:sz w:val="20"/>
        </w:rPr>
        <w:t>hazardous wastes and other wastes, due to the nature and classification of these wastes</w:t>
      </w:r>
      <w:r w:rsidR="00A140D6">
        <w:rPr>
          <w:sz w:val="20"/>
        </w:rPr>
        <w:t>,</w:t>
      </w:r>
      <w:r w:rsidR="00A140D6" w:rsidRPr="00D201E8">
        <w:rPr>
          <w:sz w:val="20"/>
        </w:rPr>
        <w:t xml:space="preserve"> their ESM will typically be costly.</w:t>
      </w:r>
    </w:p>
    <w:p w:rsidR="00A140D6" w:rsidRPr="00D201E8" w:rsidRDefault="00A140D6" w:rsidP="009A372A">
      <w:pPr>
        <w:numPr>
          <w:ilvl w:val="0"/>
          <w:numId w:val="8"/>
        </w:numPr>
        <w:tabs>
          <w:tab w:val="left" w:pos="1985"/>
        </w:tabs>
        <w:spacing w:after="120"/>
        <w:ind w:left="1418" w:firstLine="0"/>
        <w:rPr>
          <w:sz w:val="20"/>
        </w:rPr>
      </w:pPr>
      <w:r w:rsidRPr="00D201E8">
        <w:rPr>
          <w:sz w:val="20"/>
        </w:rPr>
        <w:t>The Basel Convention lists</w:t>
      </w:r>
      <w:r w:rsidR="00480C76">
        <w:rPr>
          <w:sz w:val="20"/>
        </w:rPr>
        <w:t xml:space="preserve"> in its Annex IVA o</w:t>
      </w:r>
      <w:r w:rsidRPr="00D201E8">
        <w:rPr>
          <w:sz w:val="20"/>
        </w:rPr>
        <w:t xml:space="preserve">perations which </w:t>
      </w:r>
      <w:proofErr w:type="gramStart"/>
      <w:r w:rsidRPr="00D201E8">
        <w:rPr>
          <w:sz w:val="20"/>
        </w:rPr>
        <w:t>do not lead</w:t>
      </w:r>
      <w:proofErr w:type="gramEnd"/>
      <w:r w:rsidRPr="00D201E8">
        <w:rPr>
          <w:sz w:val="20"/>
        </w:rPr>
        <w:t xml:space="preserve"> to the possibility of resource recovery, recycling, reclamation, direct re-use or alternative uses. For most, if no</w:t>
      </w:r>
      <w:r w:rsidR="00480C76">
        <w:rPr>
          <w:sz w:val="20"/>
        </w:rPr>
        <w:t>t all of these operations, the start-up c</w:t>
      </w:r>
      <w:r w:rsidRPr="00D201E8">
        <w:rPr>
          <w:sz w:val="20"/>
        </w:rPr>
        <w:t xml:space="preserve">apital would </w:t>
      </w:r>
      <w:r w:rsidR="00480C76">
        <w:rPr>
          <w:sz w:val="20"/>
        </w:rPr>
        <w:t>likely be outside the means of small-s</w:t>
      </w:r>
      <w:r w:rsidRPr="00D201E8">
        <w:rPr>
          <w:sz w:val="20"/>
        </w:rPr>
        <w:t>i</w:t>
      </w:r>
      <w:r w:rsidR="00480C76">
        <w:rPr>
          <w:sz w:val="20"/>
        </w:rPr>
        <w:t>zed e</w:t>
      </w:r>
      <w:r w:rsidRPr="00D201E8">
        <w:rPr>
          <w:sz w:val="20"/>
        </w:rPr>
        <w:t>nterprises, whilst running these disposal oper</w:t>
      </w:r>
      <w:r w:rsidR="00480C76">
        <w:rPr>
          <w:sz w:val="20"/>
        </w:rPr>
        <w:t>ations will commonly entail a “gate f</w:t>
      </w:r>
      <w:r w:rsidRPr="00D201E8">
        <w:rPr>
          <w:sz w:val="20"/>
        </w:rPr>
        <w:t>ee” where the facility operator charges those who wish to dispose of wastes dependent on the waste characteristics</w:t>
      </w:r>
      <w:r w:rsidR="00480C76">
        <w:rPr>
          <w:sz w:val="20"/>
        </w:rPr>
        <w:t>, such</w:t>
      </w:r>
      <w:r w:rsidRPr="00D201E8">
        <w:rPr>
          <w:sz w:val="20"/>
        </w:rPr>
        <w:t xml:space="preserve"> as</w:t>
      </w:r>
      <w:r w:rsidR="00480C76">
        <w:rPr>
          <w:sz w:val="20"/>
        </w:rPr>
        <w:t xml:space="preserve"> hazardous waste or other waste</w:t>
      </w:r>
      <w:r w:rsidRPr="00D201E8">
        <w:rPr>
          <w:sz w:val="20"/>
        </w:rPr>
        <w:t xml:space="preserve">, and on its volume or weight. The operations include:  </w:t>
      </w:r>
    </w:p>
    <w:p w:rsidR="00A140D6" w:rsidRPr="00D201E8" w:rsidRDefault="00A140D6" w:rsidP="00A140D6">
      <w:pPr>
        <w:tabs>
          <w:tab w:val="left" w:pos="2552"/>
        </w:tabs>
        <w:spacing w:after="120"/>
        <w:ind w:left="1440" w:firstLine="545"/>
        <w:rPr>
          <w:sz w:val="20"/>
        </w:rPr>
      </w:pPr>
      <w:proofErr w:type="gramStart"/>
      <w:r w:rsidRPr="00D201E8">
        <w:rPr>
          <w:sz w:val="20"/>
        </w:rPr>
        <w:t>D1</w:t>
      </w:r>
      <w:r>
        <w:rPr>
          <w:sz w:val="20"/>
        </w:rPr>
        <w:tab/>
      </w:r>
      <w:r w:rsidRPr="00D201E8">
        <w:rPr>
          <w:sz w:val="20"/>
        </w:rPr>
        <w:t>Deposit into or onto land, (e.g., landfill, etc.)</w:t>
      </w:r>
      <w:proofErr w:type="gramEnd"/>
    </w:p>
    <w:p w:rsidR="00A140D6" w:rsidRPr="00D201E8" w:rsidRDefault="00A140D6" w:rsidP="00A140D6">
      <w:pPr>
        <w:tabs>
          <w:tab w:val="left" w:pos="2552"/>
        </w:tabs>
        <w:spacing w:after="120"/>
        <w:ind w:left="1440" w:firstLine="545"/>
        <w:rPr>
          <w:sz w:val="20"/>
        </w:rPr>
      </w:pPr>
      <w:proofErr w:type="gramStart"/>
      <w:r w:rsidRPr="00D201E8">
        <w:rPr>
          <w:sz w:val="20"/>
        </w:rPr>
        <w:t>D2</w:t>
      </w:r>
      <w:r>
        <w:rPr>
          <w:sz w:val="20"/>
        </w:rPr>
        <w:tab/>
      </w:r>
      <w:r w:rsidRPr="00D201E8">
        <w:rPr>
          <w:sz w:val="20"/>
        </w:rPr>
        <w:t>Land treatment, (e.g., biodegradation of liquid or sludgy discards in soils, etc.)</w:t>
      </w:r>
      <w:proofErr w:type="gramEnd"/>
    </w:p>
    <w:p w:rsidR="00A140D6" w:rsidRPr="00D201E8" w:rsidRDefault="00A140D6" w:rsidP="00A140D6">
      <w:pPr>
        <w:tabs>
          <w:tab w:val="left" w:pos="2552"/>
        </w:tabs>
        <w:spacing w:after="120"/>
        <w:ind w:left="2552" w:hanging="567"/>
        <w:rPr>
          <w:sz w:val="20"/>
        </w:rPr>
      </w:pPr>
      <w:proofErr w:type="gramStart"/>
      <w:r w:rsidRPr="00D201E8">
        <w:rPr>
          <w:sz w:val="20"/>
        </w:rPr>
        <w:t>D3</w:t>
      </w:r>
      <w:r>
        <w:rPr>
          <w:sz w:val="20"/>
        </w:rPr>
        <w:tab/>
      </w:r>
      <w:r w:rsidRPr="00D201E8">
        <w:rPr>
          <w:sz w:val="20"/>
        </w:rPr>
        <w:t xml:space="preserve">Deep injection, (e.g., injection of </w:t>
      </w:r>
      <w:proofErr w:type="spellStart"/>
      <w:r w:rsidRPr="00D201E8">
        <w:rPr>
          <w:sz w:val="20"/>
        </w:rPr>
        <w:t>pumpable</w:t>
      </w:r>
      <w:proofErr w:type="spellEnd"/>
      <w:r w:rsidRPr="00D201E8">
        <w:rPr>
          <w:sz w:val="20"/>
        </w:rPr>
        <w:t xml:space="preserve"> discards into wells, salt domes of naturally occurring repositories, etc.)</w:t>
      </w:r>
      <w:proofErr w:type="gramEnd"/>
    </w:p>
    <w:p w:rsidR="00A140D6" w:rsidRPr="00D201E8" w:rsidRDefault="00A140D6" w:rsidP="00A140D6">
      <w:pPr>
        <w:tabs>
          <w:tab w:val="left" w:pos="2552"/>
        </w:tabs>
        <w:spacing w:after="120"/>
        <w:ind w:left="2552" w:hanging="567"/>
        <w:rPr>
          <w:sz w:val="20"/>
        </w:rPr>
      </w:pPr>
      <w:proofErr w:type="gramStart"/>
      <w:r w:rsidRPr="00D201E8">
        <w:rPr>
          <w:sz w:val="20"/>
        </w:rPr>
        <w:t>D4</w:t>
      </w:r>
      <w:r>
        <w:rPr>
          <w:sz w:val="20"/>
        </w:rPr>
        <w:tab/>
      </w:r>
      <w:r w:rsidRPr="00D201E8">
        <w:rPr>
          <w:sz w:val="20"/>
        </w:rPr>
        <w:t>Surface impoundment, (e.g., placement of liquid or sludge discards into pits, ponds or lagoons, etc.)</w:t>
      </w:r>
      <w:proofErr w:type="gramEnd"/>
    </w:p>
    <w:p w:rsidR="00A140D6" w:rsidRPr="00D201E8" w:rsidRDefault="00A140D6" w:rsidP="00A140D6">
      <w:pPr>
        <w:tabs>
          <w:tab w:val="left" w:pos="2552"/>
        </w:tabs>
        <w:spacing w:after="120"/>
        <w:ind w:left="2552" w:hanging="567"/>
        <w:rPr>
          <w:sz w:val="20"/>
        </w:rPr>
      </w:pPr>
      <w:r w:rsidRPr="00D201E8">
        <w:rPr>
          <w:sz w:val="20"/>
        </w:rPr>
        <w:t>D5</w:t>
      </w:r>
      <w:r>
        <w:rPr>
          <w:sz w:val="20"/>
        </w:rPr>
        <w:tab/>
      </w:r>
      <w:r w:rsidRPr="00D201E8">
        <w:rPr>
          <w:sz w:val="20"/>
        </w:rPr>
        <w:t>Specially engineered landfill, (e.g., placement into lined discrete cells which are capped and isolated from one another and the environment, etc.)</w:t>
      </w:r>
    </w:p>
    <w:p w:rsidR="00A140D6" w:rsidRPr="00D201E8" w:rsidRDefault="00A140D6" w:rsidP="00A140D6">
      <w:pPr>
        <w:tabs>
          <w:tab w:val="left" w:pos="2552"/>
        </w:tabs>
        <w:spacing w:after="120"/>
        <w:ind w:left="1440" w:firstLine="545"/>
        <w:rPr>
          <w:sz w:val="20"/>
        </w:rPr>
      </w:pPr>
      <w:r w:rsidRPr="00D201E8">
        <w:rPr>
          <w:sz w:val="20"/>
        </w:rPr>
        <w:t>D6</w:t>
      </w:r>
      <w:r>
        <w:rPr>
          <w:sz w:val="20"/>
        </w:rPr>
        <w:tab/>
      </w:r>
      <w:r w:rsidRPr="00D201E8">
        <w:rPr>
          <w:sz w:val="20"/>
        </w:rPr>
        <w:t>Release into a water body except seas/oceans</w:t>
      </w:r>
    </w:p>
    <w:p w:rsidR="00A140D6" w:rsidRPr="00D201E8" w:rsidRDefault="00A140D6" w:rsidP="00A140D6">
      <w:pPr>
        <w:tabs>
          <w:tab w:val="left" w:pos="2552"/>
        </w:tabs>
        <w:spacing w:after="120"/>
        <w:ind w:left="1440" w:firstLine="545"/>
        <w:rPr>
          <w:sz w:val="20"/>
        </w:rPr>
      </w:pPr>
      <w:r w:rsidRPr="00D201E8">
        <w:rPr>
          <w:sz w:val="20"/>
        </w:rPr>
        <w:t>D7</w:t>
      </w:r>
      <w:r>
        <w:rPr>
          <w:sz w:val="20"/>
        </w:rPr>
        <w:tab/>
      </w:r>
      <w:r w:rsidRPr="00D201E8">
        <w:rPr>
          <w:sz w:val="20"/>
        </w:rPr>
        <w:t>Release into seas/oceans including sea-bed insertion</w:t>
      </w:r>
    </w:p>
    <w:p w:rsidR="00A140D6" w:rsidRPr="00D201E8" w:rsidRDefault="00A140D6" w:rsidP="00A140D6">
      <w:pPr>
        <w:tabs>
          <w:tab w:val="left" w:pos="2552"/>
        </w:tabs>
        <w:spacing w:after="120"/>
        <w:ind w:left="2552" w:hanging="567"/>
        <w:rPr>
          <w:sz w:val="20"/>
        </w:rPr>
      </w:pPr>
      <w:r w:rsidRPr="00D201E8">
        <w:rPr>
          <w:sz w:val="20"/>
        </w:rPr>
        <w:t>D8</w:t>
      </w:r>
      <w:r>
        <w:rPr>
          <w:sz w:val="20"/>
        </w:rPr>
        <w:tab/>
      </w:r>
      <w:r w:rsidRPr="00D201E8">
        <w:rPr>
          <w:sz w:val="20"/>
        </w:rPr>
        <w:t>Biological treatment not specified elsewhere in this Annex which results in final compounds or mixtures which are discarded by means of any of the operations in Section A</w:t>
      </w:r>
    </w:p>
    <w:p w:rsidR="00A140D6" w:rsidRPr="00D201E8" w:rsidRDefault="00A140D6" w:rsidP="00A140D6">
      <w:pPr>
        <w:tabs>
          <w:tab w:val="left" w:pos="2552"/>
        </w:tabs>
        <w:spacing w:after="120"/>
        <w:ind w:left="2552" w:hanging="567"/>
        <w:rPr>
          <w:sz w:val="20"/>
        </w:rPr>
      </w:pPr>
      <w:r w:rsidRPr="00D201E8">
        <w:rPr>
          <w:sz w:val="20"/>
        </w:rPr>
        <w:t>D9</w:t>
      </w:r>
      <w:r>
        <w:rPr>
          <w:sz w:val="20"/>
        </w:rPr>
        <w:tab/>
      </w:r>
      <w:proofErr w:type="spellStart"/>
      <w:r w:rsidRPr="00D201E8">
        <w:rPr>
          <w:sz w:val="20"/>
        </w:rPr>
        <w:t>Physico</w:t>
      </w:r>
      <w:proofErr w:type="spellEnd"/>
      <w:r w:rsidRPr="00D201E8">
        <w:rPr>
          <w:sz w:val="20"/>
        </w:rPr>
        <w:t xml:space="preserve"> chemical treatment not specified elsewhere in this Annex which results in final compounds or mixtures which are discarded by means of any of the operations in Section A, (e.g., evaporation, drying, </w:t>
      </w:r>
      <w:proofErr w:type="spellStart"/>
      <w:r w:rsidRPr="00D201E8">
        <w:rPr>
          <w:sz w:val="20"/>
        </w:rPr>
        <w:t>calcination</w:t>
      </w:r>
      <w:proofErr w:type="spellEnd"/>
      <w:r w:rsidRPr="00D201E8">
        <w:rPr>
          <w:sz w:val="20"/>
        </w:rPr>
        <w:t>, neutralization, precipitation, etc.)</w:t>
      </w:r>
    </w:p>
    <w:p w:rsidR="00A140D6" w:rsidRPr="00D201E8" w:rsidRDefault="00A140D6" w:rsidP="00A140D6">
      <w:pPr>
        <w:tabs>
          <w:tab w:val="left" w:pos="2552"/>
        </w:tabs>
        <w:spacing w:after="120"/>
        <w:ind w:left="1440" w:firstLine="545"/>
        <w:rPr>
          <w:sz w:val="20"/>
        </w:rPr>
      </w:pPr>
      <w:r w:rsidRPr="00D201E8">
        <w:rPr>
          <w:sz w:val="20"/>
        </w:rPr>
        <w:t>D10</w:t>
      </w:r>
      <w:r>
        <w:rPr>
          <w:sz w:val="20"/>
        </w:rPr>
        <w:tab/>
      </w:r>
      <w:r w:rsidRPr="00D201E8">
        <w:rPr>
          <w:sz w:val="20"/>
        </w:rPr>
        <w:t>Incineration on land</w:t>
      </w:r>
    </w:p>
    <w:p w:rsidR="00A140D6" w:rsidRPr="00D201E8" w:rsidRDefault="00A140D6" w:rsidP="00A140D6">
      <w:pPr>
        <w:tabs>
          <w:tab w:val="left" w:pos="2552"/>
        </w:tabs>
        <w:spacing w:after="120"/>
        <w:ind w:left="1440" w:firstLine="545"/>
        <w:rPr>
          <w:sz w:val="20"/>
        </w:rPr>
      </w:pPr>
      <w:r w:rsidRPr="00D201E8">
        <w:rPr>
          <w:sz w:val="20"/>
        </w:rPr>
        <w:t>D11</w:t>
      </w:r>
      <w:r>
        <w:rPr>
          <w:sz w:val="20"/>
        </w:rPr>
        <w:tab/>
      </w:r>
      <w:r w:rsidRPr="00D201E8">
        <w:rPr>
          <w:sz w:val="20"/>
        </w:rPr>
        <w:t>Incineration at sea</w:t>
      </w:r>
    </w:p>
    <w:p w:rsidR="00A140D6" w:rsidRPr="00D201E8" w:rsidRDefault="00A140D6" w:rsidP="00A140D6">
      <w:pPr>
        <w:tabs>
          <w:tab w:val="left" w:pos="2552"/>
        </w:tabs>
        <w:spacing w:after="120"/>
        <w:ind w:left="1440" w:firstLine="545"/>
        <w:rPr>
          <w:sz w:val="20"/>
        </w:rPr>
      </w:pPr>
      <w:proofErr w:type="gramStart"/>
      <w:r w:rsidRPr="00D201E8">
        <w:rPr>
          <w:sz w:val="20"/>
        </w:rPr>
        <w:t>D12</w:t>
      </w:r>
      <w:r>
        <w:rPr>
          <w:sz w:val="20"/>
        </w:rPr>
        <w:tab/>
      </w:r>
      <w:r w:rsidRPr="00D201E8">
        <w:rPr>
          <w:sz w:val="20"/>
        </w:rPr>
        <w:t>Permanent storage (e.g., emplacement of containers in a mine, etc.)</w:t>
      </w:r>
      <w:proofErr w:type="gramEnd"/>
    </w:p>
    <w:p w:rsidR="00A140D6" w:rsidRPr="00D201E8" w:rsidRDefault="00A140D6" w:rsidP="00A140D6">
      <w:pPr>
        <w:tabs>
          <w:tab w:val="left" w:pos="2552"/>
        </w:tabs>
        <w:spacing w:after="120"/>
        <w:ind w:left="1440" w:firstLine="545"/>
        <w:rPr>
          <w:sz w:val="20"/>
        </w:rPr>
      </w:pPr>
      <w:r w:rsidRPr="00D201E8">
        <w:rPr>
          <w:sz w:val="20"/>
        </w:rPr>
        <w:t>D13</w:t>
      </w:r>
      <w:r>
        <w:rPr>
          <w:sz w:val="20"/>
        </w:rPr>
        <w:tab/>
      </w:r>
      <w:r w:rsidRPr="00D201E8">
        <w:rPr>
          <w:sz w:val="20"/>
        </w:rPr>
        <w:t>Blending or mixing prior to submission to any of the operations in Section A</w:t>
      </w:r>
    </w:p>
    <w:p w:rsidR="00A140D6" w:rsidRPr="00D201E8" w:rsidRDefault="00A140D6" w:rsidP="00A140D6">
      <w:pPr>
        <w:tabs>
          <w:tab w:val="left" w:pos="2552"/>
        </w:tabs>
        <w:spacing w:after="120"/>
        <w:ind w:left="1440" w:firstLine="545"/>
        <w:rPr>
          <w:sz w:val="20"/>
        </w:rPr>
      </w:pPr>
      <w:r w:rsidRPr="00D201E8">
        <w:rPr>
          <w:sz w:val="20"/>
        </w:rPr>
        <w:t>D14</w:t>
      </w:r>
      <w:r>
        <w:rPr>
          <w:sz w:val="20"/>
        </w:rPr>
        <w:tab/>
      </w:r>
      <w:r w:rsidRPr="00D201E8">
        <w:rPr>
          <w:sz w:val="20"/>
        </w:rPr>
        <w:t>Repackaging prior to submission to any of the operations in Section A</w:t>
      </w:r>
    </w:p>
    <w:p w:rsidR="00A140D6" w:rsidRPr="00D201E8" w:rsidRDefault="00A140D6" w:rsidP="00A140D6">
      <w:pPr>
        <w:tabs>
          <w:tab w:val="left" w:pos="2552"/>
        </w:tabs>
        <w:spacing w:after="120"/>
        <w:ind w:left="1440" w:firstLine="545"/>
        <w:rPr>
          <w:sz w:val="20"/>
        </w:rPr>
      </w:pPr>
      <w:r w:rsidRPr="00D201E8">
        <w:rPr>
          <w:sz w:val="20"/>
        </w:rPr>
        <w:t>D15</w:t>
      </w:r>
      <w:r>
        <w:rPr>
          <w:sz w:val="20"/>
        </w:rPr>
        <w:tab/>
      </w:r>
      <w:r w:rsidRPr="00D201E8">
        <w:rPr>
          <w:sz w:val="20"/>
        </w:rPr>
        <w:t>Storage pending any of the operations in Section A</w:t>
      </w:r>
    </w:p>
    <w:p w:rsidR="00A140D6" w:rsidRPr="00D201E8" w:rsidRDefault="00A140D6" w:rsidP="009A372A">
      <w:pPr>
        <w:numPr>
          <w:ilvl w:val="0"/>
          <w:numId w:val="8"/>
        </w:numPr>
        <w:tabs>
          <w:tab w:val="left" w:pos="1985"/>
        </w:tabs>
        <w:spacing w:after="120"/>
        <w:ind w:left="1418" w:firstLine="0"/>
        <w:rPr>
          <w:sz w:val="20"/>
        </w:rPr>
      </w:pPr>
      <w:r w:rsidRPr="00D201E8">
        <w:rPr>
          <w:sz w:val="20"/>
        </w:rPr>
        <w:t>The Basel Conv</w:t>
      </w:r>
      <w:r w:rsidR="00480C76">
        <w:rPr>
          <w:sz w:val="20"/>
        </w:rPr>
        <w:t>ention lists in its Annex IVB, o</w:t>
      </w:r>
      <w:r w:rsidRPr="00D201E8">
        <w:rPr>
          <w:sz w:val="20"/>
        </w:rPr>
        <w:t xml:space="preserve">perations which may lead to resource recovery, recycling, reclamation, direct re-use or alternative uses. Its </w:t>
      </w:r>
      <w:r w:rsidR="00480C76">
        <w:rPr>
          <w:sz w:val="20"/>
        </w:rPr>
        <w:t>chapeau explains that “s</w:t>
      </w:r>
      <w:r w:rsidRPr="00D201E8">
        <w:rPr>
          <w:sz w:val="20"/>
        </w:rPr>
        <w:t>ection B encompasses all such operations with respect to materials legally defined as or considered to be hazardous wastes and which otherwise would have been destined for operations inclu</w:t>
      </w:r>
      <w:r w:rsidR="00480C76">
        <w:rPr>
          <w:sz w:val="20"/>
        </w:rPr>
        <w:t>ded in Section A”</w:t>
      </w:r>
      <w:r w:rsidRPr="00D201E8">
        <w:rPr>
          <w:sz w:val="20"/>
        </w:rPr>
        <w:t>.</w:t>
      </w:r>
    </w:p>
    <w:p w:rsidR="00A140D6" w:rsidRDefault="00A140D6" w:rsidP="009A372A">
      <w:pPr>
        <w:numPr>
          <w:ilvl w:val="0"/>
          <w:numId w:val="8"/>
        </w:numPr>
        <w:tabs>
          <w:tab w:val="left" w:pos="1985"/>
        </w:tabs>
        <w:spacing w:after="120"/>
        <w:ind w:left="1418" w:firstLine="0"/>
        <w:rPr>
          <w:sz w:val="20"/>
        </w:rPr>
      </w:pPr>
      <w:r w:rsidRPr="00D201E8">
        <w:rPr>
          <w:sz w:val="20"/>
        </w:rPr>
        <w:t>For some of these operations</w:t>
      </w:r>
      <w:r w:rsidR="00480C76">
        <w:rPr>
          <w:sz w:val="20"/>
        </w:rPr>
        <w:t>, the start-up c</w:t>
      </w:r>
      <w:r w:rsidRPr="00D201E8">
        <w:rPr>
          <w:sz w:val="20"/>
        </w:rPr>
        <w:t xml:space="preserve">apital could be within the means of </w:t>
      </w:r>
      <w:r w:rsidR="00480C76">
        <w:rPr>
          <w:sz w:val="20"/>
        </w:rPr>
        <w:t>small- and m</w:t>
      </w:r>
      <w:r w:rsidRPr="00D201E8">
        <w:rPr>
          <w:sz w:val="20"/>
        </w:rPr>
        <w:t>edium</w:t>
      </w:r>
      <w:r w:rsidR="00480C76">
        <w:rPr>
          <w:sz w:val="20"/>
        </w:rPr>
        <w:t>-sized e</w:t>
      </w:r>
      <w:r w:rsidRPr="00D201E8">
        <w:rPr>
          <w:sz w:val="20"/>
        </w:rPr>
        <w:t>nterprises</w:t>
      </w:r>
      <w:r>
        <w:rPr>
          <w:sz w:val="20"/>
        </w:rPr>
        <w:t xml:space="preserve"> (SMEs)</w:t>
      </w:r>
      <w:r w:rsidRPr="00D201E8">
        <w:rPr>
          <w:sz w:val="20"/>
        </w:rPr>
        <w:t>. The running of these re-use or rec</w:t>
      </w:r>
      <w:r w:rsidR="00480C76">
        <w:rPr>
          <w:sz w:val="20"/>
        </w:rPr>
        <w:t>overy operations may entail a “gate f</w:t>
      </w:r>
      <w:r w:rsidRPr="00D201E8">
        <w:rPr>
          <w:sz w:val="20"/>
        </w:rPr>
        <w:t>ee” where the facility operator charges those who send their wastes to be recovered dependent on the waste characteristics</w:t>
      </w:r>
      <w:r w:rsidR="00480C76">
        <w:rPr>
          <w:sz w:val="20"/>
        </w:rPr>
        <w:t>, such</w:t>
      </w:r>
      <w:r w:rsidRPr="00D201E8">
        <w:rPr>
          <w:sz w:val="20"/>
        </w:rPr>
        <w:t xml:space="preserve"> as hazardous waste or other waste, and on its volume or weight. The operations include:</w:t>
      </w:r>
    </w:p>
    <w:p w:rsidR="00A140D6" w:rsidRPr="00B63F34" w:rsidRDefault="00A140D6" w:rsidP="00A140D6">
      <w:pPr>
        <w:tabs>
          <w:tab w:val="left" w:pos="2552"/>
        </w:tabs>
        <w:spacing w:after="120"/>
        <w:ind w:left="1440" w:firstLine="545"/>
        <w:rPr>
          <w:sz w:val="20"/>
          <w:lang w:val="en-US"/>
        </w:rPr>
      </w:pPr>
      <w:r w:rsidRPr="00B63F34">
        <w:rPr>
          <w:sz w:val="20"/>
          <w:lang w:val="en-US"/>
        </w:rPr>
        <w:t>R1</w:t>
      </w:r>
      <w:r>
        <w:rPr>
          <w:sz w:val="20"/>
          <w:lang w:val="en-US"/>
        </w:rPr>
        <w:tab/>
      </w:r>
      <w:r w:rsidRPr="00D201E8">
        <w:rPr>
          <w:sz w:val="20"/>
        </w:rPr>
        <w:t>Use as a fuel (other than in direct incineration) or other means to generate energy</w:t>
      </w:r>
    </w:p>
    <w:p w:rsidR="00A140D6" w:rsidRPr="00B63F34" w:rsidRDefault="00A140D6" w:rsidP="00A140D6">
      <w:pPr>
        <w:tabs>
          <w:tab w:val="left" w:pos="2552"/>
        </w:tabs>
        <w:spacing w:after="120"/>
        <w:ind w:left="1440" w:firstLine="545"/>
        <w:rPr>
          <w:sz w:val="20"/>
          <w:lang w:val="en-US"/>
        </w:rPr>
      </w:pPr>
      <w:r w:rsidRPr="00B63F34">
        <w:rPr>
          <w:sz w:val="20"/>
          <w:lang w:val="en-US"/>
        </w:rPr>
        <w:t>R2</w:t>
      </w:r>
      <w:r>
        <w:rPr>
          <w:sz w:val="20"/>
          <w:lang w:val="en-US"/>
        </w:rPr>
        <w:tab/>
      </w:r>
      <w:r w:rsidRPr="00D201E8">
        <w:rPr>
          <w:sz w:val="20"/>
        </w:rPr>
        <w:t>Solvent reclamation/regeneration</w:t>
      </w:r>
    </w:p>
    <w:p w:rsidR="00A140D6" w:rsidRPr="00B63F34" w:rsidRDefault="00A140D6" w:rsidP="00A140D6">
      <w:pPr>
        <w:tabs>
          <w:tab w:val="left" w:pos="2552"/>
        </w:tabs>
        <w:spacing w:after="120"/>
        <w:ind w:left="1440" w:firstLine="545"/>
        <w:rPr>
          <w:sz w:val="20"/>
          <w:lang w:val="en-US"/>
        </w:rPr>
      </w:pPr>
      <w:r w:rsidRPr="00B63F34">
        <w:rPr>
          <w:sz w:val="20"/>
          <w:lang w:val="en-US"/>
        </w:rPr>
        <w:t>R3</w:t>
      </w:r>
      <w:r>
        <w:rPr>
          <w:sz w:val="20"/>
          <w:lang w:val="en-US"/>
        </w:rPr>
        <w:tab/>
      </w:r>
      <w:r w:rsidRPr="00D201E8">
        <w:rPr>
          <w:sz w:val="20"/>
        </w:rPr>
        <w:t>Recycling/reclamation of organic substances which are not used as solvents</w:t>
      </w:r>
    </w:p>
    <w:p w:rsidR="00A140D6" w:rsidRPr="00B63F34" w:rsidRDefault="00A140D6" w:rsidP="00A140D6">
      <w:pPr>
        <w:tabs>
          <w:tab w:val="left" w:pos="2552"/>
        </w:tabs>
        <w:spacing w:after="120"/>
        <w:ind w:left="1440" w:firstLine="545"/>
        <w:rPr>
          <w:sz w:val="20"/>
          <w:lang w:val="en-US"/>
        </w:rPr>
      </w:pPr>
      <w:r>
        <w:rPr>
          <w:sz w:val="20"/>
          <w:lang w:val="en-US"/>
        </w:rPr>
        <w:t>R4</w:t>
      </w:r>
      <w:r>
        <w:rPr>
          <w:sz w:val="20"/>
          <w:lang w:val="en-US"/>
        </w:rPr>
        <w:tab/>
      </w:r>
      <w:r w:rsidRPr="00D201E8">
        <w:rPr>
          <w:sz w:val="20"/>
        </w:rPr>
        <w:t>Recycling/reclamation of metals and metal compounds</w:t>
      </w:r>
    </w:p>
    <w:p w:rsidR="00A140D6" w:rsidRPr="00B63F34" w:rsidRDefault="00A140D6" w:rsidP="00A140D6">
      <w:pPr>
        <w:tabs>
          <w:tab w:val="left" w:pos="2552"/>
        </w:tabs>
        <w:spacing w:after="120"/>
        <w:ind w:left="1440" w:firstLine="545"/>
        <w:rPr>
          <w:sz w:val="20"/>
          <w:lang w:val="en-US"/>
        </w:rPr>
      </w:pPr>
      <w:r w:rsidRPr="00B63F34">
        <w:rPr>
          <w:sz w:val="20"/>
          <w:lang w:val="en-US"/>
        </w:rPr>
        <w:t>R5</w:t>
      </w:r>
      <w:r>
        <w:rPr>
          <w:sz w:val="20"/>
          <w:lang w:val="en-US"/>
        </w:rPr>
        <w:tab/>
      </w:r>
      <w:r w:rsidRPr="00D201E8">
        <w:rPr>
          <w:sz w:val="20"/>
        </w:rPr>
        <w:t>Recycling/reclamation of other inorganic materials</w:t>
      </w:r>
    </w:p>
    <w:p w:rsidR="00A140D6" w:rsidRPr="00B63F34" w:rsidRDefault="00A140D6" w:rsidP="00A140D6">
      <w:pPr>
        <w:tabs>
          <w:tab w:val="left" w:pos="2552"/>
        </w:tabs>
        <w:spacing w:after="120"/>
        <w:ind w:left="1440" w:firstLine="545"/>
        <w:rPr>
          <w:sz w:val="20"/>
          <w:lang w:val="en-US"/>
        </w:rPr>
      </w:pPr>
      <w:r w:rsidRPr="00B63F34">
        <w:rPr>
          <w:sz w:val="20"/>
          <w:lang w:val="en-US"/>
        </w:rPr>
        <w:lastRenderedPageBreak/>
        <w:t>R6</w:t>
      </w:r>
      <w:r>
        <w:rPr>
          <w:sz w:val="20"/>
          <w:lang w:val="en-US"/>
        </w:rPr>
        <w:tab/>
      </w:r>
      <w:r w:rsidRPr="00D201E8">
        <w:rPr>
          <w:sz w:val="20"/>
        </w:rPr>
        <w:t>Regeneration of acids or bases</w:t>
      </w:r>
    </w:p>
    <w:p w:rsidR="00A140D6" w:rsidRDefault="00A140D6" w:rsidP="00A140D6">
      <w:pPr>
        <w:tabs>
          <w:tab w:val="left" w:pos="2552"/>
        </w:tabs>
        <w:spacing w:after="120"/>
        <w:ind w:left="1440" w:firstLine="545"/>
        <w:rPr>
          <w:sz w:val="20"/>
          <w:lang w:val="en-US"/>
        </w:rPr>
      </w:pPr>
      <w:r>
        <w:rPr>
          <w:sz w:val="20"/>
          <w:lang w:val="en-US"/>
        </w:rPr>
        <w:t>R7</w:t>
      </w:r>
      <w:r>
        <w:rPr>
          <w:sz w:val="20"/>
          <w:lang w:val="en-US"/>
        </w:rPr>
        <w:tab/>
      </w:r>
      <w:r w:rsidRPr="00D201E8">
        <w:rPr>
          <w:sz w:val="20"/>
        </w:rPr>
        <w:t>Recovery of components used for pollution abatement</w:t>
      </w:r>
    </w:p>
    <w:p w:rsidR="00A140D6" w:rsidRDefault="00A140D6" w:rsidP="00A140D6">
      <w:pPr>
        <w:tabs>
          <w:tab w:val="left" w:pos="2552"/>
        </w:tabs>
        <w:spacing w:after="120"/>
        <w:ind w:left="1440" w:firstLine="545"/>
        <w:rPr>
          <w:sz w:val="20"/>
          <w:lang w:val="en-US"/>
        </w:rPr>
      </w:pPr>
      <w:r>
        <w:rPr>
          <w:sz w:val="20"/>
          <w:lang w:val="en-US"/>
        </w:rPr>
        <w:t>R8</w:t>
      </w:r>
      <w:r>
        <w:rPr>
          <w:sz w:val="20"/>
          <w:lang w:val="en-US"/>
        </w:rPr>
        <w:tab/>
      </w:r>
      <w:r w:rsidRPr="00D201E8">
        <w:rPr>
          <w:sz w:val="20"/>
        </w:rPr>
        <w:t>Recovery of components from catalysts</w:t>
      </w:r>
    </w:p>
    <w:p w:rsidR="00A140D6" w:rsidRDefault="00A140D6" w:rsidP="00A140D6">
      <w:pPr>
        <w:tabs>
          <w:tab w:val="left" w:pos="2552"/>
        </w:tabs>
        <w:spacing w:after="120"/>
        <w:ind w:left="1440" w:firstLine="545"/>
        <w:rPr>
          <w:sz w:val="20"/>
          <w:lang w:val="en-US"/>
        </w:rPr>
      </w:pPr>
      <w:r>
        <w:rPr>
          <w:sz w:val="20"/>
          <w:lang w:val="en-US"/>
        </w:rPr>
        <w:t>R9</w:t>
      </w:r>
      <w:r>
        <w:rPr>
          <w:sz w:val="20"/>
          <w:lang w:val="en-US"/>
        </w:rPr>
        <w:tab/>
      </w:r>
      <w:r w:rsidRPr="00D201E8">
        <w:rPr>
          <w:sz w:val="20"/>
        </w:rPr>
        <w:t>Used oil re-refining or other reuses of previously used oil</w:t>
      </w:r>
    </w:p>
    <w:p w:rsidR="00A140D6" w:rsidRDefault="00A140D6" w:rsidP="00A140D6">
      <w:pPr>
        <w:tabs>
          <w:tab w:val="left" w:pos="2552"/>
        </w:tabs>
        <w:spacing w:after="120"/>
        <w:ind w:left="1440" w:firstLine="545"/>
        <w:rPr>
          <w:sz w:val="20"/>
          <w:lang w:val="en-US"/>
        </w:rPr>
      </w:pPr>
      <w:r>
        <w:rPr>
          <w:sz w:val="20"/>
          <w:lang w:val="en-US"/>
        </w:rPr>
        <w:t>R10</w:t>
      </w:r>
      <w:r>
        <w:rPr>
          <w:sz w:val="20"/>
          <w:lang w:val="en-US"/>
        </w:rPr>
        <w:tab/>
      </w:r>
      <w:r w:rsidRPr="00D201E8">
        <w:rPr>
          <w:sz w:val="20"/>
        </w:rPr>
        <w:t>Land treatment resulting in benefit to agriculture or ecological improvement</w:t>
      </w:r>
    </w:p>
    <w:p w:rsidR="00A140D6" w:rsidRDefault="00A140D6" w:rsidP="00A140D6">
      <w:pPr>
        <w:tabs>
          <w:tab w:val="left" w:pos="2552"/>
        </w:tabs>
        <w:spacing w:after="120"/>
        <w:ind w:left="1440" w:firstLine="545"/>
        <w:rPr>
          <w:sz w:val="20"/>
          <w:lang w:val="en-US"/>
        </w:rPr>
      </w:pPr>
      <w:r>
        <w:rPr>
          <w:sz w:val="20"/>
          <w:lang w:val="en-US"/>
        </w:rPr>
        <w:t>R11</w:t>
      </w:r>
      <w:r>
        <w:rPr>
          <w:sz w:val="20"/>
          <w:lang w:val="en-US"/>
        </w:rPr>
        <w:tab/>
      </w:r>
      <w:r w:rsidRPr="00D201E8">
        <w:rPr>
          <w:sz w:val="20"/>
        </w:rPr>
        <w:t>Uses of residual materials obtained from any of the operations</w:t>
      </w:r>
      <w:r>
        <w:rPr>
          <w:sz w:val="20"/>
        </w:rPr>
        <w:t xml:space="preserve"> </w:t>
      </w:r>
      <w:r w:rsidRPr="00D201E8">
        <w:rPr>
          <w:sz w:val="20"/>
        </w:rPr>
        <w:t>numbered R1-R10</w:t>
      </w:r>
    </w:p>
    <w:p w:rsidR="00A140D6" w:rsidRPr="00B63F34" w:rsidRDefault="00A140D6" w:rsidP="00A140D6">
      <w:pPr>
        <w:tabs>
          <w:tab w:val="left" w:pos="2552"/>
        </w:tabs>
        <w:spacing w:after="120"/>
        <w:ind w:left="1440" w:firstLine="545"/>
        <w:rPr>
          <w:sz w:val="20"/>
          <w:lang w:val="en-US"/>
        </w:rPr>
      </w:pPr>
      <w:r>
        <w:rPr>
          <w:sz w:val="20"/>
          <w:lang w:val="en-US"/>
        </w:rPr>
        <w:t>R12</w:t>
      </w:r>
      <w:r>
        <w:rPr>
          <w:sz w:val="20"/>
          <w:lang w:val="en-US"/>
        </w:rPr>
        <w:tab/>
      </w:r>
      <w:r w:rsidRPr="00D201E8">
        <w:rPr>
          <w:sz w:val="20"/>
        </w:rPr>
        <w:t>Exchange of wastes for submission to any of the operations numbered R1-R11</w:t>
      </w:r>
    </w:p>
    <w:p w:rsidR="00A140D6" w:rsidRPr="00D201E8" w:rsidRDefault="00A140D6" w:rsidP="009A372A">
      <w:pPr>
        <w:numPr>
          <w:ilvl w:val="0"/>
          <w:numId w:val="8"/>
        </w:numPr>
        <w:tabs>
          <w:tab w:val="left" w:pos="1985"/>
        </w:tabs>
        <w:spacing w:after="120"/>
        <w:ind w:left="1418" w:firstLine="0"/>
        <w:rPr>
          <w:sz w:val="20"/>
        </w:rPr>
      </w:pPr>
      <w:r w:rsidRPr="00683383">
        <w:rPr>
          <w:sz w:val="20"/>
        </w:rPr>
        <w:t>Waste</w:t>
      </w:r>
      <w:r w:rsidR="000803DF">
        <w:rPr>
          <w:sz w:val="20"/>
        </w:rPr>
        <w:t xml:space="preserve"> management f</w:t>
      </w:r>
      <w:r w:rsidRPr="00D201E8">
        <w:rPr>
          <w:sz w:val="20"/>
        </w:rPr>
        <w:t>acilities may be operated by private business enterprises (whether large, medium or small), as well as by public authorities, such as municipalities, whe</w:t>
      </w:r>
      <w:r w:rsidR="000803DF">
        <w:rPr>
          <w:sz w:val="20"/>
        </w:rPr>
        <w:t>re</w:t>
      </w:r>
      <w:r w:rsidRPr="00D201E8">
        <w:rPr>
          <w:sz w:val="20"/>
        </w:rPr>
        <w:t xml:space="preserve"> they organise and carry out waste collection and management themselves.</w:t>
      </w:r>
    </w:p>
    <w:p w:rsidR="00A140D6" w:rsidRPr="00A140D6" w:rsidRDefault="00A140D6" w:rsidP="00A140D6">
      <w:pPr>
        <w:pStyle w:val="Heading2"/>
        <w:tabs>
          <w:tab w:val="right" w:pos="993"/>
          <w:tab w:val="left" w:pos="1418"/>
        </w:tabs>
        <w:rPr>
          <w:rFonts w:hAnsi="Times New Roman Bold"/>
        </w:rPr>
      </w:pPr>
      <w:r w:rsidRPr="00A140D6">
        <w:rPr>
          <w:rFonts w:hAnsi="Times New Roman Bold"/>
        </w:rPr>
        <w:tab/>
      </w:r>
      <w:bookmarkStart w:id="15" w:name="_Toc478467381"/>
      <w:r w:rsidRPr="00A140D6">
        <w:rPr>
          <w:rFonts w:hAnsi="Times New Roman Bold"/>
        </w:rPr>
        <w:t>A.</w:t>
      </w:r>
      <w:r w:rsidRPr="00A140D6">
        <w:rPr>
          <w:rFonts w:hAnsi="Times New Roman Bold"/>
        </w:rPr>
        <w:tab/>
      </w:r>
      <w:r>
        <w:rPr>
          <w:rFonts w:hAnsi="Times New Roman Bold"/>
        </w:rPr>
        <w:tab/>
      </w:r>
      <w:r w:rsidRPr="00A140D6">
        <w:rPr>
          <w:rFonts w:hAnsi="Times New Roman Bold"/>
        </w:rPr>
        <w:t>Investment in facility equipment and personnel</w:t>
      </w:r>
      <w:bookmarkEnd w:id="15"/>
    </w:p>
    <w:p w:rsidR="00A140D6" w:rsidRPr="00D201E8" w:rsidRDefault="00A140D6" w:rsidP="009A372A">
      <w:pPr>
        <w:numPr>
          <w:ilvl w:val="0"/>
          <w:numId w:val="8"/>
        </w:numPr>
        <w:tabs>
          <w:tab w:val="left" w:pos="1985"/>
        </w:tabs>
        <w:spacing w:after="120"/>
        <w:ind w:left="1418" w:firstLine="0"/>
        <w:rPr>
          <w:sz w:val="20"/>
        </w:rPr>
      </w:pPr>
      <w:r w:rsidRPr="00D201E8">
        <w:rPr>
          <w:sz w:val="20"/>
        </w:rPr>
        <w:t>Only a minority of countries around the world need or can sustain every type of hazardous waste management facility principally due to the various types and volumes of wastes arising domestically and the economics of installing capacity and running waste management facilities sustainably and in an environmentally sound manner. Though the total cost of facilities may vary considerably depending on local economies and the characteristics of the waste being handled, indicative costs of ESM waste management facilities can be i</w:t>
      </w:r>
      <w:r w:rsidR="006E22D9">
        <w:rPr>
          <w:sz w:val="20"/>
        </w:rPr>
        <w:t>n the order of: $20 million for a sanitary l</w:t>
      </w:r>
      <w:r w:rsidRPr="00D201E8">
        <w:rPr>
          <w:sz w:val="20"/>
        </w:rPr>
        <w:t>andfill</w:t>
      </w:r>
      <w:r w:rsidR="006E22D9">
        <w:rPr>
          <w:sz w:val="20"/>
        </w:rPr>
        <w:t>; sorting p</w:t>
      </w:r>
      <w:r w:rsidRPr="00D201E8">
        <w:rPr>
          <w:sz w:val="20"/>
        </w:rPr>
        <w:t>lant - $10</w:t>
      </w:r>
      <w:r w:rsidR="006E22D9">
        <w:rPr>
          <w:sz w:val="20"/>
        </w:rPr>
        <w:t xml:space="preserve"> </w:t>
      </w:r>
      <w:r w:rsidRPr="00D201E8">
        <w:rPr>
          <w:sz w:val="20"/>
        </w:rPr>
        <w:t>m</w:t>
      </w:r>
      <w:r w:rsidR="006E22D9">
        <w:rPr>
          <w:sz w:val="20"/>
        </w:rPr>
        <w:t>illion; waste to e</w:t>
      </w:r>
      <w:r w:rsidRPr="00D201E8">
        <w:rPr>
          <w:sz w:val="20"/>
        </w:rPr>
        <w:t>nergy plant - $150</w:t>
      </w:r>
      <w:r w:rsidR="006E22D9">
        <w:rPr>
          <w:sz w:val="20"/>
        </w:rPr>
        <w:t xml:space="preserve"> </w:t>
      </w:r>
      <w:r w:rsidRPr="00D201E8">
        <w:rPr>
          <w:sz w:val="20"/>
        </w:rPr>
        <w:t>m</w:t>
      </w:r>
      <w:r w:rsidR="006E22D9">
        <w:rPr>
          <w:sz w:val="20"/>
        </w:rPr>
        <w:t>illion</w:t>
      </w:r>
      <w:r w:rsidRPr="00D201E8">
        <w:rPr>
          <w:sz w:val="20"/>
        </w:rPr>
        <w:t xml:space="preserve">; </w:t>
      </w:r>
      <w:r w:rsidR="006E22D9">
        <w:rPr>
          <w:sz w:val="20"/>
        </w:rPr>
        <w:t>bottom ash r</w:t>
      </w:r>
      <w:r w:rsidRPr="00D201E8">
        <w:rPr>
          <w:sz w:val="20"/>
        </w:rPr>
        <w:t>ecovery plant - $2</w:t>
      </w:r>
      <w:r w:rsidR="006E22D9">
        <w:rPr>
          <w:sz w:val="20"/>
        </w:rPr>
        <w:t xml:space="preserve"> </w:t>
      </w:r>
      <w:r w:rsidRPr="00D201E8">
        <w:rPr>
          <w:sz w:val="20"/>
        </w:rPr>
        <w:t>m</w:t>
      </w:r>
      <w:r w:rsidR="006E22D9">
        <w:rPr>
          <w:sz w:val="20"/>
        </w:rPr>
        <w:t>illion; and anaerobic d</w:t>
      </w:r>
      <w:r w:rsidRPr="00D201E8">
        <w:rPr>
          <w:sz w:val="20"/>
        </w:rPr>
        <w:t>igestion plant – $30</w:t>
      </w:r>
      <w:r w:rsidR="006E22D9">
        <w:rPr>
          <w:sz w:val="20"/>
        </w:rPr>
        <w:t xml:space="preserve"> </w:t>
      </w:r>
      <w:r w:rsidRPr="00D201E8">
        <w:rPr>
          <w:sz w:val="20"/>
        </w:rPr>
        <w:t>m</w:t>
      </w:r>
      <w:r w:rsidR="006E22D9">
        <w:rPr>
          <w:sz w:val="20"/>
        </w:rPr>
        <w:t>illion</w:t>
      </w:r>
      <w:r w:rsidRPr="00D201E8">
        <w:rPr>
          <w:sz w:val="20"/>
        </w:rPr>
        <w:t xml:space="preserve">. </w:t>
      </w:r>
    </w:p>
    <w:p w:rsidR="00A140D6" w:rsidRPr="00D201E8" w:rsidRDefault="00A140D6" w:rsidP="009A372A">
      <w:pPr>
        <w:numPr>
          <w:ilvl w:val="0"/>
          <w:numId w:val="8"/>
        </w:numPr>
        <w:tabs>
          <w:tab w:val="left" w:pos="1985"/>
        </w:tabs>
        <w:spacing w:after="120"/>
        <w:ind w:left="1418" w:firstLine="0"/>
        <w:rPr>
          <w:sz w:val="20"/>
        </w:rPr>
      </w:pPr>
      <w:r w:rsidRPr="00D201E8">
        <w:rPr>
          <w:sz w:val="20"/>
        </w:rPr>
        <w:t xml:space="preserve">For countries that lack sufficient funding for investments themselves, in order to move to the sustainable and ESM of domestic wastes arising, foreign direct investment may be necessary. In that respect companies weighing </w:t>
      </w:r>
      <w:r w:rsidR="006E22D9">
        <w:rPr>
          <w:sz w:val="20"/>
        </w:rPr>
        <w:t xml:space="preserve">up </w:t>
      </w:r>
      <w:r w:rsidRPr="00D201E8">
        <w:rPr>
          <w:sz w:val="20"/>
        </w:rPr>
        <w:t>a l</w:t>
      </w:r>
      <w:r w:rsidR="006E22D9">
        <w:rPr>
          <w:sz w:val="20"/>
        </w:rPr>
        <w:t>ong-term decision to invest in waste m</w:t>
      </w:r>
      <w:r w:rsidRPr="00D201E8">
        <w:rPr>
          <w:sz w:val="20"/>
        </w:rPr>
        <w:t>anagement facilities look to the reliability and clarity of a host government’s administration and the transparency of its decision-making process. Besides which waste management needs high-quality regulation and enforcement, otherwise waste will find its way to illegal operations and destinations.</w:t>
      </w:r>
    </w:p>
    <w:p w:rsidR="00A140D6" w:rsidRPr="00D201E8" w:rsidRDefault="00A140D6" w:rsidP="009A372A">
      <w:pPr>
        <w:numPr>
          <w:ilvl w:val="0"/>
          <w:numId w:val="8"/>
        </w:numPr>
        <w:tabs>
          <w:tab w:val="left" w:pos="1985"/>
        </w:tabs>
        <w:spacing w:after="120"/>
        <w:ind w:left="1418" w:firstLine="0"/>
        <w:rPr>
          <w:sz w:val="20"/>
        </w:rPr>
      </w:pPr>
      <w:r w:rsidRPr="00D201E8">
        <w:rPr>
          <w:sz w:val="20"/>
        </w:rPr>
        <w:t>For every country, no matter its size, location or level of development, attracting investment is a competitive exercise. Thus, all countries and local communities alike must be prepared to provide waste management businesses with the right environment, including a transparent and predictable policy framework, for investment in new or expanded facilities. Some of the important elements of concern to investors would include, but are not limited to:</w:t>
      </w:r>
    </w:p>
    <w:p w:rsidR="00A140D6" w:rsidRPr="00D201E8" w:rsidRDefault="00A140D6" w:rsidP="00A140D6">
      <w:pPr>
        <w:tabs>
          <w:tab w:val="left" w:pos="2552"/>
        </w:tabs>
        <w:spacing w:after="120"/>
        <w:ind w:left="1440" w:firstLine="545"/>
        <w:rPr>
          <w:sz w:val="20"/>
        </w:rPr>
      </w:pPr>
      <w:r>
        <w:rPr>
          <w:sz w:val="20"/>
        </w:rPr>
        <w:t>(a)</w:t>
      </w:r>
      <w:r>
        <w:rPr>
          <w:sz w:val="20"/>
        </w:rPr>
        <w:tab/>
      </w:r>
      <w:r w:rsidRPr="00D201E8">
        <w:rPr>
          <w:sz w:val="20"/>
        </w:rPr>
        <w:t xml:space="preserve">The content of national laws, such as planning regulations, waste legislation, </w:t>
      </w:r>
      <w:proofErr w:type="gramStart"/>
      <w:r w:rsidRPr="00D201E8">
        <w:rPr>
          <w:sz w:val="20"/>
        </w:rPr>
        <w:t>labour</w:t>
      </w:r>
      <w:proofErr w:type="gramEnd"/>
      <w:r w:rsidRPr="00D201E8">
        <w:rPr>
          <w:sz w:val="20"/>
        </w:rPr>
        <w:t xml:space="preserve"> laws; </w:t>
      </w:r>
    </w:p>
    <w:p w:rsidR="00A140D6" w:rsidRPr="00D201E8" w:rsidRDefault="00A140D6" w:rsidP="00A140D6">
      <w:pPr>
        <w:tabs>
          <w:tab w:val="left" w:pos="2552"/>
        </w:tabs>
        <w:spacing w:after="120"/>
        <w:ind w:left="1440" w:firstLine="545"/>
        <w:rPr>
          <w:sz w:val="20"/>
        </w:rPr>
      </w:pPr>
      <w:r>
        <w:rPr>
          <w:sz w:val="20"/>
        </w:rPr>
        <w:t>(b)</w:t>
      </w:r>
      <w:r>
        <w:rPr>
          <w:sz w:val="20"/>
        </w:rPr>
        <w:tab/>
      </w:r>
      <w:r w:rsidRPr="00D201E8">
        <w:rPr>
          <w:sz w:val="20"/>
        </w:rPr>
        <w:t xml:space="preserve">The reliability of the banking and legal system as well as the predictability of the regulatory and fiscal environment; </w:t>
      </w:r>
    </w:p>
    <w:p w:rsidR="00A140D6" w:rsidRPr="00D201E8" w:rsidRDefault="00A140D6" w:rsidP="00A140D6">
      <w:pPr>
        <w:tabs>
          <w:tab w:val="left" w:pos="2552"/>
        </w:tabs>
        <w:spacing w:after="120"/>
        <w:ind w:left="1440" w:firstLine="545"/>
        <w:rPr>
          <w:sz w:val="20"/>
        </w:rPr>
      </w:pPr>
      <w:r>
        <w:rPr>
          <w:sz w:val="20"/>
        </w:rPr>
        <w:t>(c)</w:t>
      </w:r>
      <w:r>
        <w:rPr>
          <w:sz w:val="20"/>
        </w:rPr>
        <w:tab/>
      </w:r>
      <w:r w:rsidRPr="00D201E8">
        <w:rPr>
          <w:sz w:val="20"/>
        </w:rPr>
        <w:t xml:space="preserve">That the judicial system is efficient, accountable and predictable;  </w:t>
      </w:r>
    </w:p>
    <w:p w:rsidR="00A140D6" w:rsidRPr="00D201E8" w:rsidRDefault="00A140D6" w:rsidP="00A140D6">
      <w:pPr>
        <w:tabs>
          <w:tab w:val="left" w:pos="2552"/>
        </w:tabs>
        <w:spacing w:after="120"/>
        <w:ind w:left="1440" w:firstLine="545"/>
        <w:rPr>
          <w:sz w:val="20"/>
        </w:rPr>
      </w:pPr>
      <w:r>
        <w:rPr>
          <w:sz w:val="20"/>
          <w:lang w:val="en-US"/>
        </w:rPr>
        <w:t>(d)</w:t>
      </w:r>
      <w:r>
        <w:rPr>
          <w:sz w:val="20"/>
          <w:lang w:val="en-US"/>
        </w:rPr>
        <w:tab/>
      </w:r>
      <w:r w:rsidRPr="00AE6017">
        <w:rPr>
          <w:sz w:val="20"/>
          <w:lang w:val="en-US"/>
        </w:rPr>
        <w:t>The</w:t>
      </w:r>
      <w:r w:rsidRPr="00D201E8">
        <w:rPr>
          <w:sz w:val="20"/>
        </w:rPr>
        <w:t xml:space="preserve"> presence of constitutional guarantees regarding ownership of property (e.g. land, equipment, wastes).</w:t>
      </w:r>
    </w:p>
    <w:p w:rsidR="00A140D6" w:rsidRPr="00A140D6" w:rsidRDefault="00A140D6" w:rsidP="00A140D6">
      <w:pPr>
        <w:pStyle w:val="Heading2"/>
        <w:tabs>
          <w:tab w:val="right" w:pos="993"/>
          <w:tab w:val="left" w:pos="1418"/>
        </w:tabs>
        <w:rPr>
          <w:rFonts w:hAnsi="Times New Roman Bold"/>
        </w:rPr>
      </w:pPr>
      <w:r>
        <w:rPr>
          <w:rFonts w:hAnsi="Times New Roman Bold"/>
        </w:rPr>
        <w:tab/>
      </w:r>
      <w:bookmarkStart w:id="16" w:name="_Toc478467382"/>
      <w:r w:rsidRPr="00A140D6">
        <w:rPr>
          <w:rFonts w:hAnsi="Times New Roman Bold"/>
        </w:rPr>
        <w:t>B.</w:t>
      </w:r>
      <w:r w:rsidRPr="00A140D6">
        <w:rPr>
          <w:rFonts w:hAnsi="Times New Roman Bold"/>
        </w:rPr>
        <w:tab/>
      </w:r>
      <w:r w:rsidRPr="00A140D6">
        <w:rPr>
          <w:rFonts w:hAnsi="Times New Roman Bold"/>
        </w:rPr>
        <w:tab/>
        <w:t>Investments to demonstrate ESM</w:t>
      </w:r>
      <w:bookmarkEnd w:id="16"/>
    </w:p>
    <w:p w:rsidR="00A140D6" w:rsidRPr="00A140D6" w:rsidRDefault="00A140D6" w:rsidP="00A140D6">
      <w:pPr>
        <w:pStyle w:val="Heading3"/>
        <w:tabs>
          <w:tab w:val="clear" w:pos="1247"/>
          <w:tab w:val="right" w:pos="993"/>
          <w:tab w:val="left" w:pos="1418"/>
        </w:tabs>
        <w:spacing w:before="120" w:line="252" w:lineRule="auto"/>
        <w:ind w:left="0" w:firstLine="720"/>
        <w:jc w:val="both"/>
        <w:rPr>
          <w:bCs/>
          <w:sz w:val="20"/>
        </w:rPr>
      </w:pPr>
      <w:r>
        <w:rPr>
          <w:bCs/>
          <w:sz w:val="20"/>
          <w:lang w:val="fr-CH"/>
        </w:rPr>
        <w:tab/>
      </w:r>
      <w:bookmarkStart w:id="17" w:name="_Toc478467383"/>
      <w:r w:rsidRPr="00A140D6">
        <w:rPr>
          <w:bCs/>
          <w:sz w:val="20"/>
        </w:rPr>
        <w:t>1.</w:t>
      </w:r>
      <w:r w:rsidRPr="00A140D6">
        <w:rPr>
          <w:bCs/>
          <w:sz w:val="20"/>
        </w:rPr>
        <w:tab/>
        <w:t>Compliance with strict legislation demonstrating ESM</w:t>
      </w:r>
      <w:bookmarkEnd w:id="17"/>
    </w:p>
    <w:p w:rsidR="00A140D6" w:rsidRPr="00D201E8" w:rsidRDefault="00DE0D99" w:rsidP="009A372A">
      <w:pPr>
        <w:numPr>
          <w:ilvl w:val="0"/>
          <w:numId w:val="8"/>
        </w:numPr>
        <w:tabs>
          <w:tab w:val="left" w:pos="1985"/>
        </w:tabs>
        <w:spacing w:after="120"/>
        <w:ind w:left="1418" w:firstLine="0"/>
        <w:rPr>
          <w:sz w:val="20"/>
        </w:rPr>
      </w:pPr>
      <w:r>
        <w:rPr>
          <w:sz w:val="20"/>
        </w:rPr>
        <w:t>Where countries have strict r</w:t>
      </w:r>
      <w:r w:rsidR="00A140D6" w:rsidRPr="00D201E8">
        <w:rPr>
          <w:sz w:val="20"/>
        </w:rPr>
        <w:t>egulations for certain waste streams, the regulatory authority</w:t>
      </w:r>
      <w:r>
        <w:rPr>
          <w:sz w:val="20"/>
        </w:rPr>
        <w:t xml:space="preserve"> ensures compliance with those r</w:t>
      </w:r>
      <w:r w:rsidR="00A140D6" w:rsidRPr="00D201E8">
        <w:rPr>
          <w:sz w:val="20"/>
        </w:rPr>
        <w:t>egulations</w:t>
      </w:r>
      <w:r>
        <w:rPr>
          <w:sz w:val="20"/>
        </w:rPr>
        <w:t xml:space="preserve"> through l</w:t>
      </w:r>
      <w:r w:rsidR="00A140D6">
        <w:rPr>
          <w:sz w:val="20"/>
        </w:rPr>
        <w:t>icens</w:t>
      </w:r>
      <w:r w:rsidR="00A140D6" w:rsidRPr="00D201E8">
        <w:rPr>
          <w:sz w:val="20"/>
        </w:rPr>
        <w:t>ing</w:t>
      </w:r>
      <w:r>
        <w:rPr>
          <w:sz w:val="20"/>
        </w:rPr>
        <w:t>, permitting or other a</w:t>
      </w:r>
      <w:r w:rsidR="00A140D6" w:rsidRPr="00D201E8">
        <w:rPr>
          <w:sz w:val="20"/>
        </w:rPr>
        <w:t xml:space="preserve">uthorisations and hence the compliant facility will be ESM. </w:t>
      </w:r>
    </w:p>
    <w:p w:rsidR="00A140D6" w:rsidRPr="00A140D6" w:rsidRDefault="00A140D6" w:rsidP="00A140D6">
      <w:pPr>
        <w:pStyle w:val="Heading3"/>
        <w:tabs>
          <w:tab w:val="clear" w:pos="1247"/>
          <w:tab w:val="right" w:pos="993"/>
          <w:tab w:val="left" w:pos="1418"/>
        </w:tabs>
        <w:spacing w:before="120" w:line="252" w:lineRule="auto"/>
        <w:ind w:left="0" w:firstLine="720"/>
        <w:jc w:val="both"/>
        <w:rPr>
          <w:bCs/>
          <w:sz w:val="20"/>
        </w:rPr>
      </w:pPr>
      <w:r>
        <w:rPr>
          <w:bCs/>
          <w:sz w:val="20"/>
          <w:lang w:val="fr-CH"/>
        </w:rPr>
        <w:tab/>
      </w:r>
      <w:bookmarkStart w:id="18" w:name="_Toc478467384"/>
      <w:r w:rsidRPr="00A140D6">
        <w:rPr>
          <w:bCs/>
          <w:sz w:val="20"/>
        </w:rPr>
        <w:t>2.</w:t>
      </w:r>
      <w:r w:rsidRPr="00A140D6">
        <w:rPr>
          <w:bCs/>
          <w:sz w:val="20"/>
        </w:rPr>
        <w:tab/>
        <w:t>Third Party Certification replacing regulatory enforcement</w:t>
      </w:r>
      <w:bookmarkEnd w:id="18"/>
    </w:p>
    <w:p w:rsidR="00A140D6" w:rsidRPr="00D201E8" w:rsidRDefault="00A140D6" w:rsidP="009A372A">
      <w:pPr>
        <w:numPr>
          <w:ilvl w:val="0"/>
          <w:numId w:val="8"/>
        </w:numPr>
        <w:tabs>
          <w:tab w:val="left" w:pos="1985"/>
        </w:tabs>
        <w:spacing w:after="120"/>
        <w:ind w:left="1418" w:firstLine="0"/>
        <w:rPr>
          <w:caps/>
          <w:sz w:val="20"/>
        </w:rPr>
      </w:pPr>
      <w:r w:rsidRPr="00D201E8">
        <w:rPr>
          <w:sz w:val="20"/>
        </w:rPr>
        <w:t xml:space="preserve">Some authorities are considering replacing the role of the regulatory authority by requiring facilities to obtain third party verified certificates of compliance with specified </w:t>
      </w:r>
      <w:r w:rsidR="00DE0D99">
        <w:rPr>
          <w:sz w:val="20"/>
        </w:rPr>
        <w:t>s</w:t>
      </w:r>
      <w:r w:rsidRPr="00D201E8">
        <w:rPr>
          <w:sz w:val="20"/>
        </w:rPr>
        <w:t>tandards</w:t>
      </w:r>
      <w:r>
        <w:rPr>
          <w:sz w:val="20"/>
        </w:rPr>
        <w:t>,</w:t>
      </w:r>
      <w:r w:rsidR="00DE0D99">
        <w:rPr>
          <w:sz w:val="20"/>
        </w:rPr>
        <w:t xml:space="preserve"> for example with an Environmental M</w:t>
      </w:r>
      <w:r w:rsidRPr="00D201E8">
        <w:rPr>
          <w:sz w:val="20"/>
        </w:rPr>
        <w:t>anagement System</w:t>
      </w:r>
      <w:r w:rsidR="00DE0D99">
        <w:rPr>
          <w:sz w:val="20"/>
        </w:rPr>
        <w:t xml:space="preserve"> (EMS)</w:t>
      </w:r>
      <w:r w:rsidRPr="00D201E8">
        <w:rPr>
          <w:sz w:val="20"/>
        </w:rPr>
        <w:t xml:space="preserve">. Several variables, including the size (micro, small, medium and large) and type (public or private) of organisations or the region in which they are registered, influence the costs of implementing an </w:t>
      </w:r>
      <w:r w:rsidR="00DE0D99">
        <w:rPr>
          <w:sz w:val="20"/>
        </w:rPr>
        <w:t>EMS</w:t>
      </w:r>
      <w:r w:rsidRPr="00D201E8">
        <w:rPr>
          <w:sz w:val="20"/>
        </w:rPr>
        <w:t>.</w:t>
      </w:r>
    </w:p>
    <w:p w:rsidR="00A140D6" w:rsidRDefault="00A140D6" w:rsidP="009A372A">
      <w:pPr>
        <w:numPr>
          <w:ilvl w:val="0"/>
          <w:numId w:val="8"/>
        </w:numPr>
        <w:tabs>
          <w:tab w:val="left" w:pos="1985"/>
        </w:tabs>
        <w:spacing w:after="120"/>
        <w:ind w:left="1418" w:firstLine="0"/>
        <w:rPr>
          <w:sz w:val="20"/>
        </w:rPr>
      </w:pPr>
      <w:r w:rsidRPr="00D201E8">
        <w:rPr>
          <w:sz w:val="20"/>
        </w:rPr>
        <w:t xml:space="preserve">Facilities will then face costs to introduce the required </w:t>
      </w:r>
      <w:r w:rsidR="00DE0D99">
        <w:rPr>
          <w:sz w:val="20"/>
        </w:rPr>
        <w:t>EMS</w:t>
      </w:r>
      <w:r w:rsidRPr="00D201E8">
        <w:rPr>
          <w:sz w:val="20"/>
        </w:rPr>
        <w:t xml:space="preserve"> or Standard</w:t>
      </w:r>
      <w:r>
        <w:rPr>
          <w:sz w:val="20"/>
        </w:rPr>
        <w:t xml:space="preserve">.  </w:t>
      </w:r>
      <w:r w:rsidRPr="00D201E8">
        <w:rPr>
          <w:sz w:val="20"/>
        </w:rPr>
        <w:t xml:space="preserve">Such costs for an SME are in the region of $15,000 in </w:t>
      </w:r>
      <w:r w:rsidR="00DE0D99">
        <w:rPr>
          <w:sz w:val="20"/>
        </w:rPr>
        <w:t>developed</w:t>
      </w:r>
      <w:r w:rsidRPr="00D201E8">
        <w:rPr>
          <w:sz w:val="20"/>
        </w:rPr>
        <w:t xml:space="preserve"> countries.</w:t>
      </w:r>
      <w:r>
        <w:rPr>
          <w:sz w:val="20"/>
        </w:rPr>
        <w:t xml:space="preserve">  These costs include:</w:t>
      </w:r>
    </w:p>
    <w:p w:rsidR="00A140D6" w:rsidRPr="00D201E8" w:rsidRDefault="00A140D6" w:rsidP="00A140D6">
      <w:pPr>
        <w:spacing w:after="120"/>
        <w:ind w:left="698" w:firstLine="720"/>
        <w:rPr>
          <w:caps/>
          <w:sz w:val="20"/>
          <w:u w:val="single"/>
        </w:rPr>
      </w:pPr>
      <w:r w:rsidRPr="00D201E8">
        <w:rPr>
          <w:sz w:val="20"/>
          <w:u w:val="single"/>
        </w:rPr>
        <w:lastRenderedPageBreak/>
        <w:t>External consultant</w:t>
      </w:r>
    </w:p>
    <w:p w:rsidR="00A140D6" w:rsidRPr="00D201E8" w:rsidRDefault="00A140D6" w:rsidP="009A372A">
      <w:pPr>
        <w:numPr>
          <w:ilvl w:val="0"/>
          <w:numId w:val="8"/>
        </w:numPr>
        <w:tabs>
          <w:tab w:val="left" w:pos="1985"/>
        </w:tabs>
        <w:spacing w:after="120"/>
        <w:ind w:left="1418" w:firstLine="0"/>
        <w:rPr>
          <w:caps/>
          <w:sz w:val="20"/>
        </w:rPr>
      </w:pPr>
      <w:r w:rsidRPr="00683383">
        <w:rPr>
          <w:sz w:val="20"/>
        </w:rPr>
        <w:t>Support</w:t>
      </w:r>
      <w:r w:rsidRPr="00D201E8">
        <w:rPr>
          <w:sz w:val="20"/>
        </w:rPr>
        <w:t xml:space="preserve"> may be needed for the initial review, auditing, training and ongoing implementation of th</w:t>
      </w:r>
      <w:r>
        <w:rPr>
          <w:sz w:val="20"/>
        </w:rPr>
        <w:t>e</w:t>
      </w:r>
      <w:r w:rsidRPr="00D201E8">
        <w:rPr>
          <w:sz w:val="20"/>
        </w:rPr>
        <w:t xml:space="preserve"> EMS. Internal costs are incurred by organisation staff to implement, administer and report. The costs include the following aspects:</w:t>
      </w:r>
    </w:p>
    <w:p w:rsidR="00A140D6" w:rsidRPr="00D201E8" w:rsidRDefault="00A140D6" w:rsidP="00A140D6">
      <w:pPr>
        <w:tabs>
          <w:tab w:val="left" w:pos="2552"/>
        </w:tabs>
        <w:spacing w:after="120"/>
        <w:ind w:left="1440" w:firstLine="545"/>
        <w:rPr>
          <w:caps/>
          <w:sz w:val="20"/>
        </w:rPr>
      </w:pPr>
      <w:r>
        <w:rPr>
          <w:sz w:val="20"/>
        </w:rPr>
        <w:t>(a)</w:t>
      </w:r>
      <w:r>
        <w:rPr>
          <w:sz w:val="20"/>
        </w:rPr>
        <w:tab/>
      </w:r>
      <w:r w:rsidRPr="00D201E8">
        <w:rPr>
          <w:sz w:val="20"/>
        </w:rPr>
        <w:t>Environmental review</w:t>
      </w:r>
      <w:r>
        <w:rPr>
          <w:sz w:val="20"/>
        </w:rPr>
        <w:t>;</w:t>
      </w:r>
    </w:p>
    <w:p w:rsidR="00A140D6" w:rsidRPr="00D201E8" w:rsidRDefault="00A140D6" w:rsidP="00A140D6">
      <w:pPr>
        <w:tabs>
          <w:tab w:val="left" w:pos="2552"/>
        </w:tabs>
        <w:spacing w:after="120"/>
        <w:ind w:left="1440" w:firstLine="545"/>
        <w:rPr>
          <w:caps/>
          <w:sz w:val="20"/>
        </w:rPr>
      </w:pPr>
      <w:r>
        <w:rPr>
          <w:sz w:val="20"/>
        </w:rPr>
        <w:t>(b)</w:t>
      </w:r>
      <w:r>
        <w:rPr>
          <w:sz w:val="20"/>
        </w:rPr>
        <w:tab/>
      </w:r>
      <w:r w:rsidRPr="00D201E8">
        <w:rPr>
          <w:sz w:val="20"/>
        </w:rPr>
        <w:t xml:space="preserve">Development of </w:t>
      </w:r>
      <w:r w:rsidR="00C87AF3">
        <w:rPr>
          <w:sz w:val="20"/>
        </w:rPr>
        <w:t>EMS</w:t>
      </w:r>
      <w:r>
        <w:rPr>
          <w:sz w:val="20"/>
        </w:rPr>
        <w:t>;</w:t>
      </w:r>
    </w:p>
    <w:p w:rsidR="00A140D6" w:rsidRPr="00D201E8" w:rsidRDefault="00A140D6" w:rsidP="00A140D6">
      <w:pPr>
        <w:tabs>
          <w:tab w:val="left" w:pos="2552"/>
        </w:tabs>
        <w:spacing w:after="120"/>
        <w:ind w:left="1440" w:firstLine="545"/>
        <w:rPr>
          <w:caps/>
          <w:sz w:val="20"/>
        </w:rPr>
      </w:pPr>
      <w:r>
        <w:rPr>
          <w:sz w:val="20"/>
        </w:rPr>
        <w:t>(c)</w:t>
      </w:r>
      <w:r>
        <w:rPr>
          <w:sz w:val="20"/>
        </w:rPr>
        <w:tab/>
      </w:r>
      <w:r w:rsidRPr="00D201E8">
        <w:rPr>
          <w:sz w:val="20"/>
        </w:rPr>
        <w:t>Internal audit</w:t>
      </w:r>
      <w:r>
        <w:rPr>
          <w:sz w:val="20"/>
        </w:rPr>
        <w:t>;</w:t>
      </w:r>
    </w:p>
    <w:p w:rsidR="00A140D6" w:rsidRPr="00D201E8" w:rsidRDefault="00A140D6" w:rsidP="00A140D6">
      <w:pPr>
        <w:tabs>
          <w:tab w:val="left" w:pos="2552"/>
        </w:tabs>
        <w:spacing w:after="120"/>
        <w:ind w:left="1440" w:firstLine="545"/>
        <w:rPr>
          <w:caps/>
          <w:sz w:val="20"/>
        </w:rPr>
      </w:pPr>
      <w:r>
        <w:rPr>
          <w:sz w:val="20"/>
        </w:rPr>
        <w:t>(d)</w:t>
      </w:r>
      <w:r>
        <w:rPr>
          <w:sz w:val="20"/>
        </w:rPr>
        <w:tab/>
      </w:r>
      <w:r w:rsidRPr="00D201E8">
        <w:rPr>
          <w:sz w:val="20"/>
        </w:rPr>
        <w:t>Preparation of environmental statement</w:t>
      </w:r>
      <w:r>
        <w:rPr>
          <w:sz w:val="20"/>
        </w:rPr>
        <w:t>;</w:t>
      </w:r>
    </w:p>
    <w:p w:rsidR="00A140D6" w:rsidRPr="00D201E8" w:rsidRDefault="00A140D6" w:rsidP="00A140D6">
      <w:pPr>
        <w:tabs>
          <w:tab w:val="left" w:pos="2552"/>
        </w:tabs>
        <w:spacing w:after="120"/>
        <w:ind w:left="1440" w:firstLine="545"/>
        <w:rPr>
          <w:caps/>
          <w:sz w:val="20"/>
        </w:rPr>
      </w:pPr>
      <w:r>
        <w:rPr>
          <w:sz w:val="20"/>
        </w:rPr>
        <w:t>(e)</w:t>
      </w:r>
      <w:r>
        <w:rPr>
          <w:sz w:val="20"/>
        </w:rPr>
        <w:tab/>
      </w:r>
      <w:r w:rsidRPr="00D201E8">
        <w:rPr>
          <w:sz w:val="20"/>
        </w:rPr>
        <w:t>Internal staff training</w:t>
      </w:r>
      <w:r>
        <w:rPr>
          <w:sz w:val="20"/>
        </w:rPr>
        <w:t>;</w:t>
      </w:r>
    </w:p>
    <w:p w:rsidR="00A140D6" w:rsidRPr="00D201E8" w:rsidRDefault="00A140D6" w:rsidP="00A140D6">
      <w:pPr>
        <w:tabs>
          <w:tab w:val="left" w:pos="2552"/>
        </w:tabs>
        <w:spacing w:after="120"/>
        <w:ind w:left="1440" w:firstLine="545"/>
        <w:rPr>
          <w:caps/>
          <w:sz w:val="20"/>
        </w:rPr>
      </w:pPr>
      <w:r>
        <w:rPr>
          <w:sz w:val="20"/>
        </w:rPr>
        <w:t>(f)</w:t>
      </w:r>
      <w:r>
        <w:rPr>
          <w:sz w:val="20"/>
        </w:rPr>
        <w:tab/>
      </w:r>
      <w:r w:rsidRPr="00D201E8">
        <w:rPr>
          <w:sz w:val="20"/>
        </w:rPr>
        <w:t>Attaching certification logo</w:t>
      </w:r>
      <w:r>
        <w:rPr>
          <w:sz w:val="20"/>
        </w:rPr>
        <w:t>;</w:t>
      </w:r>
    </w:p>
    <w:p w:rsidR="00A140D6" w:rsidRPr="00D201E8" w:rsidRDefault="00A140D6" w:rsidP="00A140D6">
      <w:pPr>
        <w:tabs>
          <w:tab w:val="left" w:pos="2552"/>
        </w:tabs>
        <w:spacing w:after="120"/>
        <w:ind w:left="1440" w:firstLine="545"/>
        <w:rPr>
          <w:caps/>
          <w:sz w:val="20"/>
        </w:rPr>
      </w:pPr>
      <w:r>
        <w:rPr>
          <w:sz w:val="20"/>
        </w:rPr>
        <w:t>(g)</w:t>
      </w:r>
      <w:r>
        <w:rPr>
          <w:sz w:val="20"/>
        </w:rPr>
        <w:tab/>
      </w:r>
      <w:r w:rsidRPr="00D201E8">
        <w:rPr>
          <w:sz w:val="20"/>
        </w:rPr>
        <w:t>Modifications to Information Technology systems</w:t>
      </w:r>
      <w:r>
        <w:rPr>
          <w:sz w:val="20"/>
        </w:rPr>
        <w:t>;</w:t>
      </w:r>
    </w:p>
    <w:p w:rsidR="00A140D6" w:rsidRPr="00D201E8" w:rsidRDefault="00A140D6" w:rsidP="00A140D6">
      <w:pPr>
        <w:tabs>
          <w:tab w:val="left" w:pos="2552"/>
        </w:tabs>
        <w:spacing w:after="120"/>
        <w:ind w:left="1440" w:firstLine="545"/>
        <w:rPr>
          <w:caps/>
          <w:sz w:val="20"/>
        </w:rPr>
      </w:pPr>
      <w:r>
        <w:rPr>
          <w:sz w:val="20"/>
        </w:rPr>
        <w:t>(h)</w:t>
      </w:r>
      <w:r>
        <w:rPr>
          <w:sz w:val="20"/>
        </w:rPr>
        <w:tab/>
      </w:r>
      <w:r w:rsidRPr="00D201E8">
        <w:rPr>
          <w:sz w:val="20"/>
        </w:rPr>
        <w:t>Publication of environmental statement</w:t>
      </w:r>
      <w:r>
        <w:rPr>
          <w:sz w:val="20"/>
        </w:rPr>
        <w:t>;</w:t>
      </w:r>
    </w:p>
    <w:p w:rsidR="00A140D6" w:rsidRPr="00D201E8" w:rsidRDefault="00A140D6" w:rsidP="00A140D6">
      <w:pPr>
        <w:tabs>
          <w:tab w:val="left" w:pos="2552"/>
        </w:tabs>
        <w:spacing w:after="120"/>
        <w:ind w:left="1440" w:firstLine="545"/>
        <w:rPr>
          <w:caps/>
          <w:sz w:val="20"/>
        </w:rPr>
      </w:pPr>
      <w:r>
        <w:rPr>
          <w:sz w:val="20"/>
        </w:rPr>
        <w:t>(</w:t>
      </w:r>
      <w:proofErr w:type="spellStart"/>
      <w:r>
        <w:rPr>
          <w:sz w:val="20"/>
        </w:rPr>
        <w:t>i</w:t>
      </w:r>
      <w:proofErr w:type="spellEnd"/>
      <w:r>
        <w:rPr>
          <w:sz w:val="20"/>
        </w:rPr>
        <w:t>)</w:t>
      </w:r>
      <w:r>
        <w:rPr>
          <w:sz w:val="20"/>
        </w:rPr>
        <w:tab/>
      </w:r>
      <w:r w:rsidRPr="00D201E8">
        <w:rPr>
          <w:sz w:val="20"/>
        </w:rPr>
        <w:t>Other costs related to administration</w:t>
      </w:r>
      <w:r>
        <w:rPr>
          <w:sz w:val="20"/>
        </w:rPr>
        <w:t>.</w:t>
      </w:r>
    </w:p>
    <w:p w:rsidR="00A140D6" w:rsidRDefault="00A140D6" w:rsidP="009A372A">
      <w:pPr>
        <w:numPr>
          <w:ilvl w:val="0"/>
          <w:numId w:val="8"/>
        </w:numPr>
        <w:tabs>
          <w:tab w:val="left" w:pos="1985"/>
        </w:tabs>
        <w:spacing w:after="120"/>
        <w:ind w:left="1418" w:firstLine="0"/>
        <w:rPr>
          <w:sz w:val="20"/>
        </w:rPr>
      </w:pPr>
      <w:r w:rsidRPr="00D201E8">
        <w:rPr>
          <w:sz w:val="20"/>
        </w:rPr>
        <w:t>The typical person</w:t>
      </w:r>
      <w:r>
        <w:rPr>
          <w:sz w:val="20"/>
        </w:rPr>
        <w:t>nel</w:t>
      </w:r>
      <w:r w:rsidRPr="00D201E8">
        <w:rPr>
          <w:sz w:val="20"/>
        </w:rPr>
        <w:t xml:space="preserve"> commitment to implement an EMS varies from a few persons per month in a small company in the service sector to several persons per year in large corporations with many sites.</w:t>
      </w:r>
      <w:r>
        <w:rPr>
          <w:sz w:val="20"/>
        </w:rPr>
        <w:t xml:space="preserve">  </w:t>
      </w:r>
    </w:p>
    <w:p w:rsidR="00A140D6" w:rsidRPr="00D201E8" w:rsidRDefault="00A140D6" w:rsidP="009A372A">
      <w:pPr>
        <w:numPr>
          <w:ilvl w:val="0"/>
          <w:numId w:val="8"/>
        </w:numPr>
        <w:tabs>
          <w:tab w:val="left" w:pos="1985"/>
        </w:tabs>
        <w:spacing w:after="120"/>
        <w:ind w:left="1418" w:firstLine="0"/>
        <w:rPr>
          <w:sz w:val="20"/>
        </w:rPr>
      </w:pPr>
      <w:r>
        <w:rPr>
          <w:sz w:val="20"/>
        </w:rPr>
        <w:t>These</w:t>
      </w:r>
      <w:r w:rsidRPr="00D201E8">
        <w:rPr>
          <w:sz w:val="20"/>
        </w:rPr>
        <w:t xml:space="preserve"> </w:t>
      </w:r>
      <w:r>
        <w:rPr>
          <w:sz w:val="20"/>
        </w:rPr>
        <w:t>f</w:t>
      </w:r>
      <w:r w:rsidRPr="00D201E8">
        <w:rPr>
          <w:sz w:val="20"/>
        </w:rPr>
        <w:t xml:space="preserve">acilities will </w:t>
      </w:r>
      <w:r>
        <w:rPr>
          <w:sz w:val="20"/>
        </w:rPr>
        <w:t xml:space="preserve">also </w:t>
      </w:r>
      <w:r w:rsidRPr="00D201E8">
        <w:rPr>
          <w:sz w:val="20"/>
        </w:rPr>
        <w:t xml:space="preserve">face annual costs in maintaining the required </w:t>
      </w:r>
      <w:r>
        <w:rPr>
          <w:sz w:val="20"/>
        </w:rPr>
        <w:t>c</w:t>
      </w:r>
      <w:r w:rsidRPr="00D201E8">
        <w:rPr>
          <w:sz w:val="20"/>
        </w:rPr>
        <w:t>ertification</w:t>
      </w:r>
      <w:r>
        <w:rPr>
          <w:sz w:val="20"/>
        </w:rPr>
        <w:t>.</w:t>
      </w:r>
    </w:p>
    <w:p w:rsidR="00A140D6" w:rsidRPr="00D201E8" w:rsidRDefault="00A140D6" w:rsidP="009A372A">
      <w:pPr>
        <w:numPr>
          <w:ilvl w:val="0"/>
          <w:numId w:val="8"/>
        </w:numPr>
        <w:tabs>
          <w:tab w:val="left" w:pos="1985"/>
        </w:tabs>
        <w:spacing w:after="120"/>
        <w:ind w:left="1418" w:firstLine="0"/>
        <w:rPr>
          <w:sz w:val="20"/>
        </w:rPr>
      </w:pPr>
      <w:r w:rsidRPr="00D201E8">
        <w:rPr>
          <w:sz w:val="20"/>
        </w:rPr>
        <w:t xml:space="preserve">Such costs for an SME are in the region of $7,000 per annum in </w:t>
      </w:r>
      <w:r w:rsidR="001E58C9">
        <w:rPr>
          <w:sz w:val="20"/>
        </w:rPr>
        <w:t>developed</w:t>
      </w:r>
      <w:r w:rsidRPr="00D201E8">
        <w:rPr>
          <w:sz w:val="20"/>
        </w:rPr>
        <w:t xml:space="preserve"> countries </w:t>
      </w:r>
      <w:r>
        <w:rPr>
          <w:sz w:val="20"/>
        </w:rPr>
        <w:t>and include:</w:t>
      </w:r>
    </w:p>
    <w:p w:rsidR="00A140D6" w:rsidRPr="0014461C" w:rsidRDefault="00A140D6" w:rsidP="00A140D6">
      <w:pPr>
        <w:tabs>
          <w:tab w:val="left" w:pos="2552"/>
        </w:tabs>
        <w:spacing w:after="120"/>
        <w:ind w:left="1440" w:firstLine="545"/>
        <w:rPr>
          <w:sz w:val="20"/>
        </w:rPr>
      </w:pPr>
      <w:r>
        <w:rPr>
          <w:sz w:val="20"/>
        </w:rPr>
        <w:t>(a)</w:t>
      </w:r>
      <w:r>
        <w:rPr>
          <w:sz w:val="20"/>
        </w:rPr>
        <w:tab/>
      </w:r>
      <w:r w:rsidRPr="0014461C">
        <w:rPr>
          <w:sz w:val="20"/>
        </w:rPr>
        <w:t>Validation and verification fees</w:t>
      </w:r>
    </w:p>
    <w:p w:rsidR="00A140D6" w:rsidRPr="00D201E8" w:rsidRDefault="00A140D6" w:rsidP="00A140D6">
      <w:pPr>
        <w:spacing w:after="120"/>
        <w:ind w:left="2552"/>
        <w:rPr>
          <w:sz w:val="20"/>
        </w:rPr>
      </w:pPr>
      <w:r>
        <w:rPr>
          <w:sz w:val="20"/>
        </w:rPr>
        <w:t>E</w:t>
      </w:r>
      <w:r w:rsidRPr="00D201E8">
        <w:rPr>
          <w:sz w:val="20"/>
        </w:rPr>
        <w:t>nvironmental verifiers are private consultants and therefore charge the usual market prices for consultancy services. SMEs without complex environmental impacts can be verified in one or a few days only</w:t>
      </w:r>
      <w:r>
        <w:rPr>
          <w:sz w:val="20"/>
        </w:rPr>
        <w:t>.</w:t>
      </w:r>
    </w:p>
    <w:p w:rsidR="00A140D6" w:rsidRPr="0014461C" w:rsidRDefault="00A140D6" w:rsidP="00A140D6">
      <w:pPr>
        <w:tabs>
          <w:tab w:val="left" w:pos="2552"/>
        </w:tabs>
        <w:spacing w:after="120"/>
        <w:ind w:left="1418" w:firstLine="567"/>
        <w:rPr>
          <w:sz w:val="20"/>
        </w:rPr>
      </w:pPr>
      <w:r>
        <w:rPr>
          <w:sz w:val="20"/>
        </w:rPr>
        <w:t>(b)</w:t>
      </w:r>
      <w:r>
        <w:rPr>
          <w:sz w:val="20"/>
        </w:rPr>
        <w:tab/>
      </w:r>
      <w:r w:rsidRPr="00D46C8C">
        <w:rPr>
          <w:sz w:val="20"/>
        </w:rPr>
        <w:t>Registration</w:t>
      </w:r>
      <w:r w:rsidRPr="0014461C">
        <w:rPr>
          <w:sz w:val="20"/>
        </w:rPr>
        <w:t xml:space="preserve"> fees</w:t>
      </w:r>
    </w:p>
    <w:p w:rsidR="00A140D6" w:rsidRPr="00D201E8" w:rsidRDefault="00A140D6" w:rsidP="00A140D6">
      <w:pPr>
        <w:spacing w:after="120"/>
        <w:ind w:left="2552"/>
        <w:rPr>
          <w:sz w:val="20"/>
        </w:rPr>
      </w:pPr>
      <w:r>
        <w:rPr>
          <w:sz w:val="20"/>
        </w:rPr>
        <w:t>R</w:t>
      </w:r>
      <w:r w:rsidRPr="00D201E8">
        <w:rPr>
          <w:sz w:val="20"/>
        </w:rPr>
        <w:t>egistration fees are different from verification costs and can vary from zero to $1500 in the case of large companies</w:t>
      </w:r>
      <w:r>
        <w:rPr>
          <w:sz w:val="20"/>
        </w:rPr>
        <w:t>.</w:t>
      </w:r>
    </w:p>
    <w:p w:rsidR="00A140D6" w:rsidRDefault="00A140D6" w:rsidP="00A140D6">
      <w:pPr>
        <w:tabs>
          <w:tab w:val="left" w:pos="2552"/>
        </w:tabs>
        <w:spacing w:after="120"/>
        <w:ind w:left="1418" w:firstLine="567"/>
        <w:rPr>
          <w:sz w:val="20"/>
        </w:rPr>
      </w:pPr>
      <w:r>
        <w:rPr>
          <w:sz w:val="20"/>
        </w:rPr>
        <w:t>(c)</w:t>
      </w:r>
      <w:r>
        <w:rPr>
          <w:sz w:val="20"/>
        </w:rPr>
        <w:tab/>
      </w:r>
      <w:r w:rsidRPr="0014461C">
        <w:rPr>
          <w:sz w:val="20"/>
        </w:rPr>
        <w:t>External consultancy</w:t>
      </w:r>
    </w:p>
    <w:p w:rsidR="00A140D6" w:rsidRPr="00D201E8" w:rsidRDefault="00A140D6" w:rsidP="00A140D6">
      <w:pPr>
        <w:spacing w:after="120"/>
        <w:ind w:left="2552"/>
        <w:rPr>
          <w:caps/>
          <w:sz w:val="20"/>
        </w:rPr>
      </w:pPr>
      <w:r>
        <w:rPr>
          <w:sz w:val="20"/>
        </w:rPr>
        <w:t>E</w:t>
      </w:r>
      <w:r w:rsidRPr="00D201E8">
        <w:rPr>
          <w:sz w:val="20"/>
        </w:rPr>
        <w:t>xternal consultancy costs may be approximately one third of those incurred in the first year</w:t>
      </w:r>
      <w:r>
        <w:rPr>
          <w:sz w:val="20"/>
        </w:rPr>
        <w:t>.</w:t>
      </w:r>
    </w:p>
    <w:p w:rsidR="00A140D6" w:rsidRDefault="00A140D6" w:rsidP="00A140D6">
      <w:pPr>
        <w:tabs>
          <w:tab w:val="left" w:pos="2552"/>
        </w:tabs>
        <w:spacing w:after="120"/>
        <w:ind w:left="1418" w:firstLine="567"/>
        <w:rPr>
          <w:sz w:val="20"/>
        </w:rPr>
      </w:pPr>
      <w:r>
        <w:rPr>
          <w:sz w:val="20"/>
        </w:rPr>
        <w:t>(d)</w:t>
      </w:r>
      <w:r>
        <w:rPr>
          <w:sz w:val="20"/>
        </w:rPr>
        <w:tab/>
      </w:r>
      <w:r w:rsidRPr="0014461C">
        <w:rPr>
          <w:sz w:val="20"/>
        </w:rPr>
        <w:t>Fixed costs</w:t>
      </w:r>
    </w:p>
    <w:p w:rsidR="00A140D6" w:rsidRPr="00D201E8" w:rsidRDefault="00A140D6" w:rsidP="00A140D6">
      <w:pPr>
        <w:spacing w:after="120"/>
        <w:ind w:left="2552"/>
        <w:rPr>
          <w:caps/>
          <w:sz w:val="20"/>
        </w:rPr>
      </w:pPr>
      <w:proofErr w:type="gramStart"/>
      <w:r>
        <w:rPr>
          <w:sz w:val="20"/>
        </w:rPr>
        <w:t>F</w:t>
      </w:r>
      <w:r w:rsidRPr="00D201E8">
        <w:rPr>
          <w:sz w:val="20"/>
        </w:rPr>
        <w:t>ixed costs of adding certificate logo to stationary and producing publicity material</w:t>
      </w:r>
      <w:r>
        <w:rPr>
          <w:sz w:val="20"/>
        </w:rPr>
        <w:t>.</w:t>
      </w:r>
      <w:proofErr w:type="gramEnd"/>
    </w:p>
    <w:p w:rsidR="00A140D6" w:rsidRDefault="00A140D6" w:rsidP="009A372A">
      <w:pPr>
        <w:numPr>
          <w:ilvl w:val="0"/>
          <w:numId w:val="8"/>
        </w:numPr>
        <w:tabs>
          <w:tab w:val="left" w:pos="1985"/>
        </w:tabs>
        <w:spacing w:after="120"/>
        <w:ind w:left="1418" w:firstLine="0"/>
        <w:rPr>
          <w:sz w:val="20"/>
        </w:rPr>
      </w:pPr>
      <w:r w:rsidRPr="00683383">
        <w:rPr>
          <w:sz w:val="20"/>
        </w:rPr>
        <w:t>It</w:t>
      </w:r>
      <w:r w:rsidR="001E58C9">
        <w:rPr>
          <w:sz w:val="20"/>
        </w:rPr>
        <w:t xml:space="preserve"> follows that where a c</w:t>
      </w:r>
      <w:r w:rsidRPr="00D201E8">
        <w:rPr>
          <w:sz w:val="20"/>
        </w:rPr>
        <w:t>ountry has over a certain number of waste management facilities, it would likely be less costly for all to have a strict regulatory regime together with government or agency personnel for inspection and enforcement.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6"/>
      </w:tblGrid>
      <w:tr w:rsidR="00A140D6" w:rsidRPr="00522877" w:rsidTr="00A140D6">
        <w:tc>
          <w:tcPr>
            <w:tcW w:w="8186" w:type="dxa"/>
          </w:tcPr>
          <w:p w:rsidR="00A140D6" w:rsidRPr="00522877" w:rsidRDefault="00A140D6" w:rsidP="00A140D6">
            <w:pPr>
              <w:spacing w:before="120" w:after="120"/>
              <w:jc w:val="center"/>
              <w:rPr>
                <w:rFonts w:eastAsia="Calibri" w:cs="Arial"/>
                <w:b/>
                <w:sz w:val="20"/>
              </w:rPr>
            </w:pPr>
            <w:r w:rsidRPr="00522877">
              <w:rPr>
                <w:rFonts w:eastAsia="Calibri" w:cs="Arial"/>
                <w:b/>
                <w:sz w:val="20"/>
              </w:rPr>
              <w:t>Examples of Green Lead being applied on the ground</w:t>
            </w:r>
          </w:p>
          <w:p w:rsidR="00A140D6" w:rsidRPr="00522877" w:rsidRDefault="00A140D6" w:rsidP="00A140D6">
            <w:pPr>
              <w:spacing w:after="120"/>
              <w:rPr>
                <w:rFonts w:eastAsia="Calibri" w:cs="Arial"/>
                <w:sz w:val="20"/>
              </w:rPr>
            </w:pPr>
            <w:r w:rsidRPr="00522877">
              <w:rPr>
                <w:rFonts w:eastAsia="Calibri" w:cs="Arial"/>
                <w:sz w:val="20"/>
              </w:rPr>
              <w:t xml:space="preserve">The best case of applying Green Lead occurred in Guatemala, when the </w:t>
            </w:r>
            <w:proofErr w:type="spellStart"/>
            <w:r w:rsidRPr="00522877">
              <w:rPr>
                <w:rFonts w:eastAsia="Calibri" w:cs="Arial"/>
                <w:sz w:val="20"/>
              </w:rPr>
              <w:t>Acumuladores</w:t>
            </w:r>
            <w:proofErr w:type="spellEnd"/>
            <w:r w:rsidRPr="00522877">
              <w:rPr>
                <w:rFonts w:eastAsia="Calibri" w:cs="Arial"/>
                <w:sz w:val="20"/>
              </w:rPr>
              <w:t xml:space="preserve"> Iberia ULAB Recycling facilities applied for a Green Lead award</w:t>
            </w:r>
            <w:r w:rsidR="001E58C9">
              <w:rPr>
                <w:rStyle w:val="FootnoteReference"/>
                <w:rFonts w:eastAsia="Calibri" w:cs="Arial"/>
              </w:rPr>
              <w:footnoteReference w:id="13"/>
            </w:r>
            <w:r w:rsidRPr="00522877">
              <w:rPr>
                <w:rFonts w:eastAsia="Calibri" w:cs="Arial"/>
                <w:sz w:val="20"/>
              </w:rPr>
              <w:t xml:space="preserve"> and the process started with a guided self-assessment, with the participation of an international consultant hired by the Basel Secretariat, which produced a list of non-conformities, as well as a scheduled plan of action on how to resolve them. Once the company estimated that there were significant advances in eliminating the non-conformities</w:t>
            </w:r>
            <w:r w:rsidR="001E58C9">
              <w:rPr>
                <w:rFonts w:eastAsia="Calibri" w:cs="Arial"/>
                <w:sz w:val="20"/>
              </w:rPr>
              <w:t>,</w:t>
            </w:r>
            <w:r w:rsidRPr="00522877">
              <w:rPr>
                <w:rFonts w:eastAsia="Calibri" w:cs="Arial"/>
                <w:sz w:val="20"/>
              </w:rPr>
              <w:t xml:space="preserve"> a further series of visits from the consultant was arranged to verify compliance and clarify the pending non-conformities. Three visits of the international consultant were required during a period of two years (2007-2009) to obtain full compliance with the Basel Technical Guidelines and the Green Lead Protocols, ending with a visit by the Guatemalan Minister for the </w:t>
            </w:r>
            <w:r w:rsidRPr="00522877">
              <w:rPr>
                <w:rFonts w:eastAsia="Calibri" w:cs="Arial"/>
                <w:sz w:val="20"/>
              </w:rPr>
              <w:lastRenderedPageBreak/>
              <w:t xml:space="preserve">Environment and Natural Resources in February 2009, when he was present for the first ever Green Lead Award delivered to the </w:t>
            </w:r>
            <w:proofErr w:type="spellStart"/>
            <w:r w:rsidRPr="00522877">
              <w:rPr>
                <w:rFonts w:eastAsia="Calibri" w:cs="Arial"/>
                <w:sz w:val="20"/>
              </w:rPr>
              <w:t>Acumuladores</w:t>
            </w:r>
            <w:proofErr w:type="spellEnd"/>
            <w:r w:rsidRPr="00522877">
              <w:rPr>
                <w:rFonts w:eastAsia="Calibri" w:cs="Arial"/>
                <w:sz w:val="20"/>
              </w:rPr>
              <w:t xml:space="preserve"> Iberia ULAB Recycling facility.</w:t>
            </w:r>
          </w:p>
          <w:p w:rsidR="00A140D6" w:rsidRPr="00522877" w:rsidRDefault="00A140D6" w:rsidP="00A140D6">
            <w:pPr>
              <w:spacing w:after="120"/>
              <w:rPr>
                <w:rFonts w:eastAsia="Calibri" w:cs="Arial"/>
                <w:sz w:val="20"/>
              </w:rPr>
            </w:pPr>
            <w:r w:rsidRPr="00522877">
              <w:rPr>
                <w:rFonts w:eastAsia="Calibri" w:cs="Arial"/>
                <w:sz w:val="20"/>
              </w:rPr>
              <w:t xml:space="preserve">A second Green Lead Award was given to </w:t>
            </w:r>
            <w:proofErr w:type="spellStart"/>
            <w:r w:rsidRPr="00522877">
              <w:rPr>
                <w:rFonts w:eastAsia="Calibri" w:cs="Arial"/>
                <w:sz w:val="20"/>
              </w:rPr>
              <w:t>Acumuladores</w:t>
            </w:r>
            <w:proofErr w:type="spellEnd"/>
            <w:r w:rsidRPr="00522877">
              <w:rPr>
                <w:rFonts w:eastAsia="Calibri" w:cs="Arial"/>
                <w:sz w:val="20"/>
              </w:rPr>
              <w:t xml:space="preserve"> Iberia in 2011, but this time around the verification of compliance was made by a Guatemalan professional, who was trained in a workshop organized by BCRC-CAM with funding from the Secretariat of the Basel Convention on June 2009, when 20 Central Americans were trained as Assessors. Moreover, in order to obtain this second Green Lead Award, </w:t>
            </w:r>
            <w:proofErr w:type="spellStart"/>
            <w:r w:rsidRPr="00522877">
              <w:rPr>
                <w:rFonts w:eastAsia="Calibri" w:cs="Arial"/>
                <w:sz w:val="20"/>
              </w:rPr>
              <w:t>Acumuladores</w:t>
            </w:r>
            <w:proofErr w:type="spellEnd"/>
            <w:r w:rsidRPr="00522877">
              <w:rPr>
                <w:rFonts w:eastAsia="Calibri" w:cs="Arial"/>
                <w:sz w:val="20"/>
              </w:rPr>
              <w:t xml:space="preserve"> Iberia had to demonstrate that they have made an effort to train one of their major suppliers to collect ULAB in an environmentally sound manner, following strictly the corresponding Basel Technical Guidelines.</w:t>
            </w:r>
          </w:p>
          <w:p w:rsidR="00A140D6" w:rsidRPr="00522877" w:rsidRDefault="00A140D6" w:rsidP="001E58C9">
            <w:pPr>
              <w:spacing w:after="120"/>
              <w:rPr>
                <w:rFonts w:eastAsia="Calibri" w:cs="Arial"/>
                <w:sz w:val="20"/>
              </w:rPr>
            </w:pPr>
            <w:r w:rsidRPr="00522877">
              <w:rPr>
                <w:rFonts w:eastAsia="Calibri" w:cs="Arial"/>
                <w:sz w:val="20"/>
              </w:rPr>
              <w:t xml:space="preserve">Other practical applications of Green Lead advanced in ULAB Recycling facilities in Costa Rica (PB Metals), Colombia (MAC), and the Dominican Republic (Verde </w:t>
            </w:r>
            <w:proofErr w:type="spellStart"/>
            <w:r w:rsidRPr="00522877">
              <w:rPr>
                <w:rFonts w:eastAsia="Calibri" w:cs="Arial"/>
                <w:sz w:val="20"/>
              </w:rPr>
              <w:t>Ecoreciclaje</w:t>
            </w:r>
            <w:proofErr w:type="spellEnd"/>
            <w:r w:rsidRPr="00522877">
              <w:rPr>
                <w:rFonts w:eastAsia="Calibri" w:cs="Arial"/>
                <w:sz w:val="20"/>
              </w:rPr>
              <w:t xml:space="preserve"> Industrial), as well as in two Salvadoran temporary facilities, but they could not be finalized because Green Lead lacked proper funding to move to full certification accreditation. Thus, Green Lead helped to set up a new standard on ESM of ULAB recycling and temporary storages in Central America and the Caribbean.  Additionally, Green Lead had an impact in Senegal, Ghana, Cambodia, China and India, though with another twist, aiming for a more limited approach of obtaining quick wins to motivate further advances in ESM.</w:t>
            </w:r>
          </w:p>
        </w:tc>
      </w:tr>
    </w:tbl>
    <w:p w:rsidR="00A140D6" w:rsidRPr="00A140D6" w:rsidRDefault="00A140D6" w:rsidP="00A140D6">
      <w:pPr>
        <w:pStyle w:val="Heading3"/>
        <w:tabs>
          <w:tab w:val="clear" w:pos="1247"/>
          <w:tab w:val="right" w:pos="993"/>
          <w:tab w:val="left" w:pos="1418"/>
        </w:tabs>
        <w:spacing w:before="240" w:line="252" w:lineRule="auto"/>
        <w:ind w:left="0" w:firstLine="720"/>
        <w:jc w:val="both"/>
        <w:rPr>
          <w:bCs/>
          <w:sz w:val="20"/>
        </w:rPr>
      </w:pPr>
      <w:bookmarkStart w:id="19" w:name="_Toc478467385"/>
      <w:r w:rsidRPr="00A140D6">
        <w:rPr>
          <w:bCs/>
          <w:sz w:val="20"/>
        </w:rPr>
        <w:lastRenderedPageBreak/>
        <w:t>3.</w:t>
      </w:r>
      <w:r w:rsidRPr="00A140D6">
        <w:rPr>
          <w:bCs/>
          <w:sz w:val="20"/>
        </w:rPr>
        <w:tab/>
      </w:r>
      <w:r w:rsidRPr="00A140D6">
        <w:rPr>
          <w:bCs/>
          <w:sz w:val="20"/>
        </w:rPr>
        <w:tab/>
        <w:t>Assessing facility performance against the Basel Convention technical guidelines</w:t>
      </w:r>
      <w:bookmarkEnd w:id="19"/>
      <w:r w:rsidRPr="00A140D6">
        <w:rPr>
          <w:bCs/>
          <w:sz w:val="20"/>
        </w:rPr>
        <w:t xml:space="preserve"> </w:t>
      </w:r>
    </w:p>
    <w:p w:rsidR="00A140D6" w:rsidRPr="00D201E8" w:rsidRDefault="00DF7003" w:rsidP="009A372A">
      <w:pPr>
        <w:numPr>
          <w:ilvl w:val="0"/>
          <w:numId w:val="8"/>
        </w:numPr>
        <w:tabs>
          <w:tab w:val="left" w:pos="1985"/>
        </w:tabs>
        <w:spacing w:after="120"/>
        <w:ind w:left="1418" w:firstLine="0"/>
        <w:rPr>
          <w:sz w:val="20"/>
        </w:rPr>
      </w:pPr>
      <w:r>
        <w:rPr>
          <w:sz w:val="20"/>
        </w:rPr>
        <w:t>In the previous s</w:t>
      </w:r>
      <w:r w:rsidR="00A140D6" w:rsidRPr="00D201E8">
        <w:rPr>
          <w:sz w:val="20"/>
        </w:rPr>
        <w:t>ection on Strategies for ESM</w:t>
      </w:r>
      <w:r>
        <w:rPr>
          <w:sz w:val="20"/>
        </w:rPr>
        <w:t>,</w:t>
      </w:r>
      <w:r w:rsidR="00A140D6" w:rsidRPr="00D201E8">
        <w:rPr>
          <w:sz w:val="20"/>
        </w:rPr>
        <w:t xml:space="preserve"> the Green Lead Initiative was introduced. Recall that the basic process concept of Green Lead is the identification of impacts associated with lead, the establishment of </w:t>
      </w:r>
      <w:r>
        <w:rPr>
          <w:sz w:val="20"/>
        </w:rPr>
        <w:t>p</w:t>
      </w:r>
      <w:r w:rsidR="00A140D6" w:rsidRPr="00D201E8">
        <w:rPr>
          <w:sz w:val="20"/>
        </w:rPr>
        <w:t>rotocols and subsequent mechanisms to minimize these impacts and recognition of organizations th</w:t>
      </w:r>
      <w:r>
        <w:rPr>
          <w:sz w:val="20"/>
        </w:rPr>
        <w:t>at achieve compliance with the p</w:t>
      </w:r>
      <w:r w:rsidR="00A140D6" w:rsidRPr="00D201E8">
        <w:rPr>
          <w:sz w:val="20"/>
        </w:rPr>
        <w:t>rotocols through the Green Lead Award for the ESM and Sustainable Recovery and Recycling of ULAB in compliance with prevailing legislation, the Basel Convention and the respective Technical Guidelines</w:t>
      </w:r>
      <w:r w:rsidR="00A140D6">
        <w:rPr>
          <w:sz w:val="20"/>
        </w:rPr>
        <w:t>.</w:t>
      </w:r>
    </w:p>
    <w:p w:rsidR="00A140D6" w:rsidRPr="00A140D6" w:rsidRDefault="00A140D6" w:rsidP="00A140D6">
      <w:pPr>
        <w:pStyle w:val="Heading1"/>
        <w:keepNext w:val="0"/>
        <w:tabs>
          <w:tab w:val="clear" w:pos="1247"/>
          <w:tab w:val="clear" w:pos="1814"/>
          <w:tab w:val="right" w:pos="993"/>
          <w:tab w:val="left" w:pos="1418"/>
        </w:tabs>
        <w:ind w:left="0" w:firstLine="0"/>
        <w:rPr>
          <w:bCs/>
          <w:spacing w:val="20"/>
          <w:szCs w:val="28"/>
        </w:rPr>
      </w:pPr>
      <w:r>
        <w:rPr>
          <w:bCs/>
          <w:spacing w:val="20"/>
          <w:szCs w:val="28"/>
          <w:lang w:val="fr-CH"/>
        </w:rPr>
        <w:tab/>
      </w:r>
      <w:bookmarkStart w:id="20" w:name="_Toc478467386"/>
      <w:r w:rsidRPr="00A140D6">
        <w:rPr>
          <w:bCs/>
          <w:spacing w:val="20"/>
          <w:szCs w:val="28"/>
        </w:rPr>
        <w:t>V.</w:t>
      </w:r>
      <w:r w:rsidRPr="00A140D6">
        <w:rPr>
          <w:bCs/>
          <w:spacing w:val="20"/>
          <w:szCs w:val="28"/>
        </w:rPr>
        <w:tab/>
        <w:t>Incentives for ESM</w:t>
      </w:r>
      <w:bookmarkEnd w:id="20"/>
    </w:p>
    <w:p w:rsidR="00A140D6" w:rsidRPr="00D201E8" w:rsidRDefault="00A140D6" w:rsidP="009A372A">
      <w:pPr>
        <w:numPr>
          <w:ilvl w:val="0"/>
          <w:numId w:val="8"/>
        </w:numPr>
        <w:tabs>
          <w:tab w:val="left" w:pos="1985"/>
        </w:tabs>
        <w:spacing w:after="120"/>
        <w:ind w:left="1418" w:firstLine="0"/>
        <w:rPr>
          <w:sz w:val="20"/>
        </w:rPr>
      </w:pPr>
      <w:r w:rsidRPr="00D201E8">
        <w:rPr>
          <w:sz w:val="20"/>
        </w:rPr>
        <w:t>The ESM Framework identifies incentives for ESM as follows:</w:t>
      </w:r>
    </w:p>
    <w:p w:rsidR="00A140D6" w:rsidRPr="002C7CD2" w:rsidRDefault="00A140D6" w:rsidP="00A140D6">
      <w:pPr>
        <w:tabs>
          <w:tab w:val="left" w:pos="2552"/>
        </w:tabs>
        <w:spacing w:after="120"/>
        <w:ind w:left="1440" w:firstLine="545"/>
        <w:rPr>
          <w:sz w:val="20"/>
        </w:rPr>
      </w:pPr>
      <w:r>
        <w:rPr>
          <w:sz w:val="20"/>
        </w:rPr>
        <w:t>(a)</w:t>
      </w:r>
      <w:r>
        <w:rPr>
          <w:sz w:val="20"/>
        </w:rPr>
        <w:tab/>
      </w:r>
      <w:r w:rsidRPr="002C7CD2">
        <w:rPr>
          <w:sz w:val="20"/>
        </w:rPr>
        <w:t>A common understanding of what ESM encompasses</w:t>
      </w:r>
    </w:p>
    <w:p w:rsidR="00A140D6" w:rsidRPr="00D201E8" w:rsidRDefault="00A140D6" w:rsidP="00A140D6">
      <w:pPr>
        <w:spacing w:after="120"/>
        <w:ind w:left="2552"/>
        <w:rPr>
          <w:rFonts w:eastAsia="Calibri"/>
          <w:sz w:val="20"/>
        </w:rPr>
      </w:pPr>
      <w:r w:rsidRPr="00D201E8">
        <w:rPr>
          <w:rFonts w:eastAsia="Calibri"/>
          <w:sz w:val="20"/>
        </w:rPr>
        <w:t xml:space="preserve">ESM of wastes requires the development and implementation of a system of policies, legislation and regulations, monitoring and enforcement, incentives and penalties, technologies and other tools in which all key stakeholders participate and cooperate. </w:t>
      </w:r>
    </w:p>
    <w:p w:rsidR="00A140D6" w:rsidRPr="002C7CD2" w:rsidRDefault="00A140D6" w:rsidP="00A140D6">
      <w:pPr>
        <w:tabs>
          <w:tab w:val="left" w:pos="2552"/>
        </w:tabs>
        <w:spacing w:after="120"/>
        <w:ind w:left="1440" w:firstLine="545"/>
        <w:rPr>
          <w:sz w:val="20"/>
        </w:rPr>
      </w:pPr>
      <w:r>
        <w:rPr>
          <w:sz w:val="20"/>
        </w:rPr>
        <w:t>(b)</w:t>
      </w:r>
      <w:r>
        <w:rPr>
          <w:sz w:val="20"/>
        </w:rPr>
        <w:tab/>
      </w:r>
      <w:r w:rsidRPr="002C7CD2">
        <w:rPr>
          <w:sz w:val="20"/>
        </w:rPr>
        <w:t>Tools to support and promote the implementation of environmentally sound management</w:t>
      </w:r>
    </w:p>
    <w:p w:rsidR="00A140D6" w:rsidRPr="00D201E8" w:rsidRDefault="00A140D6" w:rsidP="00A140D6">
      <w:pPr>
        <w:spacing w:after="120"/>
        <w:ind w:left="2552"/>
        <w:rPr>
          <w:rFonts w:eastAsia="Calibri"/>
          <w:sz w:val="20"/>
        </w:rPr>
      </w:pPr>
      <w:r w:rsidRPr="00D201E8">
        <w:rPr>
          <w:rFonts w:eastAsia="Calibri"/>
          <w:sz w:val="20"/>
        </w:rPr>
        <w:t>Tools to support and promote the implementation of ESM include a combination of legislative and regulatory tools, guidelines and/or codes of practice, voluntary certification schemes, voluntary agreements and schemes, mechanisms for cooperation at the international, regional, national and local levels, including with industry, training and awareness programmes and incentive schemes. They may be tailored to address specific waste streams. The framework outlines examples of tools in each of these categories and a supportive list of resource documents is provided in annex II.</w:t>
      </w:r>
    </w:p>
    <w:p w:rsidR="00A140D6" w:rsidRPr="002C7CD2" w:rsidRDefault="00A140D6" w:rsidP="00A140D6">
      <w:pPr>
        <w:tabs>
          <w:tab w:val="left" w:pos="2552"/>
        </w:tabs>
        <w:spacing w:after="120"/>
        <w:ind w:left="1440" w:firstLine="545"/>
        <w:rPr>
          <w:sz w:val="20"/>
        </w:rPr>
      </w:pPr>
      <w:r>
        <w:rPr>
          <w:sz w:val="20"/>
        </w:rPr>
        <w:t>(c)</w:t>
      </w:r>
      <w:r>
        <w:rPr>
          <w:sz w:val="20"/>
        </w:rPr>
        <w:tab/>
      </w:r>
      <w:r w:rsidRPr="002C7CD2">
        <w:rPr>
          <w:sz w:val="20"/>
        </w:rPr>
        <w:t>Economic and non-economic incentives:</w:t>
      </w:r>
    </w:p>
    <w:p w:rsidR="00A140D6" w:rsidRPr="00D201E8" w:rsidRDefault="00A140D6" w:rsidP="00A140D6">
      <w:pPr>
        <w:tabs>
          <w:tab w:val="left" w:pos="3119"/>
        </w:tabs>
        <w:spacing w:after="120"/>
        <w:ind w:left="2552"/>
        <w:rPr>
          <w:rFonts w:eastAsia="Calibri"/>
          <w:sz w:val="20"/>
        </w:rPr>
      </w:pPr>
      <w:r w:rsidRPr="00D201E8">
        <w:rPr>
          <w:rFonts w:eastAsia="Calibri"/>
          <w:sz w:val="20"/>
        </w:rPr>
        <w:t>(</w:t>
      </w:r>
      <w:proofErr w:type="spellStart"/>
      <w:r w:rsidRPr="00D201E8">
        <w:rPr>
          <w:rFonts w:eastAsia="Calibri"/>
          <w:sz w:val="20"/>
        </w:rPr>
        <w:t>i</w:t>
      </w:r>
      <w:proofErr w:type="spellEnd"/>
      <w:r w:rsidRPr="00D201E8">
        <w:rPr>
          <w:rFonts w:eastAsia="Calibri"/>
          <w:sz w:val="20"/>
        </w:rPr>
        <w:t>)</w:t>
      </w:r>
      <w:r>
        <w:rPr>
          <w:rFonts w:eastAsia="Calibri"/>
          <w:sz w:val="20"/>
        </w:rPr>
        <w:tab/>
      </w:r>
      <w:r w:rsidRPr="00D201E8">
        <w:rPr>
          <w:rFonts w:eastAsia="Calibri"/>
          <w:sz w:val="20"/>
        </w:rPr>
        <w:t>Price incentives to promote and stimulate sorting at source;</w:t>
      </w:r>
    </w:p>
    <w:p w:rsidR="00A140D6" w:rsidRPr="00D201E8" w:rsidRDefault="00A140D6" w:rsidP="00A140D6">
      <w:pPr>
        <w:tabs>
          <w:tab w:val="left" w:pos="3119"/>
        </w:tabs>
        <w:spacing w:after="120"/>
        <w:ind w:left="3119" w:hanging="567"/>
        <w:rPr>
          <w:rFonts w:eastAsia="Calibri"/>
          <w:sz w:val="20"/>
        </w:rPr>
      </w:pPr>
      <w:r w:rsidRPr="00D201E8">
        <w:rPr>
          <w:rFonts w:eastAsia="Calibri"/>
          <w:sz w:val="20"/>
        </w:rPr>
        <w:t>(ii)</w:t>
      </w:r>
      <w:r>
        <w:rPr>
          <w:rFonts w:eastAsia="Calibri"/>
          <w:sz w:val="20"/>
        </w:rPr>
        <w:tab/>
      </w:r>
      <w:r w:rsidRPr="00D201E8">
        <w:rPr>
          <w:rFonts w:eastAsia="Calibri"/>
          <w:sz w:val="20"/>
        </w:rPr>
        <w:t>Relief measures for facilities, such as reduced tax for a certain period, extension of a licensing period for an ESM facility, or other measures that reduce procedural or administrative burdens;</w:t>
      </w:r>
    </w:p>
    <w:p w:rsidR="00A140D6" w:rsidRPr="00D201E8" w:rsidRDefault="00A140D6" w:rsidP="00A140D6">
      <w:pPr>
        <w:tabs>
          <w:tab w:val="left" w:pos="3119"/>
        </w:tabs>
        <w:spacing w:after="120"/>
        <w:ind w:left="2552"/>
        <w:rPr>
          <w:rFonts w:eastAsia="Calibri"/>
          <w:sz w:val="20"/>
        </w:rPr>
      </w:pPr>
      <w:r w:rsidRPr="00D201E8">
        <w:rPr>
          <w:rFonts w:eastAsia="Calibri"/>
          <w:sz w:val="20"/>
        </w:rPr>
        <w:t>(iii)</w:t>
      </w:r>
      <w:r>
        <w:rPr>
          <w:rFonts w:eastAsia="Calibri"/>
          <w:sz w:val="20"/>
        </w:rPr>
        <w:tab/>
      </w:r>
      <w:r w:rsidRPr="00D201E8">
        <w:rPr>
          <w:rFonts w:eastAsia="Calibri"/>
          <w:sz w:val="20"/>
        </w:rPr>
        <w:t>Recognition or award.</w:t>
      </w:r>
    </w:p>
    <w:p w:rsidR="00A140D6" w:rsidRPr="002C7CD2" w:rsidRDefault="00A140D6" w:rsidP="00A140D6">
      <w:pPr>
        <w:tabs>
          <w:tab w:val="left" w:pos="2552"/>
        </w:tabs>
        <w:spacing w:after="120"/>
        <w:ind w:left="1440" w:firstLine="545"/>
        <w:rPr>
          <w:sz w:val="20"/>
        </w:rPr>
      </w:pPr>
      <w:r>
        <w:rPr>
          <w:sz w:val="20"/>
        </w:rPr>
        <w:t>(d)</w:t>
      </w:r>
      <w:r>
        <w:rPr>
          <w:sz w:val="20"/>
        </w:rPr>
        <w:tab/>
      </w:r>
      <w:r w:rsidR="00677515">
        <w:rPr>
          <w:sz w:val="20"/>
        </w:rPr>
        <w:t>Roles of k</w:t>
      </w:r>
      <w:r w:rsidRPr="002C7CD2">
        <w:rPr>
          <w:sz w:val="20"/>
        </w:rPr>
        <w:t>ey Stakeholders</w:t>
      </w:r>
    </w:p>
    <w:p w:rsidR="00A140D6" w:rsidRPr="00D201E8" w:rsidRDefault="00A140D6" w:rsidP="00A140D6">
      <w:pPr>
        <w:spacing w:after="120"/>
        <w:ind w:left="2552"/>
        <w:rPr>
          <w:rFonts w:eastAsia="Calibri"/>
          <w:sz w:val="20"/>
        </w:rPr>
      </w:pPr>
      <w:r w:rsidRPr="00D201E8">
        <w:rPr>
          <w:rFonts w:eastAsia="Calibri"/>
          <w:sz w:val="20"/>
        </w:rPr>
        <w:t xml:space="preserve">In many cases, environmental and human health costs resulting from waste management are not fully reflected in the financial costs of waste management. These external costs may vary considerably depending on factors such as local conditions or the nature of the waste. The financial costs of waste management may therefore be less than the total social costs, with the difference being borne by other economic </w:t>
      </w:r>
      <w:r w:rsidRPr="00D201E8">
        <w:rPr>
          <w:rFonts w:eastAsia="Calibri"/>
          <w:sz w:val="20"/>
        </w:rPr>
        <w:lastRenderedPageBreak/>
        <w:t>operators. As long as this is the case, waste generators and managers may not have sufficient incentives to adopt an appropriate level of waste management within their facilities. In the same way, any environmental</w:t>
      </w:r>
      <w:r>
        <w:rPr>
          <w:rFonts w:eastAsia="Calibri"/>
          <w:sz w:val="20"/>
        </w:rPr>
        <w:t xml:space="preserve"> </w:t>
      </w:r>
      <w:r w:rsidRPr="00D201E8">
        <w:rPr>
          <w:rFonts w:eastAsia="Calibri"/>
          <w:sz w:val="20"/>
        </w:rPr>
        <w:t xml:space="preserve">benefits should be internalized into waste management decisions at the facility level. </w:t>
      </w:r>
    </w:p>
    <w:p w:rsidR="00A140D6" w:rsidRPr="00D201E8" w:rsidRDefault="00A140D6" w:rsidP="00A140D6">
      <w:pPr>
        <w:spacing w:after="120"/>
        <w:ind w:left="2552"/>
        <w:rPr>
          <w:rFonts w:eastAsia="Calibri"/>
          <w:sz w:val="20"/>
        </w:rPr>
      </w:pPr>
      <w:r>
        <w:rPr>
          <w:rFonts w:eastAsia="Calibri"/>
          <w:sz w:val="20"/>
        </w:rPr>
        <w:t>Governments should f</w:t>
      </w:r>
      <w:r w:rsidRPr="00484DB8">
        <w:rPr>
          <w:rFonts w:eastAsia="Calibri"/>
          <w:sz w:val="20"/>
        </w:rPr>
        <w:t>oster continual improvement within the waste management sector, including</w:t>
      </w:r>
      <w:r>
        <w:rPr>
          <w:rFonts w:eastAsia="Calibri"/>
          <w:sz w:val="20"/>
        </w:rPr>
        <w:t xml:space="preserve"> p</w:t>
      </w:r>
      <w:r w:rsidRPr="00D201E8">
        <w:rPr>
          <w:rFonts w:eastAsia="Calibri"/>
          <w:sz w:val="20"/>
        </w:rPr>
        <w:t>rovision of incentives (e.g., economic incentives, regulatory relief measures such as fewer inspections, taxes, etc.) for facilities which adopt improvements going beyond the minimum performance elements outlined for the achievement of ESM at the facility level. Such measures could increase recycling and recovery rates, optimize resource productivity and minimize generation of waste residuals after recovery processes.</w:t>
      </w:r>
    </w:p>
    <w:p w:rsidR="00A140D6" w:rsidRPr="00D201E8" w:rsidRDefault="00A140D6" w:rsidP="00A140D6">
      <w:pPr>
        <w:spacing w:after="120"/>
        <w:ind w:left="2552"/>
        <w:rPr>
          <w:rFonts w:eastAsia="Calibri"/>
          <w:sz w:val="20"/>
        </w:rPr>
      </w:pPr>
      <w:r>
        <w:rPr>
          <w:rFonts w:eastAsia="Calibri"/>
          <w:sz w:val="20"/>
        </w:rPr>
        <w:t>Governments should p</w:t>
      </w:r>
      <w:r w:rsidRPr="00D201E8">
        <w:rPr>
          <w:rFonts w:eastAsia="Calibri"/>
          <w:sz w:val="20"/>
        </w:rPr>
        <w:t>rovide incentives to foster the development of infrastructure for relevant waste management technologies and facilities that support the leading elements of the waste management hierarchy and ESM such as waste prevention, including:</w:t>
      </w:r>
    </w:p>
    <w:p w:rsidR="00A140D6" w:rsidRPr="00D201E8" w:rsidRDefault="00A140D6" w:rsidP="00A140D6">
      <w:pPr>
        <w:tabs>
          <w:tab w:val="left" w:pos="3119"/>
        </w:tabs>
        <w:spacing w:after="120"/>
        <w:ind w:left="3119" w:hanging="567"/>
        <w:rPr>
          <w:rFonts w:eastAsia="Calibri"/>
          <w:sz w:val="20"/>
        </w:rPr>
      </w:pPr>
      <w:r w:rsidRPr="00D201E8">
        <w:rPr>
          <w:rFonts w:eastAsia="Calibri"/>
          <w:sz w:val="20"/>
        </w:rPr>
        <w:t>(</w:t>
      </w:r>
      <w:proofErr w:type="spellStart"/>
      <w:r w:rsidRPr="00D201E8">
        <w:rPr>
          <w:rFonts w:eastAsia="Calibri"/>
          <w:sz w:val="20"/>
        </w:rPr>
        <w:t>i</w:t>
      </w:r>
      <w:proofErr w:type="spellEnd"/>
      <w:r w:rsidRPr="00D201E8">
        <w:rPr>
          <w:rFonts w:eastAsia="Calibri"/>
          <w:sz w:val="20"/>
        </w:rPr>
        <w:t>)</w:t>
      </w:r>
      <w:r>
        <w:rPr>
          <w:rFonts w:eastAsia="Calibri"/>
          <w:sz w:val="20"/>
        </w:rPr>
        <w:tab/>
      </w:r>
      <w:r w:rsidRPr="00D201E8">
        <w:rPr>
          <w:rFonts w:eastAsia="Calibri"/>
          <w:sz w:val="20"/>
        </w:rPr>
        <w:t>Measures to increase waste prevention, reduction, reuse, recycling and recovery rates, taking into consideration sustainable management of materials;</w:t>
      </w:r>
    </w:p>
    <w:p w:rsidR="00A140D6" w:rsidRDefault="00A140D6" w:rsidP="00A140D6">
      <w:pPr>
        <w:tabs>
          <w:tab w:val="left" w:pos="3119"/>
        </w:tabs>
        <w:spacing w:after="120"/>
        <w:ind w:left="3119" w:hanging="567"/>
        <w:rPr>
          <w:rFonts w:eastAsia="Calibri"/>
          <w:sz w:val="20"/>
        </w:rPr>
      </w:pPr>
      <w:r w:rsidRPr="00D201E8">
        <w:rPr>
          <w:rFonts w:eastAsia="Calibri"/>
          <w:sz w:val="20"/>
        </w:rPr>
        <w:t>(ii)</w:t>
      </w:r>
      <w:r>
        <w:rPr>
          <w:rFonts w:eastAsia="Calibri"/>
          <w:sz w:val="20"/>
        </w:rPr>
        <w:tab/>
      </w:r>
      <w:r w:rsidRPr="00D201E8">
        <w:rPr>
          <w:rFonts w:eastAsia="Calibri"/>
          <w:sz w:val="20"/>
        </w:rPr>
        <w:t>Incentives to recognize environmental stewardship in the private sector and foster the development of voluntary certification programmes, consistent with the Basel Convention and other applicable international rules, relevant decisions of its Conference of the Parties, technical guidelines, relevant national implementing legislation,</w:t>
      </w:r>
      <w:r>
        <w:rPr>
          <w:rFonts w:eastAsia="Calibri"/>
          <w:sz w:val="20"/>
        </w:rPr>
        <w:t xml:space="preserve"> regulations and other measures.</w:t>
      </w:r>
    </w:p>
    <w:p w:rsidR="00A140D6" w:rsidRDefault="00A140D6" w:rsidP="00A140D6">
      <w:pPr>
        <w:tabs>
          <w:tab w:val="left" w:pos="2552"/>
        </w:tabs>
        <w:spacing w:after="120"/>
        <w:ind w:left="1440" w:firstLine="545"/>
        <w:rPr>
          <w:sz w:val="20"/>
        </w:rPr>
      </w:pPr>
      <w:r>
        <w:rPr>
          <w:sz w:val="20"/>
        </w:rPr>
        <w:t>(e)</w:t>
      </w:r>
      <w:r>
        <w:rPr>
          <w:sz w:val="20"/>
        </w:rPr>
        <w:tab/>
      </w:r>
      <w:r w:rsidRPr="002C7CD2">
        <w:rPr>
          <w:sz w:val="20"/>
        </w:rPr>
        <w:t>Indicators for the verification of performance</w:t>
      </w:r>
    </w:p>
    <w:p w:rsidR="00A140D6" w:rsidRDefault="00A140D6" w:rsidP="00A140D6">
      <w:pPr>
        <w:spacing w:after="120"/>
        <w:ind w:left="2552"/>
        <w:rPr>
          <w:rFonts w:eastAsia="Calibri"/>
          <w:sz w:val="20"/>
        </w:rPr>
      </w:pPr>
      <w:r w:rsidRPr="00CB376C">
        <w:rPr>
          <w:rFonts w:eastAsia="Calibri"/>
          <w:sz w:val="20"/>
        </w:rPr>
        <w:t>Indicators</w:t>
      </w:r>
      <w:r w:rsidRPr="00484DB8">
        <w:rPr>
          <w:rFonts w:eastAsia="Calibri"/>
          <w:sz w:val="20"/>
        </w:rPr>
        <w:t xml:space="preserve"> to measure progress </w:t>
      </w:r>
      <w:r>
        <w:rPr>
          <w:rFonts w:eastAsia="Calibri"/>
          <w:sz w:val="20"/>
        </w:rPr>
        <w:t>at Government level may include s</w:t>
      </w:r>
      <w:r w:rsidRPr="00D201E8">
        <w:rPr>
          <w:rFonts w:eastAsia="Calibri"/>
          <w:sz w:val="20"/>
        </w:rPr>
        <w:t xml:space="preserve">chemes at the national or regional level to foster continual improvement within the waste management sector, including measures to ensure facilities operate according to appropriate BAT and BEP, encourage information exchange, provide incentives and implement the relevant technical guidance and guidelines </w:t>
      </w:r>
      <w:r>
        <w:rPr>
          <w:rFonts w:eastAsia="Calibri"/>
          <w:sz w:val="20"/>
        </w:rPr>
        <w:t>adopted by the Basel Convention.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6"/>
      </w:tblGrid>
      <w:tr w:rsidR="00A140D6" w:rsidRPr="00522877" w:rsidTr="00A140D6">
        <w:tc>
          <w:tcPr>
            <w:tcW w:w="8186" w:type="dxa"/>
          </w:tcPr>
          <w:p w:rsidR="00F4530D" w:rsidRDefault="00A140D6" w:rsidP="00F4530D">
            <w:pPr>
              <w:spacing w:before="120" w:after="120"/>
              <w:jc w:val="center"/>
              <w:rPr>
                <w:rFonts w:eastAsia="Calibri" w:cs="Arial"/>
                <w:b/>
                <w:sz w:val="20"/>
              </w:rPr>
            </w:pPr>
            <w:r w:rsidRPr="00522877">
              <w:rPr>
                <w:rFonts w:eastAsia="Calibri" w:cs="Arial"/>
                <w:b/>
                <w:sz w:val="20"/>
              </w:rPr>
              <w:t xml:space="preserve">Incentives </w:t>
            </w:r>
          </w:p>
          <w:p w:rsidR="00A140D6" w:rsidRPr="00522877" w:rsidRDefault="00A140D6" w:rsidP="00F4530D">
            <w:pPr>
              <w:spacing w:before="120" w:after="120"/>
              <w:rPr>
                <w:rFonts w:eastAsia="Calibri" w:cs="Arial"/>
                <w:sz w:val="20"/>
              </w:rPr>
            </w:pPr>
            <w:r w:rsidRPr="00522877">
              <w:rPr>
                <w:rFonts w:eastAsia="Calibri" w:cs="Arial"/>
                <w:sz w:val="20"/>
              </w:rPr>
              <w:t>In many Asian developing countries, with the exception of China and India, the economic scale of operations is not so large that the volume of recyclable waste generated is enough to run a large plant. In addition, if enforcement of pollution controls is not strict enough, informal and small scale recyclers without pollution controls can collect recyclable waste at a higher price than formal recyclers. In such situations, formal recyclers may not be able to continue their operations and investors who want to comply with regulations may be hesitant to invest in recycling businesses. Therefore, it is better to provide incentives to reduce the costs incurred by sound recyclers. Examples of economic incentives that may be considered include direct subsidies and tax exemptions for pollution prevention investment and the reduction of import duties on pollution control equipment. Logistically, it is important for recyclers to collect enough volume</w:t>
            </w:r>
            <w:r w:rsidR="00677515">
              <w:rPr>
                <w:rFonts w:eastAsia="Calibri" w:cs="Arial"/>
                <w:sz w:val="20"/>
              </w:rPr>
              <w:t>s</w:t>
            </w:r>
            <w:r w:rsidRPr="00522877">
              <w:rPr>
                <w:rFonts w:eastAsia="Calibri" w:cs="Arial"/>
                <w:sz w:val="20"/>
              </w:rPr>
              <w:t xml:space="preserve"> of waste to operate a plant. To ensure that</w:t>
            </w:r>
            <w:r w:rsidR="00677515">
              <w:rPr>
                <w:rFonts w:eastAsia="Calibri" w:cs="Arial"/>
                <w:sz w:val="20"/>
              </w:rPr>
              <w:t xml:space="preserve"> a</w:t>
            </w:r>
            <w:r w:rsidRPr="00522877">
              <w:rPr>
                <w:rFonts w:eastAsia="Calibri" w:cs="Arial"/>
                <w:sz w:val="20"/>
              </w:rPr>
              <w:t xml:space="preserve"> sufficient volume is sent to sound recyclers, it should be required for waste generators to send their waste to formal recyclers. In addition, government sectors should send their waste to formal recyclers that are licensed and have pollution controls for the factory and downstream operations.</w:t>
            </w:r>
          </w:p>
        </w:tc>
      </w:tr>
    </w:tbl>
    <w:p w:rsidR="00A140D6" w:rsidRPr="00A140D6" w:rsidRDefault="00A140D6" w:rsidP="00A140D6">
      <w:pPr>
        <w:pStyle w:val="Heading2"/>
        <w:tabs>
          <w:tab w:val="right" w:pos="993"/>
          <w:tab w:val="left" w:pos="1418"/>
        </w:tabs>
        <w:rPr>
          <w:rFonts w:hAnsi="Times New Roman Bold"/>
        </w:rPr>
      </w:pPr>
      <w:r>
        <w:rPr>
          <w:rFonts w:hAnsi="Times New Roman Bold"/>
        </w:rPr>
        <w:tab/>
      </w:r>
      <w:bookmarkStart w:id="21" w:name="_Toc478467387"/>
      <w:r w:rsidR="00677515">
        <w:rPr>
          <w:rFonts w:hAnsi="Times New Roman Bold"/>
        </w:rPr>
        <w:t>A.</w:t>
      </w:r>
      <w:r w:rsidR="00677515">
        <w:rPr>
          <w:rFonts w:hAnsi="Times New Roman Bold"/>
        </w:rPr>
        <w:tab/>
      </w:r>
      <w:r w:rsidR="00677515">
        <w:rPr>
          <w:rFonts w:hAnsi="Times New Roman Bold"/>
        </w:rPr>
        <w:tab/>
        <w:t>License, permit or other authorisation to o</w:t>
      </w:r>
      <w:r w:rsidRPr="00A140D6">
        <w:rPr>
          <w:rFonts w:hAnsi="Times New Roman Bold"/>
        </w:rPr>
        <w:t>perate</w:t>
      </w:r>
      <w:bookmarkEnd w:id="21"/>
    </w:p>
    <w:p w:rsidR="00A140D6" w:rsidRPr="00D201E8" w:rsidRDefault="00A140D6" w:rsidP="009A372A">
      <w:pPr>
        <w:numPr>
          <w:ilvl w:val="0"/>
          <w:numId w:val="8"/>
        </w:numPr>
        <w:tabs>
          <w:tab w:val="left" w:pos="1985"/>
        </w:tabs>
        <w:spacing w:after="120"/>
        <w:ind w:left="1418" w:firstLine="0"/>
        <w:rPr>
          <w:sz w:val="20"/>
        </w:rPr>
      </w:pPr>
      <w:r w:rsidRPr="00D201E8">
        <w:rPr>
          <w:sz w:val="20"/>
        </w:rPr>
        <w:t>Fulfilling the req</w:t>
      </w:r>
      <w:r w:rsidR="00C87AF3">
        <w:rPr>
          <w:sz w:val="20"/>
        </w:rPr>
        <w:t>uirements in order to obtain a l</w:t>
      </w:r>
      <w:r w:rsidRPr="00D201E8">
        <w:rPr>
          <w:sz w:val="20"/>
        </w:rPr>
        <w:t>ice</w:t>
      </w:r>
      <w:r>
        <w:rPr>
          <w:sz w:val="20"/>
        </w:rPr>
        <w:t>ns</w:t>
      </w:r>
      <w:r w:rsidR="00C87AF3">
        <w:rPr>
          <w:sz w:val="20"/>
        </w:rPr>
        <w:t>e, or a permit or another means of authorisation to operate a waste management f</w:t>
      </w:r>
      <w:r w:rsidRPr="00D201E8">
        <w:rPr>
          <w:sz w:val="20"/>
        </w:rPr>
        <w:t xml:space="preserve">acility will entail investments in the facility and in its personnel. These investments will differ from country to country, and likely within a country </w:t>
      </w:r>
      <w:r>
        <w:rPr>
          <w:sz w:val="20"/>
        </w:rPr>
        <w:t xml:space="preserve">be </w:t>
      </w:r>
      <w:r w:rsidR="00C87AF3">
        <w:rPr>
          <w:sz w:val="20"/>
        </w:rPr>
        <w:t>dependent on the level of g</w:t>
      </w:r>
      <w:r w:rsidRPr="00D201E8">
        <w:rPr>
          <w:sz w:val="20"/>
        </w:rPr>
        <w:t>overnment that provides the authorisation.</w:t>
      </w:r>
    </w:p>
    <w:p w:rsidR="00A140D6" w:rsidRPr="00D201E8" w:rsidRDefault="00A140D6" w:rsidP="009A372A">
      <w:pPr>
        <w:numPr>
          <w:ilvl w:val="0"/>
          <w:numId w:val="8"/>
        </w:numPr>
        <w:tabs>
          <w:tab w:val="left" w:pos="1985"/>
        </w:tabs>
        <w:spacing w:after="120"/>
        <w:ind w:left="1418" w:firstLine="0"/>
        <w:rPr>
          <w:sz w:val="20"/>
        </w:rPr>
      </w:pPr>
      <w:r w:rsidRPr="00D201E8">
        <w:rPr>
          <w:sz w:val="20"/>
        </w:rPr>
        <w:t>Where legislation is prescriptive and in detail for example in Europe with the Waste Framework Directive, the Waste Shipment Regulation, the Incineration Directive, the Landfill Directive, the Industrial Emissions Directive and furthermore with prescriptive Priority Waste Stream Directives for Packaging &amp; Packaging Waste, Batteries and Accumulators, Waste Electrical &amp; Electronic Equipment, End-of-Life Vehicles etc., this legislation in combination with the respective authorisation to operate ensures ESM.</w:t>
      </w:r>
    </w:p>
    <w:p w:rsidR="00A140D6" w:rsidRDefault="00C87AF3" w:rsidP="009A372A">
      <w:pPr>
        <w:numPr>
          <w:ilvl w:val="0"/>
          <w:numId w:val="8"/>
        </w:numPr>
        <w:tabs>
          <w:tab w:val="left" w:pos="1985"/>
        </w:tabs>
        <w:spacing w:after="120"/>
        <w:ind w:left="1418" w:firstLine="0"/>
        <w:rPr>
          <w:sz w:val="20"/>
        </w:rPr>
      </w:pPr>
      <w:r>
        <w:rPr>
          <w:sz w:val="20"/>
        </w:rPr>
        <w:lastRenderedPageBreak/>
        <w:t>The necessity to obtain a l</w:t>
      </w:r>
      <w:r w:rsidR="00A140D6">
        <w:rPr>
          <w:sz w:val="20"/>
        </w:rPr>
        <w:t>icens</w:t>
      </w:r>
      <w:r>
        <w:rPr>
          <w:sz w:val="20"/>
        </w:rPr>
        <w:t>e, permit or other a</w:t>
      </w:r>
      <w:r w:rsidR="00A140D6" w:rsidRPr="00D201E8">
        <w:rPr>
          <w:sz w:val="20"/>
        </w:rPr>
        <w:t xml:space="preserve">uthorisation to operate is an incentive for ESM, although a ‘stick’ rather than a ‘carrot’. This approach works when government agencies and </w:t>
      </w:r>
      <w:r>
        <w:rPr>
          <w:sz w:val="20"/>
        </w:rPr>
        <w:t>m</w:t>
      </w:r>
      <w:r w:rsidR="00A140D6" w:rsidRPr="00D201E8">
        <w:rPr>
          <w:sz w:val="20"/>
        </w:rPr>
        <w:t>inistries ensure an adequate level of enforcement to prevent that illegal facilities operate in competition with the fully compliant ESM waste management sector.</w:t>
      </w:r>
    </w:p>
    <w:tbl>
      <w:tblPr>
        <w:tblW w:w="0" w:type="auto"/>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5"/>
      </w:tblGrid>
      <w:tr w:rsidR="00A140D6" w:rsidRPr="00522877" w:rsidTr="00A140D6">
        <w:tc>
          <w:tcPr>
            <w:tcW w:w="8185" w:type="dxa"/>
          </w:tcPr>
          <w:p w:rsidR="00A140D6" w:rsidRPr="00522877" w:rsidRDefault="00A140D6" w:rsidP="00A140D6">
            <w:pPr>
              <w:spacing w:before="120" w:after="120"/>
              <w:ind w:left="720"/>
              <w:jc w:val="center"/>
              <w:rPr>
                <w:rFonts w:eastAsia="Calibri" w:cs="Arial"/>
                <w:color w:val="000000"/>
                <w:sz w:val="20"/>
                <w:lang w:val="en-US" w:eastAsia="es-AR"/>
              </w:rPr>
            </w:pPr>
            <w:r w:rsidRPr="00522877">
              <w:rPr>
                <w:rFonts w:eastAsia="Calibri" w:cs="Arial"/>
                <w:b/>
                <w:bCs/>
                <w:color w:val="000000"/>
                <w:sz w:val="20"/>
                <w:lang w:val="en-US" w:eastAsia="es-AR"/>
              </w:rPr>
              <w:t>Permit and Regulatory Incentives</w:t>
            </w:r>
          </w:p>
          <w:p w:rsidR="00A140D6" w:rsidRPr="00522877" w:rsidRDefault="00A140D6" w:rsidP="00A140D6">
            <w:pPr>
              <w:spacing w:after="120"/>
              <w:rPr>
                <w:rFonts w:eastAsia="Calibri" w:cs="Arial"/>
                <w:color w:val="000000"/>
                <w:sz w:val="20"/>
                <w:lang w:val="en-US" w:eastAsia="es-AR"/>
              </w:rPr>
            </w:pPr>
            <w:r w:rsidRPr="00522877">
              <w:rPr>
                <w:rFonts w:eastAsia="Calibri" w:cs="Arial"/>
                <w:color w:val="000000"/>
                <w:sz w:val="20"/>
                <w:lang w:val="en-US" w:eastAsia="es-AR"/>
              </w:rPr>
              <w:t>Although technically not falling under the definition of market-based incentives, it is useful to discuss permit and other regulatory incentives. Permit incentives come in the form of expedited permitting, increased permit flexibility, multimedia permitting, and self-certification permit programs, among many different options. Also, experimental regulatory incentives in the form of "grace period" laws were being explored in the mid-1990s. Grace period laws are designed to more clearly focus limited public resources on serious violations. When a "minor" violation is discovered, the relevant environmental agency must provide the violator with a "notice to comply" or a "notice of violation". The notice identifies the violation and provides a time period in which the violator must come into compliance.</w:t>
            </w:r>
          </w:p>
          <w:p w:rsidR="00A140D6" w:rsidRPr="00522877" w:rsidRDefault="00A140D6" w:rsidP="00A140D6">
            <w:pPr>
              <w:spacing w:after="120"/>
              <w:rPr>
                <w:rFonts w:eastAsia="Calibri" w:cs="Arial"/>
                <w:color w:val="000000"/>
                <w:sz w:val="20"/>
                <w:lang w:val="en-US" w:eastAsia="es-AR"/>
              </w:rPr>
            </w:pPr>
            <w:r w:rsidRPr="00522877">
              <w:rPr>
                <w:rFonts w:eastAsia="Calibri" w:cs="Arial"/>
                <w:color w:val="000000"/>
                <w:sz w:val="20"/>
                <w:lang w:val="en-US" w:eastAsia="es-AR"/>
              </w:rPr>
              <w:t>Yet another form of regulatory incentive is the environmental "amnesty" law. These laws are designed to encourage businesses to request technical assistance, and/or to voluntarily engage in pollution prevention activities. Regulatory agencies will ignore a committed offense if the violator requests technical assistance or participates in an officially sponsored voluntary pollution prevention program. Amnesty laws are targeted toward small businesses, which may not have adequate resources or expertise to conduct an environmental self-audit. By not levying fines during these "amnesty" periods, businesses attain a very real financial benefit.</w:t>
            </w:r>
          </w:p>
          <w:p w:rsidR="00A140D6" w:rsidRPr="00522877" w:rsidRDefault="00A140D6" w:rsidP="00A140D6">
            <w:pPr>
              <w:spacing w:after="120"/>
              <w:rPr>
                <w:rFonts w:eastAsia="Calibri" w:cs="Arial"/>
                <w:sz w:val="20"/>
              </w:rPr>
            </w:pPr>
            <w:r w:rsidRPr="00522877">
              <w:rPr>
                <w:rFonts w:eastAsia="Calibri" w:cs="Arial"/>
                <w:color w:val="000000"/>
                <w:sz w:val="20"/>
                <w:lang w:val="en-US" w:eastAsia="es-AR"/>
              </w:rPr>
              <w:t>An example of a permit incentive program is the Florida’s Department of Environmental Protection "team permitting" approach in the USA. Applicants who need to receive permits from multiple agencies can agree to have team permits known as "ecosystem management agreements". In exchange, applicants must have exemplary compliance records and must demonstrate that this approach will result in a "net ecosystem benefit" to the affected ecosystem and a reduction in overall risks to human health and the environment. This program has resulted in increased permit flexibility, expedited permit processing, alternative monitoring and reporting requirements, cooperative inspections and hundreds of thousands of dollars in savings for private sector participants.</w:t>
            </w:r>
          </w:p>
        </w:tc>
      </w:tr>
    </w:tbl>
    <w:p w:rsidR="00A140D6" w:rsidRPr="00A140D6" w:rsidRDefault="00A140D6" w:rsidP="00A140D6">
      <w:pPr>
        <w:pStyle w:val="Heading2"/>
        <w:tabs>
          <w:tab w:val="right" w:pos="993"/>
          <w:tab w:val="left" w:pos="1418"/>
        </w:tabs>
        <w:rPr>
          <w:rFonts w:hAnsi="Times New Roman Bold"/>
        </w:rPr>
      </w:pPr>
      <w:r>
        <w:rPr>
          <w:rFonts w:hAnsi="Times New Roman Bold"/>
        </w:rPr>
        <w:tab/>
      </w:r>
      <w:bookmarkStart w:id="22" w:name="_Toc478467388"/>
      <w:r w:rsidRPr="00A140D6">
        <w:rPr>
          <w:rFonts w:hAnsi="Times New Roman Bold"/>
        </w:rPr>
        <w:t>B.</w:t>
      </w:r>
      <w:r w:rsidRPr="00A140D6">
        <w:rPr>
          <w:rFonts w:hAnsi="Times New Roman Bold"/>
        </w:rPr>
        <w:tab/>
      </w:r>
      <w:r w:rsidRPr="00A140D6">
        <w:rPr>
          <w:rFonts w:hAnsi="Times New Roman Bold"/>
        </w:rPr>
        <w:tab/>
        <w:t>Direct financial support</w:t>
      </w:r>
      <w:bookmarkEnd w:id="22"/>
    </w:p>
    <w:p w:rsidR="00A140D6" w:rsidRPr="00C87AF3" w:rsidRDefault="00A140D6" w:rsidP="00C87AF3">
      <w:pPr>
        <w:numPr>
          <w:ilvl w:val="0"/>
          <w:numId w:val="8"/>
        </w:numPr>
        <w:tabs>
          <w:tab w:val="left" w:pos="1985"/>
        </w:tabs>
        <w:spacing w:after="120"/>
        <w:ind w:left="1418" w:firstLine="0"/>
        <w:rPr>
          <w:sz w:val="20"/>
        </w:rPr>
      </w:pPr>
      <w:r w:rsidRPr="00D201E8">
        <w:rPr>
          <w:sz w:val="20"/>
        </w:rPr>
        <w:t>Certai</w:t>
      </w:r>
      <w:r w:rsidR="00C87AF3">
        <w:rPr>
          <w:sz w:val="20"/>
        </w:rPr>
        <w:t>n levels of g</w:t>
      </w:r>
      <w:r w:rsidRPr="00D201E8">
        <w:rPr>
          <w:sz w:val="20"/>
        </w:rPr>
        <w:t>ov</w:t>
      </w:r>
      <w:r w:rsidR="00C87AF3">
        <w:rPr>
          <w:sz w:val="20"/>
        </w:rPr>
        <w:t>ernment may provide grants for waste management c</w:t>
      </w:r>
      <w:r w:rsidRPr="00D201E8">
        <w:rPr>
          <w:sz w:val="20"/>
        </w:rPr>
        <w:t>ompanies to introduce EMSs, for example by</w:t>
      </w:r>
      <w:r w:rsidR="00C87AF3">
        <w:rPr>
          <w:sz w:val="20"/>
        </w:rPr>
        <w:t xml:space="preserve"> p</w:t>
      </w:r>
      <w:r w:rsidRPr="00C87AF3">
        <w:rPr>
          <w:sz w:val="20"/>
        </w:rPr>
        <w:t>roviding financial support (facilities having an EMS may be wholly or partly exempted from registration/permit fees, or have part of their EMS implementation costs reimbursed, etc.).</w:t>
      </w:r>
    </w:p>
    <w:tbl>
      <w:tblPr>
        <w:tblW w:w="0" w:type="auto"/>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5"/>
      </w:tblGrid>
      <w:tr w:rsidR="00A140D6" w:rsidRPr="00522877" w:rsidTr="00A140D6">
        <w:trPr>
          <w:trHeight w:val="2714"/>
        </w:trPr>
        <w:tc>
          <w:tcPr>
            <w:tcW w:w="8185" w:type="dxa"/>
          </w:tcPr>
          <w:p w:rsidR="00A140D6" w:rsidRPr="00522877" w:rsidRDefault="00A140D6" w:rsidP="00A140D6">
            <w:pPr>
              <w:spacing w:before="120" w:after="120"/>
              <w:jc w:val="center"/>
              <w:rPr>
                <w:rFonts w:eastAsia="Calibri" w:cs="Arial"/>
                <w:color w:val="000000"/>
                <w:sz w:val="20"/>
                <w:lang w:val="en-US" w:eastAsia="es-AR"/>
              </w:rPr>
            </w:pPr>
            <w:r w:rsidRPr="00522877">
              <w:rPr>
                <w:rFonts w:eastAsia="Calibri" w:cs="Arial"/>
                <w:b/>
                <w:bCs/>
                <w:color w:val="000000"/>
                <w:sz w:val="20"/>
                <w:lang w:val="en-US" w:eastAsia="es-AR"/>
              </w:rPr>
              <w:t>Subsidies</w:t>
            </w:r>
          </w:p>
          <w:p w:rsidR="00A140D6" w:rsidRPr="00522877" w:rsidRDefault="00A140D6" w:rsidP="00A140D6">
            <w:pPr>
              <w:spacing w:after="120"/>
              <w:rPr>
                <w:rFonts w:eastAsia="Calibri" w:cs="Arial"/>
                <w:sz w:val="20"/>
                <w:lang w:val="en-US"/>
              </w:rPr>
            </w:pPr>
            <w:r w:rsidRPr="00522877">
              <w:rPr>
                <w:rFonts w:eastAsia="Calibri" w:cs="Arial"/>
                <w:color w:val="000000"/>
                <w:sz w:val="20"/>
                <w:lang w:val="en-US" w:eastAsia="es-AR"/>
              </w:rPr>
              <w:t>Subsidies are a commonly used tool in environmental management. Some examples used at all levels of government are grants, low-interest loans, favorable tax treatment, and environmentally preferable procurement policies. Subsidies are used to promote pollution prevention, the clean</w:t>
            </w:r>
            <w:r w:rsidR="00C87AF3">
              <w:rPr>
                <w:rFonts w:eastAsia="Calibri" w:cs="Arial"/>
                <w:color w:val="000000"/>
                <w:sz w:val="20"/>
                <w:lang w:val="en-US" w:eastAsia="es-AR"/>
              </w:rPr>
              <w:t>-</w:t>
            </w:r>
            <w:r w:rsidRPr="00522877">
              <w:rPr>
                <w:rFonts w:eastAsia="Calibri" w:cs="Arial"/>
                <w:color w:val="000000"/>
                <w:sz w:val="20"/>
                <w:lang w:val="en-US" w:eastAsia="es-AR"/>
              </w:rPr>
              <w:t>up of contaminated industrial sites, farming and land preservation, sustainable/green energy, environmentally friendly fuels and vehicles, and municipal wastewater treatment. These subsidies are sometimes criticized because the government is helping to bear the costs that should be the responsibility of the polluter. Some examples of subsidies include tax benefits for the purchase of a hybrid vehicle and the $500 voucher incentive for hazardous waste management offered by King County Local Hazardous Waste in Seattle, USA</w:t>
            </w:r>
            <w:r w:rsidR="00C87AF3">
              <w:rPr>
                <w:rStyle w:val="FootnoteReference"/>
                <w:rFonts w:eastAsia="Calibri" w:cs="Arial"/>
                <w:lang w:val="en-US" w:eastAsia="es-AR"/>
              </w:rPr>
              <w:footnoteReference w:id="14"/>
            </w:r>
            <w:r w:rsidRPr="00522877">
              <w:rPr>
                <w:rFonts w:eastAsia="Calibri" w:cs="Arial"/>
                <w:color w:val="000000"/>
                <w:sz w:val="20"/>
                <w:lang w:val="en-US" w:eastAsia="es-AR"/>
              </w:rPr>
              <w:t>.</w:t>
            </w:r>
          </w:p>
        </w:tc>
      </w:tr>
    </w:tbl>
    <w:p w:rsidR="00A140D6" w:rsidRPr="00A140D6" w:rsidRDefault="00A140D6" w:rsidP="00A140D6">
      <w:pPr>
        <w:pStyle w:val="Heading2"/>
        <w:tabs>
          <w:tab w:val="right" w:pos="993"/>
          <w:tab w:val="left" w:pos="1418"/>
        </w:tabs>
        <w:rPr>
          <w:rFonts w:hAnsi="Times New Roman Bold"/>
        </w:rPr>
      </w:pPr>
      <w:bookmarkStart w:id="23" w:name="_Toc404873651"/>
      <w:bookmarkStart w:id="24" w:name="_Toc478467389"/>
      <w:r w:rsidRPr="00A140D6">
        <w:rPr>
          <w:rFonts w:hAnsi="Times New Roman Bold"/>
        </w:rPr>
        <w:t>C.</w:t>
      </w:r>
      <w:r w:rsidRPr="00A140D6">
        <w:rPr>
          <w:rFonts w:hAnsi="Times New Roman Bold"/>
        </w:rPr>
        <w:tab/>
      </w:r>
      <w:r w:rsidRPr="00A140D6">
        <w:rPr>
          <w:rFonts w:hAnsi="Times New Roman Bold"/>
        </w:rPr>
        <w:tab/>
        <w:t>Indirect financial effects</w:t>
      </w:r>
      <w:bookmarkEnd w:id="24"/>
    </w:p>
    <w:bookmarkEnd w:id="23"/>
    <w:p w:rsidR="00A140D6" w:rsidRPr="00D201E8" w:rsidRDefault="00A140D6" w:rsidP="009A372A">
      <w:pPr>
        <w:numPr>
          <w:ilvl w:val="0"/>
          <w:numId w:val="8"/>
        </w:numPr>
        <w:tabs>
          <w:tab w:val="left" w:pos="1985"/>
        </w:tabs>
        <w:spacing w:after="120"/>
        <w:ind w:left="1418" w:firstLine="0"/>
        <w:rPr>
          <w:sz w:val="20"/>
        </w:rPr>
      </w:pPr>
      <w:r w:rsidRPr="00D201E8">
        <w:rPr>
          <w:sz w:val="20"/>
        </w:rPr>
        <w:t xml:space="preserve">There are a range of incentives that governments that have a comprehensive regulatory infrastructure in place can use to encourage facilities to introduce </w:t>
      </w:r>
      <w:r w:rsidR="00C87AF3">
        <w:rPr>
          <w:sz w:val="20"/>
        </w:rPr>
        <w:t>EMS</w:t>
      </w:r>
      <w:r w:rsidRPr="00D201E8">
        <w:rPr>
          <w:sz w:val="20"/>
        </w:rPr>
        <w:t>s. Those that have an indirect financial effect include:</w:t>
      </w:r>
    </w:p>
    <w:p w:rsidR="00A140D6" w:rsidRPr="00D201E8" w:rsidRDefault="00A140D6" w:rsidP="00A140D6">
      <w:pPr>
        <w:tabs>
          <w:tab w:val="left" w:pos="2552"/>
        </w:tabs>
        <w:spacing w:after="120"/>
        <w:ind w:left="1440" w:firstLine="545"/>
        <w:rPr>
          <w:sz w:val="20"/>
        </w:rPr>
      </w:pPr>
      <w:r>
        <w:rPr>
          <w:sz w:val="20"/>
        </w:rPr>
        <w:lastRenderedPageBreak/>
        <w:t>(a)</w:t>
      </w:r>
      <w:r>
        <w:rPr>
          <w:sz w:val="20"/>
        </w:rPr>
        <w:tab/>
        <w:t>R</w:t>
      </w:r>
      <w:r w:rsidRPr="00D201E8">
        <w:rPr>
          <w:sz w:val="20"/>
        </w:rPr>
        <w:t>educing the frequency of regulatory inspections or of monitoring requirements and facilitating emission controls which can be performed by the staff itself;</w:t>
      </w:r>
    </w:p>
    <w:p w:rsidR="00A140D6" w:rsidRPr="00D201E8" w:rsidRDefault="00A140D6" w:rsidP="00A140D6">
      <w:pPr>
        <w:tabs>
          <w:tab w:val="left" w:pos="2552"/>
        </w:tabs>
        <w:spacing w:after="120"/>
        <w:ind w:left="1440" w:firstLine="545"/>
        <w:rPr>
          <w:sz w:val="20"/>
        </w:rPr>
      </w:pPr>
      <w:r>
        <w:rPr>
          <w:sz w:val="20"/>
        </w:rPr>
        <w:t>(b)</w:t>
      </w:r>
      <w:r>
        <w:rPr>
          <w:sz w:val="20"/>
        </w:rPr>
        <w:tab/>
        <w:t>R</w:t>
      </w:r>
      <w:r w:rsidRPr="00D201E8">
        <w:rPr>
          <w:sz w:val="20"/>
        </w:rPr>
        <w:t xml:space="preserve">educing reporting requirements that are duplicating those of </w:t>
      </w:r>
      <w:r w:rsidR="00C87AF3">
        <w:rPr>
          <w:sz w:val="20"/>
        </w:rPr>
        <w:t>EMS</w:t>
      </w:r>
      <w:r w:rsidRPr="00D201E8">
        <w:rPr>
          <w:sz w:val="20"/>
        </w:rPr>
        <w:t>s in place;</w:t>
      </w:r>
    </w:p>
    <w:p w:rsidR="00A140D6" w:rsidRPr="00D201E8" w:rsidRDefault="00A140D6" w:rsidP="00A140D6">
      <w:pPr>
        <w:tabs>
          <w:tab w:val="left" w:pos="2552"/>
        </w:tabs>
        <w:spacing w:after="120"/>
        <w:ind w:left="1440" w:firstLine="545"/>
        <w:rPr>
          <w:sz w:val="20"/>
        </w:rPr>
      </w:pPr>
      <w:r>
        <w:rPr>
          <w:sz w:val="20"/>
        </w:rPr>
        <w:t>(c)</w:t>
      </w:r>
      <w:r>
        <w:rPr>
          <w:sz w:val="20"/>
        </w:rPr>
        <w:tab/>
        <w:t>E</w:t>
      </w:r>
      <w:r w:rsidRPr="00D201E8">
        <w:rPr>
          <w:sz w:val="20"/>
        </w:rPr>
        <w:t>xpediting and consolidating environmental permits/licences and auditing and certifying facilities;</w:t>
      </w:r>
    </w:p>
    <w:p w:rsidR="00A140D6" w:rsidRPr="00D201E8" w:rsidRDefault="00A140D6" w:rsidP="00A140D6">
      <w:pPr>
        <w:tabs>
          <w:tab w:val="left" w:pos="2552"/>
        </w:tabs>
        <w:spacing w:after="120"/>
        <w:ind w:left="1440" w:firstLine="545"/>
        <w:rPr>
          <w:sz w:val="20"/>
        </w:rPr>
      </w:pPr>
      <w:r>
        <w:rPr>
          <w:sz w:val="20"/>
        </w:rPr>
        <w:t>(d)</w:t>
      </w:r>
      <w:r>
        <w:rPr>
          <w:sz w:val="20"/>
        </w:rPr>
        <w:tab/>
        <w:t>W</w:t>
      </w:r>
      <w:r w:rsidRPr="00D201E8">
        <w:rPr>
          <w:sz w:val="20"/>
        </w:rPr>
        <w:t xml:space="preserve">aiving certain environmental regulations that are duplicating the provisions of </w:t>
      </w:r>
      <w:r w:rsidR="00C87AF3">
        <w:rPr>
          <w:sz w:val="20"/>
        </w:rPr>
        <w:t>EMSs</w:t>
      </w:r>
      <w:r w:rsidRPr="00D201E8">
        <w:rPr>
          <w:sz w:val="20"/>
        </w:rPr>
        <w:t>: for example, in certain European countries where environmental reporting is mandatory through national law, EMAS-registered facilities are exempted from environmental reporting under national law;</w:t>
      </w:r>
    </w:p>
    <w:p w:rsidR="00A140D6" w:rsidRPr="00D201E8" w:rsidRDefault="00A140D6" w:rsidP="00A140D6">
      <w:pPr>
        <w:tabs>
          <w:tab w:val="left" w:pos="2552"/>
        </w:tabs>
        <w:spacing w:after="120"/>
        <w:ind w:left="1440" w:firstLine="545"/>
        <w:rPr>
          <w:sz w:val="20"/>
        </w:rPr>
      </w:pPr>
      <w:r>
        <w:rPr>
          <w:sz w:val="20"/>
        </w:rPr>
        <w:t>(e)</w:t>
      </w:r>
      <w:r>
        <w:rPr>
          <w:sz w:val="20"/>
        </w:rPr>
        <w:tab/>
        <w:t>P</w:t>
      </w:r>
      <w:r w:rsidRPr="00D201E8">
        <w:rPr>
          <w:sz w:val="20"/>
        </w:rPr>
        <w:t>roviding technical assistance and information;</w:t>
      </w:r>
    </w:p>
    <w:p w:rsidR="00A140D6" w:rsidRPr="00D201E8" w:rsidRDefault="00A140D6" w:rsidP="00A140D6">
      <w:pPr>
        <w:tabs>
          <w:tab w:val="left" w:pos="2552"/>
        </w:tabs>
        <w:spacing w:after="120"/>
        <w:ind w:left="1440" w:firstLine="545"/>
        <w:rPr>
          <w:sz w:val="20"/>
        </w:rPr>
      </w:pPr>
      <w:r>
        <w:rPr>
          <w:sz w:val="20"/>
        </w:rPr>
        <w:t>(f)</w:t>
      </w:r>
      <w:r>
        <w:rPr>
          <w:sz w:val="20"/>
        </w:rPr>
        <w:tab/>
        <w:t>P</w:t>
      </w:r>
      <w:r w:rsidRPr="00D201E8">
        <w:rPr>
          <w:sz w:val="20"/>
        </w:rPr>
        <w:t>roviding preference for recyclables t</w:t>
      </w:r>
      <w:r>
        <w:rPr>
          <w:sz w:val="20"/>
        </w:rPr>
        <w:t>hrough public procurement.</w:t>
      </w:r>
    </w:p>
    <w:p w:rsidR="00A140D6" w:rsidRPr="00D201E8" w:rsidRDefault="00A140D6" w:rsidP="009A372A">
      <w:pPr>
        <w:numPr>
          <w:ilvl w:val="0"/>
          <w:numId w:val="8"/>
        </w:numPr>
        <w:tabs>
          <w:tab w:val="left" w:pos="1985"/>
        </w:tabs>
        <w:spacing w:after="120"/>
        <w:ind w:left="1418" w:firstLine="0"/>
        <w:rPr>
          <w:sz w:val="20"/>
        </w:rPr>
      </w:pPr>
      <w:r w:rsidRPr="00D201E8">
        <w:rPr>
          <w:sz w:val="20"/>
        </w:rPr>
        <w:t>Governments may use any form of incentive they choose. However, caution is recommended, in order to avoid introducing measures which could have a counter-productive effect, e.g., relief measures, such as the exemption from being subject to a regulation where the activities of many such exempt SMEs could undermine the ESM of certain waste streams.</w:t>
      </w:r>
    </w:p>
    <w:p w:rsidR="00A140D6" w:rsidRPr="00D201E8" w:rsidRDefault="00A140D6" w:rsidP="009A372A">
      <w:pPr>
        <w:numPr>
          <w:ilvl w:val="0"/>
          <w:numId w:val="8"/>
        </w:numPr>
        <w:tabs>
          <w:tab w:val="left" w:pos="1985"/>
        </w:tabs>
        <w:spacing w:after="120"/>
        <w:ind w:left="1418" w:firstLine="0"/>
        <w:rPr>
          <w:sz w:val="20"/>
        </w:rPr>
      </w:pPr>
      <w:r w:rsidRPr="00D201E8">
        <w:rPr>
          <w:sz w:val="20"/>
        </w:rPr>
        <w:t xml:space="preserve">Governments may seek to encourage SMEs to implement an </w:t>
      </w:r>
      <w:r w:rsidR="00C87AF3">
        <w:rPr>
          <w:sz w:val="20"/>
        </w:rPr>
        <w:t>EMS</w:t>
      </w:r>
      <w:r w:rsidRPr="00D201E8">
        <w:rPr>
          <w:sz w:val="20"/>
        </w:rPr>
        <w:t xml:space="preserve"> through various incentives or relief measures. Additional examples of incentives include:</w:t>
      </w:r>
    </w:p>
    <w:p w:rsidR="00A140D6" w:rsidRPr="00D201E8" w:rsidRDefault="00A140D6" w:rsidP="00A140D6">
      <w:pPr>
        <w:tabs>
          <w:tab w:val="left" w:pos="2552"/>
        </w:tabs>
        <w:spacing w:after="120"/>
        <w:ind w:left="1440" w:firstLine="545"/>
        <w:rPr>
          <w:sz w:val="20"/>
        </w:rPr>
      </w:pPr>
      <w:r>
        <w:rPr>
          <w:sz w:val="20"/>
        </w:rPr>
        <w:t>(a)</w:t>
      </w:r>
      <w:r>
        <w:rPr>
          <w:sz w:val="20"/>
        </w:rPr>
        <w:tab/>
        <w:t>T</w:t>
      </w:r>
      <w:r w:rsidRPr="00D201E8">
        <w:rPr>
          <w:sz w:val="20"/>
        </w:rPr>
        <w:t>he development of EMSs, specifically designed for SMEs. For example, the Eco-Action 21 in Japan</w:t>
      </w:r>
      <w:r w:rsidR="00BF0FB5">
        <w:rPr>
          <w:rStyle w:val="FootnoteReference"/>
        </w:rPr>
        <w:footnoteReference w:id="15"/>
      </w:r>
      <w:r w:rsidRPr="00D201E8">
        <w:rPr>
          <w:sz w:val="20"/>
        </w:rPr>
        <w:t xml:space="preserve"> includes its own auditing and certification procedures;</w:t>
      </w:r>
    </w:p>
    <w:p w:rsidR="00A140D6" w:rsidRPr="00D201E8" w:rsidRDefault="00A140D6" w:rsidP="00A140D6">
      <w:pPr>
        <w:tabs>
          <w:tab w:val="left" w:pos="2552"/>
        </w:tabs>
        <w:spacing w:after="120"/>
        <w:ind w:left="1440" w:firstLine="545"/>
        <w:rPr>
          <w:sz w:val="20"/>
        </w:rPr>
      </w:pPr>
      <w:r>
        <w:rPr>
          <w:sz w:val="20"/>
        </w:rPr>
        <w:t>(b)</w:t>
      </w:r>
      <w:r>
        <w:rPr>
          <w:sz w:val="20"/>
        </w:rPr>
        <w:tab/>
        <w:t>R</w:t>
      </w:r>
      <w:r w:rsidRPr="00D201E8">
        <w:rPr>
          <w:sz w:val="20"/>
        </w:rPr>
        <w:t>elaxing verification and reporting procedures, by spacing out the due dates of inspections and reporting less frequently (for example, every three years instead of every year);</w:t>
      </w:r>
    </w:p>
    <w:p w:rsidR="00A140D6" w:rsidRPr="00D201E8" w:rsidRDefault="00A140D6" w:rsidP="00A140D6">
      <w:pPr>
        <w:tabs>
          <w:tab w:val="left" w:pos="2552"/>
        </w:tabs>
        <w:spacing w:after="120"/>
        <w:ind w:left="1440" w:firstLine="545"/>
        <w:rPr>
          <w:sz w:val="20"/>
        </w:rPr>
      </w:pPr>
      <w:r>
        <w:rPr>
          <w:sz w:val="20"/>
        </w:rPr>
        <w:t>(c)</w:t>
      </w:r>
      <w:r>
        <w:rPr>
          <w:sz w:val="20"/>
        </w:rPr>
        <w:tab/>
        <w:t>E</w:t>
      </w:r>
      <w:r w:rsidRPr="00D201E8">
        <w:rPr>
          <w:sz w:val="20"/>
        </w:rPr>
        <w:t>xemption from certain national regulations which may duplicate the EMS’s provisions;</w:t>
      </w:r>
    </w:p>
    <w:p w:rsidR="00A140D6" w:rsidRPr="00D201E8" w:rsidRDefault="00A140D6" w:rsidP="00A140D6">
      <w:pPr>
        <w:tabs>
          <w:tab w:val="left" w:pos="2552"/>
        </w:tabs>
        <w:spacing w:after="120"/>
        <w:ind w:left="1440" w:firstLine="545"/>
        <w:rPr>
          <w:sz w:val="20"/>
        </w:rPr>
      </w:pPr>
      <w:r>
        <w:rPr>
          <w:sz w:val="20"/>
        </w:rPr>
        <w:t>(d)</w:t>
      </w:r>
      <w:r>
        <w:rPr>
          <w:sz w:val="20"/>
        </w:rPr>
        <w:tab/>
        <w:t>F</w:t>
      </w:r>
      <w:r w:rsidRPr="00D201E8">
        <w:rPr>
          <w:sz w:val="20"/>
        </w:rPr>
        <w:t>ree provision of information, advice and expertise concerning EMSs and their benefits, related environmental regulations and subsidisation programmes;</w:t>
      </w:r>
    </w:p>
    <w:p w:rsidR="00A140D6" w:rsidRPr="00D201E8" w:rsidRDefault="00A140D6" w:rsidP="00A140D6">
      <w:pPr>
        <w:tabs>
          <w:tab w:val="left" w:pos="2552"/>
        </w:tabs>
        <w:spacing w:after="120"/>
        <w:ind w:left="1440" w:firstLine="545"/>
        <w:rPr>
          <w:sz w:val="20"/>
        </w:rPr>
      </w:pPr>
      <w:r>
        <w:rPr>
          <w:sz w:val="20"/>
        </w:rPr>
        <w:t>(e)</w:t>
      </w:r>
      <w:r>
        <w:rPr>
          <w:sz w:val="20"/>
        </w:rPr>
        <w:tab/>
        <w:t>P</w:t>
      </w:r>
      <w:r w:rsidRPr="00D201E8">
        <w:rPr>
          <w:sz w:val="20"/>
        </w:rPr>
        <w:t>ublic recognition and advertising of such facilities through the publication of their environmental performance or special registers;</w:t>
      </w:r>
    </w:p>
    <w:p w:rsidR="00A140D6" w:rsidRPr="00D201E8" w:rsidRDefault="00A140D6" w:rsidP="00A140D6">
      <w:pPr>
        <w:tabs>
          <w:tab w:val="left" w:pos="2552"/>
        </w:tabs>
        <w:spacing w:after="120"/>
        <w:ind w:left="1440" w:firstLine="545"/>
        <w:rPr>
          <w:sz w:val="20"/>
        </w:rPr>
      </w:pPr>
      <w:r>
        <w:rPr>
          <w:sz w:val="20"/>
        </w:rPr>
        <w:t>(f)</w:t>
      </w:r>
      <w:r>
        <w:rPr>
          <w:sz w:val="20"/>
        </w:rPr>
        <w:tab/>
        <w:t>F</w:t>
      </w:r>
      <w:r w:rsidRPr="00D201E8">
        <w:rPr>
          <w:sz w:val="20"/>
        </w:rPr>
        <w:t>inancial incentives, such as assistance for investments, financial support for workers’ training on environmental matters, reimbursement of part of the auditing and certification costs (sometimes up to 75 % of the external consultant costs), and reduction of inspection fees and p</w:t>
      </w:r>
      <w:r>
        <w:rPr>
          <w:sz w:val="20"/>
        </w:rPr>
        <w:t>reference in public procurement.</w:t>
      </w:r>
    </w:p>
    <w:p w:rsidR="00A140D6" w:rsidRPr="00A140D6" w:rsidRDefault="00A140D6" w:rsidP="00A140D6">
      <w:pPr>
        <w:pStyle w:val="Heading2"/>
        <w:tabs>
          <w:tab w:val="right" w:pos="993"/>
          <w:tab w:val="left" w:pos="1418"/>
        </w:tabs>
        <w:rPr>
          <w:rFonts w:hAnsi="Times New Roman Bold"/>
        </w:rPr>
      </w:pPr>
      <w:r>
        <w:rPr>
          <w:rFonts w:hAnsi="Times New Roman Bold"/>
        </w:rPr>
        <w:tab/>
      </w:r>
      <w:bookmarkStart w:id="25" w:name="_Toc478467390"/>
      <w:r w:rsidRPr="00A140D6">
        <w:rPr>
          <w:rFonts w:hAnsi="Times New Roman Bold"/>
        </w:rPr>
        <w:t>D.</w:t>
      </w:r>
      <w:r w:rsidRPr="00A140D6">
        <w:rPr>
          <w:rFonts w:hAnsi="Times New Roman Bold"/>
        </w:rPr>
        <w:tab/>
      </w:r>
      <w:r w:rsidRPr="00A140D6">
        <w:rPr>
          <w:rFonts w:hAnsi="Times New Roman Bold"/>
        </w:rPr>
        <w:tab/>
        <w:t>Economic instruments</w:t>
      </w:r>
      <w:bookmarkEnd w:id="25"/>
    </w:p>
    <w:p w:rsidR="00A140D6" w:rsidRPr="00D201E8" w:rsidRDefault="00A140D6" w:rsidP="009A372A">
      <w:pPr>
        <w:numPr>
          <w:ilvl w:val="0"/>
          <w:numId w:val="8"/>
        </w:numPr>
        <w:tabs>
          <w:tab w:val="left" w:pos="1985"/>
        </w:tabs>
        <w:spacing w:after="120"/>
        <w:ind w:left="1418" w:firstLine="0"/>
        <w:rPr>
          <w:sz w:val="20"/>
        </w:rPr>
      </w:pPr>
      <w:r w:rsidRPr="00D201E8">
        <w:rPr>
          <w:sz w:val="20"/>
        </w:rPr>
        <w:t>Economic instruments encompass a range of policy tools from pollution taxes and marketable permits to deposit-refund systems and performance bonds. The common element of all economic instruments is that they operate on a decentralized level through their impact on market signals.</w:t>
      </w:r>
    </w:p>
    <w:p w:rsidR="00A140D6" w:rsidRPr="00D201E8" w:rsidRDefault="00A140D6" w:rsidP="009A372A">
      <w:pPr>
        <w:numPr>
          <w:ilvl w:val="0"/>
          <w:numId w:val="8"/>
        </w:numPr>
        <w:tabs>
          <w:tab w:val="left" w:pos="1985"/>
        </w:tabs>
        <w:spacing w:after="120"/>
        <w:ind w:left="1418" w:firstLine="0"/>
        <w:rPr>
          <w:sz w:val="20"/>
        </w:rPr>
      </w:pPr>
      <w:r w:rsidRPr="00D201E8">
        <w:rPr>
          <w:sz w:val="20"/>
        </w:rPr>
        <w:t>Economic activity to generate goods and services incurs costs not only to the private parties involved in production and consumption (known as “private costs”) but also to the public (known as “social costs”). Social costs include costs of pollution, depletion of natural resources or degradation of the environment. As these costs are often not included in prices paid by consumers and producers they are borne by society as a whole. The failure to consider these “external costs” in private decision-making may be corrected through the use of economic instruments, by including them in the prices of goods and services, so as to convey more accurate market signals. Economic instruments are therefore a means of implementing the “Polluter Pays Principle”.</w:t>
      </w:r>
    </w:p>
    <w:p w:rsidR="00A140D6" w:rsidRPr="00A140D6" w:rsidRDefault="00A140D6" w:rsidP="00A140D6">
      <w:pPr>
        <w:pStyle w:val="Heading3"/>
        <w:tabs>
          <w:tab w:val="clear" w:pos="1247"/>
          <w:tab w:val="right" w:pos="993"/>
          <w:tab w:val="left" w:pos="1418"/>
        </w:tabs>
        <w:spacing w:before="120" w:line="252" w:lineRule="auto"/>
        <w:ind w:left="0" w:firstLine="720"/>
        <w:jc w:val="both"/>
        <w:rPr>
          <w:bCs/>
          <w:sz w:val="20"/>
        </w:rPr>
      </w:pPr>
      <w:r w:rsidRPr="00A140D6">
        <w:rPr>
          <w:bCs/>
          <w:sz w:val="20"/>
        </w:rPr>
        <w:tab/>
      </w:r>
      <w:bookmarkStart w:id="26" w:name="_Toc478467391"/>
      <w:r w:rsidRPr="00A140D6">
        <w:rPr>
          <w:bCs/>
          <w:sz w:val="20"/>
        </w:rPr>
        <w:t xml:space="preserve">1. </w:t>
      </w:r>
      <w:r w:rsidRPr="00A140D6">
        <w:rPr>
          <w:bCs/>
          <w:sz w:val="20"/>
        </w:rPr>
        <w:tab/>
        <w:t>Charges for waste disposal and treatment</w:t>
      </w:r>
      <w:bookmarkEnd w:id="26"/>
    </w:p>
    <w:p w:rsidR="00A140D6" w:rsidRPr="00D201E8" w:rsidRDefault="00A140D6" w:rsidP="009A372A">
      <w:pPr>
        <w:numPr>
          <w:ilvl w:val="0"/>
          <w:numId w:val="8"/>
        </w:numPr>
        <w:tabs>
          <w:tab w:val="left" w:pos="1985"/>
        </w:tabs>
        <w:spacing w:after="120"/>
        <w:ind w:left="1418" w:firstLine="0"/>
        <w:rPr>
          <w:sz w:val="20"/>
        </w:rPr>
      </w:pPr>
      <w:r w:rsidRPr="00D201E8">
        <w:rPr>
          <w:sz w:val="20"/>
        </w:rPr>
        <w:t xml:space="preserve">Besides landfill operators fees to dispose of wastes in sanitary landfills, </w:t>
      </w:r>
      <w:r w:rsidR="00EE5C43">
        <w:rPr>
          <w:sz w:val="20"/>
        </w:rPr>
        <w:t>some countries have introduced l</w:t>
      </w:r>
      <w:r w:rsidRPr="00D201E8">
        <w:rPr>
          <w:sz w:val="20"/>
        </w:rPr>
        <w:t>andfill taxes that besides having the effect in concert with landfill bans to divert recyclables away from landfill, the collected taxes may be used to fund improved waste management infrastructure.</w:t>
      </w:r>
    </w:p>
    <w:p w:rsidR="00A140D6" w:rsidRPr="00D201E8" w:rsidRDefault="00A140D6" w:rsidP="009A372A">
      <w:pPr>
        <w:numPr>
          <w:ilvl w:val="0"/>
          <w:numId w:val="8"/>
        </w:numPr>
        <w:tabs>
          <w:tab w:val="left" w:pos="1985"/>
        </w:tabs>
        <w:spacing w:after="120"/>
        <w:ind w:left="1418" w:firstLine="0"/>
        <w:rPr>
          <w:sz w:val="20"/>
        </w:rPr>
      </w:pPr>
      <w:r w:rsidRPr="00D201E8">
        <w:rPr>
          <w:sz w:val="20"/>
        </w:rPr>
        <w:lastRenderedPageBreak/>
        <w:t>Likewise operators of incinerator plants commonly charge fees for their services, some countries have introduced incineration taxes that besides having the effect in concert with incineration bans to divert recyclables away from incineration, the collected taxes may be used to fund improved waste management infrastructure.</w:t>
      </w:r>
    </w:p>
    <w:p w:rsidR="00A140D6" w:rsidRPr="00A140D6" w:rsidRDefault="00A140D6" w:rsidP="00A140D6">
      <w:pPr>
        <w:pStyle w:val="Heading3"/>
        <w:tabs>
          <w:tab w:val="clear" w:pos="1247"/>
          <w:tab w:val="right" w:pos="993"/>
          <w:tab w:val="left" w:pos="1418"/>
        </w:tabs>
        <w:spacing w:before="120" w:line="252" w:lineRule="auto"/>
        <w:ind w:left="0" w:firstLine="720"/>
        <w:jc w:val="both"/>
        <w:rPr>
          <w:bCs/>
          <w:sz w:val="20"/>
        </w:rPr>
      </w:pPr>
      <w:r w:rsidRPr="00A140D6">
        <w:rPr>
          <w:bCs/>
          <w:sz w:val="20"/>
        </w:rPr>
        <w:tab/>
      </w:r>
      <w:bookmarkStart w:id="27" w:name="_Toc478467392"/>
      <w:r w:rsidRPr="00A140D6">
        <w:rPr>
          <w:bCs/>
          <w:sz w:val="20"/>
        </w:rPr>
        <w:t>2.</w:t>
      </w:r>
      <w:r w:rsidRPr="00A140D6">
        <w:rPr>
          <w:bCs/>
          <w:sz w:val="20"/>
        </w:rPr>
        <w:tab/>
        <w:t>Pay-as-you-throw (PAYT) schemes</w:t>
      </w:r>
      <w:bookmarkEnd w:id="27"/>
    </w:p>
    <w:p w:rsidR="00A140D6" w:rsidRPr="00D201E8" w:rsidRDefault="00A140D6" w:rsidP="009A372A">
      <w:pPr>
        <w:numPr>
          <w:ilvl w:val="0"/>
          <w:numId w:val="8"/>
        </w:numPr>
        <w:tabs>
          <w:tab w:val="left" w:pos="1985"/>
        </w:tabs>
        <w:spacing w:after="120"/>
        <w:ind w:left="1418" w:firstLine="0"/>
        <w:rPr>
          <w:sz w:val="20"/>
        </w:rPr>
      </w:pPr>
      <w:r w:rsidRPr="00D201E8">
        <w:rPr>
          <w:sz w:val="20"/>
        </w:rPr>
        <w:t>PAYT Schemes may p</w:t>
      </w:r>
      <w:r w:rsidR="00EE5C43">
        <w:rPr>
          <w:sz w:val="20"/>
        </w:rPr>
        <w:t>rovide funds for investment in waste management i</w:t>
      </w:r>
      <w:r w:rsidRPr="00D201E8">
        <w:rPr>
          <w:sz w:val="20"/>
        </w:rPr>
        <w:t>nfrastructure. However as the amounts charged would need to be affordable and at a level that does not encourage those liable to avoid the PAYT fee, such systems would need to provide stability and so operate for extended periods of time.</w:t>
      </w:r>
    </w:p>
    <w:p w:rsidR="00A140D6" w:rsidRPr="00A140D6" w:rsidRDefault="00A140D6" w:rsidP="00A140D6">
      <w:pPr>
        <w:pStyle w:val="Heading3"/>
        <w:tabs>
          <w:tab w:val="clear" w:pos="1247"/>
          <w:tab w:val="right" w:pos="993"/>
          <w:tab w:val="left" w:pos="1418"/>
        </w:tabs>
        <w:spacing w:before="120" w:line="252" w:lineRule="auto"/>
        <w:ind w:left="0" w:firstLine="720"/>
        <w:jc w:val="both"/>
        <w:rPr>
          <w:bCs/>
          <w:sz w:val="20"/>
        </w:rPr>
      </w:pPr>
      <w:r w:rsidRPr="00A140D6">
        <w:rPr>
          <w:bCs/>
          <w:sz w:val="20"/>
        </w:rPr>
        <w:tab/>
      </w:r>
      <w:bookmarkStart w:id="28" w:name="_Toc478467393"/>
      <w:r w:rsidRPr="00A140D6">
        <w:rPr>
          <w:bCs/>
          <w:sz w:val="20"/>
        </w:rPr>
        <w:t>3.</w:t>
      </w:r>
      <w:r w:rsidRPr="00A140D6">
        <w:rPr>
          <w:bCs/>
          <w:sz w:val="20"/>
        </w:rPr>
        <w:tab/>
        <w:t>Extended Producer Responsibility (EPR</w:t>
      </w:r>
      <w:r w:rsidR="00EE5C43">
        <w:rPr>
          <w:bCs/>
          <w:sz w:val="20"/>
        </w:rPr>
        <w:t>)</w:t>
      </w:r>
      <w:r w:rsidRPr="00A140D6">
        <w:rPr>
          <w:bCs/>
          <w:sz w:val="20"/>
        </w:rPr>
        <w:t xml:space="preserve"> schemes</w:t>
      </w:r>
      <w:bookmarkEnd w:id="28"/>
    </w:p>
    <w:p w:rsidR="00EE5C43" w:rsidRPr="00EE5C43" w:rsidRDefault="00EE5C43" w:rsidP="00EE5C43">
      <w:pPr>
        <w:numPr>
          <w:ilvl w:val="0"/>
          <w:numId w:val="8"/>
        </w:numPr>
        <w:tabs>
          <w:tab w:val="left" w:pos="1985"/>
        </w:tabs>
        <w:spacing w:after="120"/>
        <w:ind w:left="1418" w:firstLine="0"/>
        <w:rPr>
          <w:sz w:val="20"/>
        </w:rPr>
      </w:pPr>
      <w:r w:rsidRPr="00EE5C43">
        <w:rPr>
          <w:sz w:val="20"/>
        </w:rPr>
        <w:t>The OECD has published its Extended Producer Responsibility: Updated Guidance for Efficient Waste Management</w:t>
      </w:r>
      <w:r>
        <w:rPr>
          <w:rStyle w:val="FootnoteReference"/>
        </w:rPr>
        <w:footnoteReference w:id="16"/>
      </w:r>
      <w:r>
        <w:rPr>
          <w:sz w:val="20"/>
        </w:rPr>
        <w:t xml:space="preserve"> in 2016, updating the </w:t>
      </w:r>
      <w:r w:rsidRPr="00EE5C43">
        <w:rPr>
          <w:sz w:val="20"/>
        </w:rPr>
        <w:t>2001 Guidance Manual for Governments on Extend</w:t>
      </w:r>
      <w:r>
        <w:rPr>
          <w:sz w:val="20"/>
        </w:rPr>
        <w:t>ed Producer Responsibility</w:t>
      </w:r>
      <w:r>
        <w:rPr>
          <w:rStyle w:val="FootnoteReference"/>
        </w:rPr>
        <w:footnoteReference w:id="17"/>
      </w:r>
      <w:r>
        <w:rPr>
          <w:sz w:val="20"/>
        </w:rPr>
        <w:t>.</w:t>
      </w:r>
      <w:r w:rsidR="00A140D6" w:rsidRPr="00EE5C43">
        <w:rPr>
          <w:sz w:val="20"/>
        </w:rPr>
        <w:t xml:space="preserve"> </w:t>
      </w:r>
    </w:p>
    <w:p w:rsidR="00A140D6" w:rsidRPr="00D201E8" w:rsidRDefault="00A140D6" w:rsidP="009A372A">
      <w:pPr>
        <w:numPr>
          <w:ilvl w:val="0"/>
          <w:numId w:val="8"/>
        </w:numPr>
        <w:tabs>
          <w:tab w:val="left" w:pos="1985"/>
        </w:tabs>
        <w:spacing w:after="120"/>
        <w:ind w:left="1418" w:firstLine="0"/>
        <w:rPr>
          <w:sz w:val="20"/>
        </w:rPr>
      </w:pPr>
      <w:r w:rsidRPr="00D201E8">
        <w:rPr>
          <w:sz w:val="20"/>
        </w:rPr>
        <w:t>Regarding incentives, one of the key rationales for EPR schemes is to incentivise the design for the environment, so that products contain less or no hazardous materials tha</w:t>
      </w:r>
      <w:r w:rsidR="00EE5C43">
        <w:rPr>
          <w:sz w:val="20"/>
        </w:rPr>
        <w:t>t</w:t>
      </w:r>
      <w:r w:rsidRPr="00D201E8">
        <w:rPr>
          <w:sz w:val="20"/>
        </w:rPr>
        <w:t xml:space="preserve"> would present problems for the</w:t>
      </w:r>
      <w:r w:rsidR="00EE5C43">
        <w:rPr>
          <w:sz w:val="20"/>
        </w:rPr>
        <w:t>ir</w:t>
      </w:r>
      <w:r w:rsidRPr="00D201E8">
        <w:rPr>
          <w:sz w:val="20"/>
        </w:rPr>
        <w:t xml:space="preserve"> end-of-life management.</w:t>
      </w:r>
    </w:p>
    <w:p w:rsidR="00A140D6" w:rsidRPr="00D201E8" w:rsidRDefault="00A140D6" w:rsidP="009A372A">
      <w:pPr>
        <w:numPr>
          <w:ilvl w:val="0"/>
          <w:numId w:val="8"/>
        </w:numPr>
        <w:tabs>
          <w:tab w:val="left" w:pos="1985"/>
        </w:tabs>
        <w:spacing w:after="120"/>
        <w:ind w:left="1418" w:firstLine="0"/>
        <w:rPr>
          <w:sz w:val="20"/>
        </w:rPr>
      </w:pPr>
      <w:r w:rsidRPr="00D201E8">
        <w:rPr>
          <w:sz w:val="20"/>
        </w:rPr>
        <w:t>It should be recognised that business</w:t>
      </w:r>
      <w:r w:rsidR="00EE5C43">
        <w:rPr>
          <w:sz w:val="20"/>
        </w:rPr>
        <w:t>-to-business contracts between producers and their s</w:t>
      </w:r>
      <w:r w:rsidRPr="00D201E8">
        <w:rPr>
          <w:sz w:val="20"/>
        </w:rPr>
        <w:t xml:space="preserve">ervice suppliers may require the meeting of set minimum performance standards, including meeting set </w:t>
      </w:r>
      <w:r w:rsidR="00EE5C43">
        <w:rPr>
          <w:sz w:val="20"/>
        </w:rPr>
        <w:t>environmental management s</w:t>
      </w:r>
      <w:r w:rsidRPr="00D201E8">
        <w:rPr>
          <w:sz w:val="20"/>
        </w:rPr>
        <w:t>tandards</w:t>
      </w:r>
      <w:r w:rsidR="00EE5C43">
        <w:rPr>
          <w:sz w:val="20"/>
        </w:rPr>
        <w:t>, quality management standards and o</w:t>
      </w:r>
      <w:r w:rsidRPr="00D201E8">
        <w:rPr>
          <w:sz w:val="20"/>
        </w:rPr>
        <w:t>ccupational</w:t>
      </w:r>
      <w:r w:rsidR="00EE5C43">
        <w:rPr>
          <w:sz w:val="20"/>
        </w:rPr>
        <w:t xml:space="preserve"> health and safety management s</w:t>
      </w:r>
      <w:r w:rsidRPr="00D201E8">
        <w:rPr>
          <w:sz w:val="20"/>
        </w:rPr>
        <w:t>tandards.</w:t>
      </w:r>
    </w:p>
    <w:p w:rsidR="00A140D6" w:rsidRDefault="00A140D6" w:rsidP="009A372A">
      <w:pPr>
        <w:numPr>
          <w:ilvl w:val="0"/>
          <w:numId w:val="8"/>
        </w:numPr>
        <w:tabs>
          <w:tab w:val="left" w:pos="1985"/>
        </w:tabs>
        <w:spacing w:after="240"/>
        <w:ind w:left="1418" w:firstLine="0"/>
        <w:rPr>
          <w:sz w:val="20"/>
        </w:rPr>
      </w:pPr>
      <w:r w:rsidRPr="00D201E8">
        <w:rPr>
          <w:sz w:val="20"/>
        </w:rPr>
        <w:t>Regarding disincentives associated with EPR schemes</w:t>
      </w:r>
      <w:r w:rsidR="00EE5C43">
        <w:rPr>
          <w:sz w:val="20"/>
        </w:rPr>
        <w:t>,</w:t>
      </w:r>
      <w:r w:rsidRPr="00D201E8">
        <w:rPr>
          <w:sz w:val="20"/>
        </w:rPr>
        <w:t xml:space="preserve"> those included the undermining of investment, uncertainty surrounding ownership of material and forcing vertical integration through the value chain, as well as the abuse of the market power given to producer responsibility organisations. SMEs in the recycling and recovery sector typically express concerns of being threatened by EPR schemes.</w:t>
      </w:r>
    </w:p>
    <w:tbl>
      <w:tblPr>
        <w:tblW w:w="0" w:type="auto"/>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5"/>
      </w:tblGrid>
      <w:tr w:rsidR="00A140D6" w:rsidRPr="00522877" w:rsidTr="00A140D6">
        <w:tc>
          <w:tcPr>
            <w:tcW w:w="8185" w:type="dxa"/>
          </w:tcPr>
          <w:p w:rsidR="00A140D6" w:rsidRPr="00522877" w:rsidRDefault="00A140D6" w:rsidP="00A140D6">
            <w:pPr>
              <w:spacing w:before="120" w:after="120"/>
              <w:jc w:val="center"/>
              <w:rPr>
                <w:rFonts w:eastAsia="Calibri" w:cs="Arial"/>
                <w:b/>
                <w:sz w:val="20"/>
              </w:rPr>
            </w:pPr>
            <w:r w:rsidRPr="00522877">
              <w:rPr>
                <w:rFonts w:eastAsia="Calibri" w:cs="Arial"/>
                <w:b/>
                <w:sz w:val="20"/>
              </w:rPr>
              <w:t xml:space="preserve">Chinese Case of Private Sector Incentives for ESM of WEEE </w:t>
            </w:r>
          </w:p>
          <w:p w:rsidR="00A140D6" w:rsidRPr="00522877" w:rsidRDefault="00A140D6" w:rsidP="00A140D6">
            <w:pPr>
              <w:spacing w:before="120" w:after="120"/>
              <w:rPr>
                <w:rFonts w:eastAsia="Calibri" w:cs="Arial"/>
                <w:sz w:val="20"/>
              </w:rPr>
            </w:pPr>
            <w:r w:rsidRPr="00522877">
              <w:rPr>
                <w:rFonts w:eastAsia="Calibri" w:cs="Arial"/>
                <w:sz w:val="20"/>
              </w:rPr>
              <w:t>Referring to developed countries’ experience and China’s own practice, especially the home trade-in policy, a new policy, the Administrative Measures on the Collection and Using of Waste Electrical and Electronic Equipment Treatment Fund</w:t>
            </w:r>
            <w:r w:rsidR="00EE5C43">
              <w:rPr>
                <w:rStyle w:val="FootnoteReference"/>
                <w:rFonts w:eastAsia="Calibri" w:cs="Arial"/>
              </w:rPr>
              <w:footnoteReference w:id="18"/>
            </w:r>
            <w:r w:rsidRPr="00522877">
              <w:rPr>
                <w:rFonts w:eastAsia="Calibri" w:cs="Arial"/>
                <w:sz w:val="20"/>
              </w:rPr>
              <w:t xml:space="preserve"> (hereinafter called “Fund”), was issued by the Ministry of Finance (MOF), Ministry of Environmental Protection (MEP), National Development and Reform Commission (NDRC), Ministry of Industry and Information Technology (MIIT), General Administrative of Customs (GAC), State Administration of Taxation (SAT) of the People’s Republic of China and enforced on July 1st, 2012 after a certain long time of deliberate modification.</w:t>
            </w:r>
          </w:p>
          <w:p w:rsidR="00A140D6" w:rsidRPr="00522877" w:rsidRDefault="00F1362F" w:rsidP="00F1362F">
            <w:pPr>
              <w:spacing w:before="120" w:after="120"/>
              <w:rPr>
                <w:rFonts w:eastAsia="Calibri" w:cs="Arial"/>
                <w:sz w:val="20"/>
              </w:rPr>
            </w:pPr>
            <w:r>
              <w:rPr>
                <w:rFonts w:eastAsia="Calibri" w:cs="Arial"/>
                <w:sz w:val="20"/>
              </w:rPr>
              <w:t xml:space="preserve">The whole content of the </w:t>
            </w:r>
            <w:r w:rsidR="00A140D6" w:rsidRPr="00522877">
              <w:rPr>
                <w:rFonts w:eastAsia="Calibri" w:cs="Arial"/>
                <w:sz w:val="20"/>
              </w:rPr>
              <w:t>Fund is divided into six parts in the original documen</w:t>
            </w:r>
            <w:r>
              <w:rPr>
                <w:rFonts w:eastAsia="Calibri" w:cs="Arial"/>
                <w:sz w:val="20"/>
              </w:rPr>
              <w:t>t: (1) general principles; (2) Fund</w:t>
            </w:r>
            <w:r w:rsidR="00A140D6" w:rsidRPr="00522877">
              <w:rPr>
                <w:rFonts w:eastAsia="Calibri" w:cs="Arial"/>
                <w:sz w:val="20"/>
              </w:rPr>
              <w:t xml:space="preserve"> collection; (3) Fund use; (4) supervision and regulations; (5) legal liabilities; (6) supplementary provisions.</w:t>
            </w:r>
          </w:p>
        </w:tc>
      </w:tr>
    </w:tbl>
    <w:p w:rsidR="00A140D6" w:rsidRDefault="00A140D6" w:rsidP="00A140D6">
      <w:pPr>
        <w:tabs>
          <w:tab w:val="left" w:pos="1985"/>
        </w:tabs>
        <w:spacing w:after="120"/>
        <w:ind w:left="141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6"/>
      </w:tblGrid>
      <w:tr w:rsidR="00A140D6" w:rsidRPr="00522877" w:rsidTr="00A02ED3">
        <w:trPr>
          <w:trHeight w:val="5620"/>
        </w:trPr>
        <w:tc>
          <w:tcPr>
            <w:tcW w:w="8186" w:type="dxa"/>
          </w:tcPr>
          <w:p w:rsidR="00A140D6" w:rsidRPr="00522877" w:rsidRDefault="00A140D6" w:rsidP="00A140D6">
            <w:pPr>
              <w:spacing w:before="120" w:after="120"/>
              <w:jc w:val="center"/>
              <w:rPr>
                <w:rFonts w:eastAsia="Calibri" w:cs="Arial"/>
                <w:b/>
                <w:sz w:val="20"/>
              </w:rPr>
            </w:pPr>
            <w:r w:rsidRPr="00522877">
              <w:rPr>
                <w:rFonts w:eastAsia="Calibri" w:cs="Arial"/>
                <w:b/>
                <w:sz w:val="20"/>
              </w:rPr>
              <w:lastRenderedPageBreak/>
              <w:t>T</w:t>
            </w:r>
            <w:r w:rsidR="00F1362F">
              <w:rPr>
                <w:rFonts w:eastAsia="Calibri" w:cs="Arial"/>
                <w:b/>
                <w:sz w:val="20"/>
              </w:rPr>
              <w:t>he incentives generated by the Fund</w:t>
            </w:r>
          </w:p>
          <w:p w:rsidR="00A140D6" w:rsidRPr="00522877" w:rsidRDefault="00A140D6" w:rsidP="00A140D6">
            <w:pPr>
              <w:spacing w:before="120" w:after="120"/>
              <w:rPr>
                <w:rFonts w:eastAsia="Calibri" w:cs="Arial"/>
                <w:sz w:val="20"/>
              </w:rPr>
            </w:pPr>
            <w:r w:rsidRPr="00522877">
              <w:rPr>
                <w:rFonts w:eastAsia="Calibri" w:cs="Arial"/>
                <w:sz w:val="20"/>
              </w:rPr>
              <w:t>Different from previous laws and regulations, this policy has its own features and provides evident incentives.</w:t>
            </w:r>
          </w:p>
          <w:p w:rsidR="00A140D6" w:rsidRPr="00522877" w:rsidRDefault="00A140D6" w:rsidP="00A140D6">
            <w:pPr>
              <w:spacing w:before="120" w:after="120"/>
              <w:rPr>
                <w:rFonts w:eastAsia="Calibri" w:cs="Arial"/>
                <w:sz w:val="20"/>
              </w:rPr>
            </w:pPr>
            <w:r w:rsidRPr="00522877">
              <w:rPr>
                <w:rFonts w:eastAsia="Calibri" w:cs="Arial"/>
                <w:sz w:val="20"/>
              </w:rPr>
              <w:t>Firstly, this system’s establishment elevates the industry access threshold concerning WEEE treatment. As a consequence, some enterprises have to improve their comprehensive abilities to get this certain qualification primarily, which will lead the whole industry to standardization, modernization and industrialization. A group of enterprises with prominent treatment technologies can make certain guarantee</w:t>
            </w:r>
            <w:r w:rsidR="00EE5C43">
              <w:rPr>
                <w:rFonts w:eastAsia="Calibri" w:cs="Arial"/>
                <w:sz w:val="20"/>
              </w:rPr>
              <w:t>s</w:t>
            </w:r>
            <w:r w:rsidRPr="00522877">
              <w:rPr>
                <w:rFonts w:eastAsia="Calibri" w:cs="Arial"/>
                <w:sz w:val="20"/>
              </w:rPr>
              <w:t xml:space="preserve"> for the pollution control, which is caused by WEEE and created during treatment processes.</w:t>
            </w:r>
          </w:p>
          <w:p w:rsidR="00A140D6" w:rsidRPr="00522877" w:rsidRDefault="00A140D6" w:rsidP="00A140D6">
            <w:pPr>
              <w:spacing w:before="120" w:after="120"/>
              <w:rPr>
                <w:rFonts w:eastAsia="Calibri" w:cs="Arial"/>
                <w:sz w:val="20"/>
              </w:rPr>
            </w:pPr>
            <w:r w:rsidRPr="00522877">
              <w:rPr>
                <w:rFonts w:eastAsia="Calibri" w:cs="Arial"/>
                <w:sz w:val="20"/>
              </w:rPr>
              <w:t xml:space="preserve">Secondly, the subsidy enables and encourages authorized recyclers and treatment companies to collect more WEEE in certified way. Aiming for that, these appointed enterprises will expand </w:t>
            </w:r>
            <w:r w:rsidR="00EE5C43">
              <w:rPr>
                <w:rFonts w:eastAsia="Calibri" w:cs="Arial"/>
                <w:sz w:val="20"/>
              </w:rPr>
              <w:t xml:space="preserve">the </w:t>
            </w:r>
            <w:r w:rsidRPr="00522877">
              <w:rPr>
                <w:rFonts w:eastAsia="Calibri" w:cs="Arial"/>
                <w:sz w:val="20"/>
              </w:rPr>
              <w:t xml:space="preserve">publicity of </w:t>
            </w:r>
            <w:r w:rsidR="00EE5C43">
              <w:rPr>
                <w:rFonts w:eastAsia="Calibri" w:cs="Arial"/>
                <w:sz w:val="20"/>
              </w:rPr>
              <w:t xml:space="preserve">certified WEEE recycling systems </w:t>
            </w:r>
            <w:r w:rsidRPr="00522877">
              <w:rPr>
                <w:rFonts w:eastAsia="Calibri" w:cs="Arial"/>
                <w:sz w:val="20"/>
              </w:rPr>
              <w:t>to improve public awareness about WEEE management.</w:t>
            </w:r>
          </w:p>
          <w:p w:rsidR="00A140D6" w:rsidRPr="00522877" w:rsidRDefault="00A140D6" w:rsidP="00F1362F">
            <w:pPr>
              <w:spacing w:before="120"/>
              <w:rPr>
                <w:rFonts w:eastAsia="Calibri" w:cs="Arial"/>
                <w:sz w:val="20"/>
              </w:rPr>
            </w:pPr>
            <w:r w:rsidRPr="00522877">
              <w:rPr>
                <w:rFonts w:eastAsia="Calibri" w:cs="Arial"/>
                <w:sz w:val="20"/>
              </w:rPr>
              <w:t>Alt</w:t>
            </w:r>
            <w:r w:rsidR="00F1362F">
              <w:rPr>
                <w:rFonts w:eastAsia="Calibri" w:cs="Arial"/>
                <w:sz w:val="20"/>
              </w:rPr>
              <w:t xml:space="preserve">ogether, the foundation of the </w:t>
            </w:r>
            <w:r w:rsidRPr="00522877">
              <w:rPr>
                <w:rFonts w:eastAsia="Calibri" w:cs="Arial"/>
                <w:sz w:val="20"/>
              </w:rPr>
              <w:t>Fund greatly stimulated China’s WEEE management</w:t>
            </w:r>
            <w:r w:rsidR="00EE5C43">
              <w:rPr>
                <w:rFonts w:eastAsia="Calibri" w:cs="Arial"/>
                <w:sz w:val="20"/>
              </w:rPr>
              <w:t xml:space="preserve">. </w:t>
            </w:r>
            <w:r w:rsidRPr="00522877">
              <w:rPr>
                <w:rFonts w:eastAsia="Calibri" w:cs="Arial"/>
                <w:sz w:val="20"/>
              </w:rPr>
              <w:t>According to official figure</w:t>
            </w:r>
            <w:r w:rsidR="00EE5C43">
              <w:rPr>
                <w:rFonts w:eastAsia="Calibri" w:cs="Arial"/>
                <w:sz w:val="20"/>
              </w:rPr>
              <w:t>s</w:t>
            </w:r>
            <w:r w:rsidRPr="00522877">
              <w:rPr>
                <w:rFonts w:eastAsia="Calibri" w:cs="Arial"/>
                <w:sz w:val="20"/>
              </w:rPr>
              <w:t>, by 2014, there have been 106 enterprises that ga</w:t>
            </w:r>
            <w:r w:rsidR="00EE5C43">
              <w:rPr>
                <w:rFonts w:eastAsia="Calibri" w:cs="Arial"/>
                <w:sz w:val="20"/>
              </w:rPr>
              <w:t>ined the fund subsidy, which have</w:t>
            </w:r>
            <w:r w:rsidRPr="00522877">
              <w:rPr>
                <w:rFonts w:eastAsia="Calibri" w:cs="Arial"/>
                <w:sz w:val="20"/>
              </w:rPr>
              <w:t xml:space="preserve"> achieved an accumulated amount (from July 2012 to the end of 2013) of 3.93 billion RMB and with a total number of 47.464 million appliances subsided. More importantly, some changes concerning </w:t>
            </w:r>
            <w:r w:rsidR="00EE5C43">
              <w:rPr>
                <w:rFonts w:eastAsia="Calibri" w:cs="Arial"/>
                <w:sz w:val="20"/>
              </w:rPr>
              <w:t>the ESM</w:t>
            </w:r>
            <w:r w:rsidRPr="00522877">
              <w:rPr>
                <w:rFonts w:eastAsia="Calibri" w:cs="Arial"/>
                <w:sz w:val="20"/>
              </w:rPr>
              <w:t xml:space="preserve"> of WEEE have taken place in China. It has been proved that effective operation and implementation of the </w:t>
            </w:r>
            <w:r w:rsidR="00F1362F">
              <w:rPr>
                <w:rFonts w:eastAsia="Calibri" w:cs="Arial"/>
                <w:sz w:val="20"/>
              </w:rPr>
              <w:t>Fund</w:t>
            </w:r>
            <w:r w:rsidRPr="00522877">
              <w:rPr>
                <w:rFonts w:eastAsia="Calibri" w:cs="Arial"/>
                <w:sz w:val="20"/>
              </w:rPr>
              <w:t xml:space="preserve"> can benefit the development of China’s society, economy and environment</w:t>
            </w:r>
            <w:r w:rsidR="00EE5C43">
              <w:rPr>
                <w:rFonts w:eastAsia="Calibri" w:cs="Arial"/>
                <w:sz w:val="20"/>
              </w:rPr>
              <w:t>al</w:t>
            </w:r>
            <w:r w:rsidRPr="00522877">
              <w:rPr>
                <w:rFonts w:eastAsia="Calibri" w:cs="Arial"/>
                <w:sz w:val="20"/>
              </w:rPr>
              <w:t xml:space="preserve"> protection tremendously. </w:t>
            </w:r>
          </w:p>
        </w:tc>
      </w:tr>
    </w:tbl>
    <w:p w:rsidR="00A140D6" w:rsidRPr="00A140D6" w:rsidRDefault="00A140D6" w:rsidP="00A140D6">
      <w:pPr>
        <w:pStyle w:val="Heading2"/>
        <w:tabs>
          <w:tab w:val="right" w:pos="993"/>
          <w:tab w:val="left" w:pos="1418"/>
        </w:tabs>
        <w:rPr>
          <w:rFonts w:hAnsi="Times New Roman Bold"/>
        </w:rPr>
      </w:pPr>
      <w:r>
        <w:rPr>
          <w:rFonts w:hAnsi="Times New Roman Bold"/>
        </w:rPr>
        <w:tab/>
      </w:r>
      <w:bookmarkStart w:id="29" w:name="_Toc478467394"/>
      <w:r w:rsidR="00DA08BD">
        <w:rPr>
          <w:rFonts w:hAnsi="Times New Roman Bold"/>
        </w:rPr>
        <w:t>E.</w:t>
      </w:r>
      <w:r w:rsidR="00DA08BD">
        <w:rPr>
          <w:rFonts w:hAnsi="Times New Roman Bold"/>
        </w:rPr>
        <w:tab/>
      </w:r>
      <w:r w:rsidR="00DA08BD">
        <w:rPr>
          <w:rFonts w:hAnsi="Times New Roman Bold"/>
        </w:rPr>
        <w:tab/>
        <w:t>Support from t</w:t>
      </w:r>
      <w:r w:rsidRPr="00A140D6">
        <w:rPr>
          <w:rFonts w:hAnsi="Times New Roman Bold"/>
        </w:rPr>
        <w:t xml:space="preserve">rade </w:t>
      </w:r>
      <w:r w:rsidR="00DA08BD">
        <w:rPr>
          <w:rFonts w:hAnsi="Times New Roman Bold"/>
        </w:rPr>
        <w:t>a</w:t>
      </w:r>
      <w:r w:rsidRPr="00A140D6">
        <w:rPr>
          <w:rFonts w:hAnsi="Times New Roman Bold"/>
        </w:rPr>
        <w:t>ssociations</w:t>
      </w:r>
      <w:bookmarkEnd w:id="29"/>
    </w:p>
    <w:p w:rsidR="00A140D6" w:rsidRPr="00D201E8" w:rsidRDefault="00A140D6" w:rsidP="009A372A">
      <w:pPr>
        <w:numPr>
          <w:ilvl w:val="0"/>
          <w:numId w:val="8"/>
        </w:numPr>
        <w:tabs>
          <w:tab w:val="left" w:pos="1985"/>
        </w:tabs>
        <w:spacing w:after="240"/>
        <w:ind w:left="1418" w:firstLine="0"/>
        <w:rPr>
          <w:sz w:val="20"/>
        </w:rPr>
      </w:pPr>
      <w:r>
        <w:rPr>
          <w:sz w:val="20"/>
        </w:rPr>
        <w:t>Depending on their s</w:t>
      </w:r>
      <w:r w:rsidRPr="00D201E8">
        <w:rPr>
          <w:sz w:val="20"/>
        </w:rPr>
        <w:t>tatutes</w:t>
      </w:r>
      <w:r>
        <w:rPr>
          <w:sz w:val="20"/>
        </w:rPr>
        <w:t>,</w:t>
      </w:r>
      <w:r w:rsidRPr="00D201E8">
        <w:rPr>
          <w:sz w:val="20"/>
        </w:rPr>
        <w:t xml:space="preserve"> </w:t>
      </w:r>
      <w:r w:rsidR="00DA08BD">
        <w:rPr>
          <w:sz w:val="20"/>
        </w:rPr>
        <w:t>trade a</w:t>
      </w:r>
      <w:r>
        <w:rPr>
          <w:sz w:val="20"/>
        </w:rPr>
        <w:t>ssociations</w:t>
      </w:r>
      <w:r w:rsidRPr="00D201E8">
        <w:rPr>
          <w:sz w:val="20"/>
        </w:rPr>
        <w:t xml:space="preserve"> have a long history of supporting their member companies to comply with regulatory requirements. Furthermore</w:t>
      </w:r>
      <w:r w:rsidR="00DA08BD">
        <w:rPr>
          <w:sz w:val="20"/>
        </w:rPr>
        <w:t>, a number of trade a</w:t>
      </w:r>
      <w:r w:rsidRPr="00D201E8">
        <w:rPr>
          <w:sz w:val="20"/>
        </w:rPr>
        <w:t>ssociations provide assistance for companies operatin</w:t>
      </w:r>
      <w:r w:rsidR="00DA08BD">
        <w:rPr>
          <w:sz w:val="20"/>
        </w:rPr>
        <w:t>g in their sector to introduce environmental, q</w:t>
      </w:r>
      <w:r w:rsidRPr="00D201E8">
        <w:rPr>
          <w:sz w:val="20"/>
        </w:rPr>
        <w:t xml:space="preserve">uality and </w:t>
      </w:r>
      <w:r w:rsidR="00DA08BD">
        <w:rPr>
          <w:sz w:val="20"/>
        </w:rPr>
        <w:t>occupational, health and safety management systems and standards. In certain sectors, trade a</w:t>
      </w:r>
      <w:r w:rsidRPr="00D201E8">
        <w:rPr>
          <w:sz w:val="20"/>
        </w:rPr>
        <w:t>ssociations have provid</w:t>
      </w:r>
      <w:r w:rsidR="00DA08BD">
        <w:rPr>
          <w:sz w:val="20"/>
        </w:rPr>
        <w:t>ed tailor-m</w:t>
      </w:r>
      <w:r w:rsidRPr="00D201E8">
        <w:rPr>
          <w:sz w:val="20"/>
        </w:rPr>
        <w:t xml:space="preserve">ade </w:t>
      </w:r>
      <w:r w:rsidR="00C87AF3">
        <w:rPr>
          <w:sz w:val="20"/>
        </w:rPr>
        <w:t>EMS</w:t>
      </w:r>
      <w:r w:rsidRPr="00D201E8">
        <w:rPr>
          <w:sz w:val="20"/>
        </w:rPr>
        <w:t>s for companies.</w:t>
      </w:r>
    </w:p>
    <w:p w:rsidR="00A140D6" w:rsidRPr="00D201E8" w:rsidRDefault="00A140D6" w:rsidP="009A372A">
      <w:pPr>
        <w:numPr>
          <w:ilvl w:val="0"/>
          <w:numId w:val="8"/>
        </w:numPr>
        <w:tabs>
          <w:tab w:val="left" w:pos="1985"/>
        </w:tabs>
        <w:spacing w:after="240"/>
        <w:ind w:left="1418" w:firstLine="0"/>
        <w:rPr>
          <w:sz w:val="20"/>
        </w:rPr>
      </w:pPr>
      <w:r w:rsidRPr="00D201E8">
        <w:rPr>
          <w:sz w:val="20"/>
        </w:rPr>
        <w:t xml:space="preserve">Governments may encourage the legal establishment of trade associations for the waste management and recycling sectors, and include those NGO’s together with other stakeholders in the elaboration of waste management policy and legislation. </w:t>
      </w:r>
    </w:p>
    <w:p w:rsidR="00A140D6" w:rsidRPr="00A140D6" w:rsidRDefault="00A140D6" w:rsidP="00A140D6">
      <w:pPr>
        <w:pStyle w:val="Heading2"/>
        <w:tabs>
          <w:tab w:val="right" w:pos="993"/>
          <w:tab w:val="left" w:pos="1418"/>
        </w:tabs>
        <w:rPr>
          <w:rFonts w:hAnsi="Times New Roman Bold"/>
        </w:rPr>
      </w:pPr>
      <w:bookmarkStart w:id="30" w:name="_Toc415220460"/>
      <w:r>
        <w:rPr>
          <w:rFonts w:hAnsi="Times New Roman Bold"/>
        </w:rPr>
        <w:tab/>
      </w:r>
      <w:bookmarkStart w:id="31" w:name="_Toc478467395"/>
      <w:r w:rsidRPr="00A140D6">
        <w:rPr>
          <w:rFonts w:hAnsi="Times New Roman Bold"/>
        </w:rPr>
        <w:t>F.</w:t>
      </w:r>
      <w:bookmarkEnd w:id="30"/>
      <w:r w:rsidRPr="00A140D6">
        <w:rPr>
          <w:rFonts w:hAnsi="Times New Roman Bold"/>
        </w:rPr>
        <w:tab/>
      </w:r>
      <w:r w:rsidRPr="00A140D6">
        <w:rPr>
          <w:rFonts w:hAnsi="Times New Roman Bold"/>
        </w:rPr>
        <w:tab/>
        <w:t>Awards</w:t>
      </w:r>
      <w:bookmarkEnd w:id="31"/>
    </w:p>
    <w:p w:rsidR="00A140D6" w:rsidRPr="00CC699F" w:rsidRDefault="00A140D6" w:rsidP="009A372A">
      <w:pPr>
        <w:numPr>
          <w:ilvl w:val="0"/>
          <w:numId w:val="8"/>
        </w:numPr>
        <w:tabs>
          <w:tab w:val="left" w:pos="1985"/>
        </w:tabs>
        <w:spacing w:after="240"/>
        <w:ind w:left="1418" w:firstLine="0"/>
        <w:rPr>
          <w:rStyle w:val="CommentReference"/>
          <w:sz w:val="20"/>
          <w:szCs w:val="20"/>
        </w:rPr>
      </w:pPr>
      <w:r w:rsidRPr="00D201E8">
        <w:rPr>
          <w:sz w:val="20"/>
        </w:rPr>
        <w:t>Companies will react positively to awards or other acknowledgments for performing well. Such awards help companies, giving them positive social visibility, which creates motivation for them to continue or for others to follow the good examples</w:t>
      </w:r>
      <w:r>
        <w:rPr>
          <w:sz w:val="20"/>
        </w:rPr>
        <w:t>:</w:t>
      </w:r>
      <w:r w:rsidRPr="00D201E8">
        <w:rPr>
          <w:sz w:val="20"/>
        </w:rPr>
        <w:t xml:space="preserve"> </w:t>
      </w:r>
      <w:r w:rsidRPr="00D201E8" w:rsidDel="00003465">
        <w:rPr>
          <w:sz w:val="20"/>
        </w:rPr>
        <w:t xml:space="preserve"> </w:t>
      </w:r>
      <w:r w:rsidRPr="00D201E8" w:rsidDel="00003465">
        <w:rPr>
          <w:rStyle w:val="CommentReference"/>
          <w:sz w:val="20"/>
        </w:rPr>
        <w:t xml:space="preserve"> </w:t>
      </w:r>
    </w:p>
    <w:p w:rsidR="00CC699F" w:rsidRPr="00D201E8" w:rsidRDefault="00CC699F" w:rsidP="00CC699F">
      <w:pPr>
        <w:tabs>
          <w:tab w:val="left" w:pos="2552"/>
        </w:tabs>
        <w:spacing w:after="120"/>
        <w:ind w:left="1440" w:firstLine="545"/>
        <w:rPr>
          <w:sz w:val="20"/>
        </w:rPr>
      </w:pPr>
      <w:r>
        <w:rPr>
          <w:sz w:val="20"/>
        </w:rPr>
        <w:t xml:space="preserve"> (a)</w:t>
      </w:r>
      <w:r>
        <w:rPr>
          <w:sz w:val="20"/>
        </w:rPr>
        <w:tab/>
        <w:t>P</w:t>
      </w:r>
      <w:r w:rsidRPr="00D201E8">
        <w:rPr>
          <w:sz w:val="20"/>
        </w:rPr>
        <w:t>roviding special recognition or award;</w:t>
      </w:r>
    </w:p>
    <w:p w:rsidR="00CC699F" w:rsidRDefault="00CC699F" w:rsidP="00CC699F">
      <w:pPr>
        <w:tabs>
          <w:tab w:val="left" w:pos="2552"/>
        </w:tabs>
        <w:spacing w:after="120"/>
        <w:ind w:left="1440" w:firstLine="545"/>
        <w:rPr>
          <w:sz w:val="20"/>
        </w:rPr>
      </w:pPr>
      <w:r>
        <w:rPr>
          <w:sz w:val="20"/>
        </w:rPr>
        <w:t>(b)</w:t>
      </w:r>
      <w:r>
        <w:rPr>
          <w:sz w:val="20"/>
        </w:rPr>
        <w:tab/>
        <w:t>P</w:t>
      </w:r>
      <w:r w:rsidRPr="00D201E8">
        <w:rPr>
          <w:sz w:val="20"/>
        </w:rPr>
        <w:t>roviding information about the value of EMSs.</w:t>
      </w:r>
    </w:p>
    <w:p w:rsidR="00CC699F" w:rsidRDefault="00CC699F" w:rsidP="00CC699F">
      <w:pPr>
        <w:pStyle w:val="Heading1"/>
        <w:tabs>
          <w:tab w:val="clear" w:pos="1247"/>
          <w:tab w:val="left" w:pos="1440"/>
        </w:tabs>
      </w:pPr>
      <w:bookmarkStart w:id="32" w:name="_Toc478467396"/>
      <w:r>
        <w:t xml:space="preserve">VI. </w:t>
      </w:r>
      <w:r>
        <w:tab/>
      </w:r>
      <w:r>
        <w:tab/>
      </w:r>
      <w:r w:rsidR="00874008">
        <w:rPr>
          <w:bCs/>
          <w:spacing w:val="20"/>
          <w:szCs w:val="28"/>
        </w:rPr>
        <w:t>Benefits of ESM in the private s</w:t>
      </w:r>
      <w:r w:rsidRPr="00E67D99">
        <w:rPr>
          <w:bCs/>
          <w:spacing w:val="20"/>
          <w:szCs w:val="28"/>
        </w:rPr>
        <w:t>ector</w:t>
      </w:r>
      <w:bookmarkEnd w:id="32"/>
    </w:p>
    <w:p w:rsidR="00CC699F" w:rsidRPr="00CC699F" w:rsidRDefault="00C37375" w:rsidP="009A372A">
      <w:pPr>
        <w:numPr>
          <w:ilvl w:val="0"/>
          <w:numId w:val="8"/>
        </w:numPr>
        <w:tabs>
          <w:tab w:val="left" w:pos="1985"/>
        </w:tabs>
        <w:spacing w:after="240"/>
        <w:ind w:left="1418" w:firstLine="0"/>
        <w:rPr>
          <w:sz w:val="20"/>
        </w:rPr>
      </w:pPr>
      <w:r>
        <w:rPr>
          <w:color w:val="000000"/>
          <w:sz w:val="20"/>
        </w:rPr>
        <w:t>Chapter II, Part C above</w:t>
      </w:r>
      <w:r w:rsidR="005873FF">
        <w:rPr>
          <w:color w:val="000000"/>
          <w:sz w:val="20"/>
        </w:rPr>
        <w:t>, sets out</w:t>
      </w:r>
      <w:r w:rsidR="0050471A" w:rsidRPr="00CC699F">
        <w:rPr>
          <w:color w:val="000000"/>
          <w:sz w:val="20"/>
        </w:rPr>
        <w:t xml:space="preserve"> the basic requirements that waste management facilities should meet</w:t>
      </w:r>
      <w:r>
        <w:rPr>
          <w:color w:val="000000"/>
          <w:sz w:val="20"/>
        </w:rPr>
        <w:t xml:space="preserve"> to ensure ESM</w:t>
      </w:r>
      <w:r w:rsidR="0050471A" w:rsidRPr="00CC699F">
        <w:rPr>
          <w:color w:val="000000"/>
          <w:sz w:val="20"/>
        </w:rPr>
        <w:t>. The subsequent three chapters regarding the: Strategies to implement ESM; Economics; and Incentives for ESM; point in part to some benefits that waste management facilities may experience from meeting those requirements.</w:t>
      </w:r>
    </w:p>
    <w:p w:rsidR="00CC699F" w:rsidRPr="00CC699F" w:rsidRDefault="0050471A" w:rsidP="009A372A">
      <w:pPr>
        <w:numPr>
          <w:ilvl w:val="0"/>
          <w:numId w:val="8"/>
        </w:numPr>
        <w:tabs>
          <w:tab w:val="left" w:pos="1985"/>
        </w:tabs>
        <w:spacing w:after="240"/>
        <w:ind w:left="1418" w:firstLine="0"/>
        <w:rPr>
          <w:sz w:val="20"/>
        </w:rPr>
      </w:pPr>
      <w:r w:rsidRPr="00CC699F">
        <w:rPr>
          <w:color w:val="000000"/>
          <w:sz w:val="20"/>
        </w:rPr>
        <w:t xml:space="preserve">The overriding consideration is that facilities that are not in </w:t>
      </w:r>
      <w:r w:rsidR="005873FF">
        <w:rPr>
          <w:color w:val="000000"/>
          <w:sz w:val="20"/>
        </w:rPr>
        <w:t xml:space="preserve">the </w:t>
      </w:r>
      <w:r w:rsidRPr="00CC699F">
        <w:rPr>
          <w:color w:val="000000"/>
          <w:sz w:val="20"/>
        </w:rPr>
        <w:t xml:space="preserve">future </w:t>
      </w:r>
      <w:r w:rsidR="00CB48E0">
        <w:rPr>
          <w:color w:val="000000"/>
          <w:sz w:val="20"/>
        </w:rPr>
        <w:t>e</w:t>
      </w:r>
      <w:r w:rsidRPr="00CC699F">
        <w:rPr>
          <w:color w:val="000000"/>
          <w:sz w:val="20"/>
        </w:rPr>
        <w:t xml:space="preserve">nvironmentally </w:t>
      </w:r>
      <w:r w:rsidR="00CB48E0">
        <w:rPr>
          <w:color w:val="000000"/>
          <w:sz w:val="20"/>
        </w:rPr>
        <w:t>s</w:t>
      </w:r>
      <w:r w:rsidRPr="00CC699F">
        <w:rPr>
          <w:color w:val="000000"/>
          <w:sz w:val="20"/>
        </w:rPr>
        <w:t xml:space="preserve">oundly </w:t>
      </w:r>
      <w:r w:rsidR="00CB48E0">
        <w:rPr>
          <w:color w:val="000000"/>
          <w:sz w:val="20"/>
        </w:rPr>
        <w:t>m</w:t>
      </w:r>
      <w:r w:rsidRPr="00CC699F">
        <w:rPr>
          <w:color w:val="000000"/>
          <w:sz w:val="20"/>
        </w:rPr>
        <w:t xml:space="preserve">anaged should no longer be economically viable as their </w:t>
      </w:r>
      <w:r w:rsidR="00CB48E0">
        <w:rPr>
          <w:color w:val="000000"/>
          <w:sz w:val="20"/>
        </w:rPr>
        <w:t>c</w:t>
      </w:r>
      <w:r w:rsidRPr="00CC699F">
        <w:rPr>
          <w:color w:val="000000"/>
          <w:sz w:val="20"/>
        </w:rPr>
        <w:t xml:space="preserve">ompetent </w:t>
      </w:r>
      <w:r w:rsidR="00CB48E0">
        <w:rPr>
          <w:color w:val="000000"/>
          <w:sz w:val="20"/>
        </w:rPr>
        <w:t>a</w:t>
      </w:r>
      <w:r w:rsidRPr="00CC699F">
        <w:rPr>
          <w:color w:val="000000"/>
          <w:sz w:val="20"/>
        </w:rPr>
        <w:t xml:space="preserve">uthorities should withdraw their permit, </w:t>
      </w:r>
      <w:r w:rsidR="00874008">
        <w:rPr>
          <w:color w:val="000000"/>
          <w:sz w:val="20"/>
        </w:rPr>
        <w:t>license</w:t>
      </w:r>
      <w:r w:rsidRPr="00CC699F">
        <w:rPr>
          <w:color w:val="000000"/>
          <w:sz w:val="20"/>
        </w:rPr>
        <w:t xml:space="preserve"> or other authority to operate. The facilities should indeed not be able to access hazardous waste and other waste. Business </w:t>
      </w:r>
      <w:r w:rsidR="00CB48E0">
        <w:rPr>
          <w:color w:val="000000"/>
          <w:sz w:val="20"/>
        </w:rPr>
        <w:t>c</w:t>
      </w:r>
      <w:r w:rsidRPr="00CC699F">
        <w:rPr>
          <w:color w:val="000000"/>
          <w:sz w:val="20"/>
        </w:rPr>
        <w:t xml:space="preserve">ompetitors that are compliant will certainly press their </w:t>
      </w:r>
      <w:r w:rsidR="00CB48E0">
        <w:rPr>
          <w:color w:val="000000"/>
          <w:sz w:val="20"/>
        </w:rPr>
        <w:t>c</w:t>
      </w:r>
      <w:r w:rsidRPr="00CC699F">
        <w:rPr>
          <w:color w:val="000000"/>
          <w:sz w:val="20"/>
        </w:rPr>
        <w:t xml:space="preserve">ompetent </w:t>
      </w:r>
      <w:r w:rsidR="00CB48E0">
        <w:rPr>
          <w:color w:val="000000"/>
          <w:sz w:val="20"/>
        </w:rPr>
        <w:t>a</w:t>
      </w:r>
      <w:r w:rsidRPr="00CC699F">
        <w:rPr>
          <w:color w:val="000000"/>
          <w:sz w:val="20"/>
        </w:rPr>
        <w:t xml:space="preserve">uthorities to clamp down on companies that are seeking to undercut the market by not being </w:t>
      </w:r>
      <w:r w:rsidR="00CB48E0">
        <w:rPr>
          <w:color w:val="000000"/>
          <w:sz w:val="20"/>
        </w:rPr>
        <w:t>e</w:t>
      </w:r>
      <w:r w:rsidRPr="00CC699F">
        <w:rPr>
          <w:color w:val="000000"/>
          <w:sz w:val="20"/>
        </w:rPr>
        <w:t xml:space="preserve">nvironmentally </w:t>
      </w:r>
      <w:r w:rsidR="00CB48E0">
        <w:rPr>
          <w:color w:val="000000"/>
          <w:sz w:val="20"/>
        </w:rPr>
        <w:t>s</w:t>
      </w:r>
      <w:r w:rsidRPr="00CC699F">
        <w:rPr>
          <w:color w:val="000000"/>
          <w:sz w:val="20"/>
        </w:rPr>
        <w:t xml:space="preserve">oundly </w:t>
      </w:r>
      <w:r w:rsidR="00CB48E0">
        <w:rPr>
          <w:color w:val="000000"/>
          <w:sz w:val="20"/>
        </w:rPr>
        <w:t>m</w:t>
      </w:r>
      <w:r w:rsidRPr="00CC699F">
        <w:rPr>
          <w:color w:val="000000"/>
          <w:sz w:val="20"/>
        </w:rPr>
        <w:t>anaged. In respect of access to hazardous wastes and other wastes,</w:t>
      </w:r>
      <w:r w:rsidR="005873FF">
        <w:rPr>
          <w:color w:val="000000"/>
          <w:sz w:val="20"/>
        </w:rPr>
        <w:t xml:space="preserve"> </w:t>
      </w:r>
      <w:r w:rsidR="001641C2">
        <w:rPr>
          <w:color w:val="000000"/>
          <w:sz w:val="20"/>
        </w:rPr>
        <w:t>and</w:t>
      </w:r>
      <w:r w:rsidRPr="00CC699F">
        <w:rPr>
          <w:color w:val="000000"/>
          <w:sz w:val="20"/>
        </w:rPr>
        <w:t xml:space="preserve"> their import and export, as controlled by the </w:t>
      </w:r>
      <w:r w:rsidR="00CB48E0">
        <w:rPr>
          <w:color w:val="000000"/>
          <w:sz w:val="20"/>
        </w:rPr>
        <w:t>c</w:t>
      </w:r>
      <w:r w:rsidRPr="00CC699F">
        <w:rPr>
          <w:color w:val="000000"/>
          <w:sz w:val="20"/>
        </w:rPr>
        <w:t xml:space="preserve">ompetent </w:t>
      </w:r>
      <w:r w:rsidR="00CB48E0">
        <w:rPr>
          <w:color w:val="000000"/>
          <w:sz w:val="20"/>
        </w:rPr>
        <w:t>a</w:t>
      </w:r>
      <w:r w:rsidRPr="00CC699F">
        <w:rPr>
          <w:color w:val="000000"/>
          <w:sz w:val="20"/>
        </w:rPr>
        <w:t>uthorities</w:t>
      </w:r>
      <w:r w:rsidR="00CB48E0">
        <w:rPr>
          <w:color w:val="000000"/>
          <w:sz w:val="20"/>
        </w:rPr>
        <w:t>,</w:t>
      </w:r>
      <w:r w:rsidRPr="00CC699F">
        <w:rPr>
          <w:color w:val="000000"/>
          <w:sz w:val="20"/>
        </w:rPr>
        <w:t xml:space="preserve"> facilities that do not meet all the basic requirements to ensure ESM of wastes should find their ability to operate</w:t>
      </w:r>
      <w:r w:rsidR="00392814">
        <w:rPr>
          <w:color w:val="000000"/>
          <w:sz w:val="20"/>
        </w:rPr>
        <w:t xml:space="preserve"> and</w:t>
      </w:r>
      <w:r w:rsidRPr="00CC699F">
        <w:rPr>
          <w:color w:val="000000"/>
          <w:sz w:val="20"/>
        </w:rPr>
        <w:t xml:space="preserve"> their access to those wastes that are their business cut off.</w:t>
      </w:r>
    </w:p>
    <w:p w:rsidR="00CC699F" w:rsidRPr="00CC699F" w:rsidRDefault="0050471A" w:rsidP="009A372A">
      <w:pPr>
        <w:numPr>
          <w:ilvl w:val="0"/>
          <w:numId w:val="8"/>
        </w:numPr>
        <w:tabs>
          <w:tab w:val="left" w:pos="1985"/>
        </w:tabs>
        <w:spacing w:after="240"/>
        <w:ind w:left="1418" w:firstLine="0"/>
        <w:rPr>
          <w:sz w:val="20"/>
        </w:rPr>
      </w:pPr>
      <w:r w:rsidRPr="00CC699F">
        <w:rPr>
          <w:color w:val="000000"/>
          <w:sz w:val="20"/>
        </w:rPr>
        <w:lastRenderedPageBreak/>
        <w:t xml:space="preserve">There are positive benefits to meeting all the basic requirements of ESM of which </w:t>
      </w:r>
      <w:r w:rsidR="00CB48E0">
        <w:rPr>
          <w:color w:val="000000"/>
          <w:sz w:val="20"/>
        </w:rPr>
        <w:t>i</w:t>
      </w:r>
      <w:r w:rsidRPr="00CC699F">
        <w:rPr>
          <w:color w:val="000000"/>
          <w:sz w:val="20"/>
        </w:rPr>
        <w:t xml:space="preserve">mplementing an applicable </w:t>
      </w:r>
      <w:r w:rsidR="00C87AF3">
        <w:rPr>
          <w:color w:val="000000"/>
          <w:sz w:val="20"/>
        </w:rPr>
        <w:t>EMS</w:t>
      </w:r>
      <w:r w:rsidRPr="00CC699F">
        <w:rPr>
          <w:color w:val="000000"/>
          <w:sz w:val="20"/>
        </w:rPr>
        <w:t xml:space="preserve"> is a means for a company to improve their environmental performance. The introduction of an </w:t>
      </w:r>
      <w:r w:rsidR="00C87AF3">
        <w:rPr>
          <w:color w:val="000000"/>
          <w:sz w:val="20"/>
        </w:rPr>
        <w:t>EMS</w:t>
      </w:r>
      <w:r w:rsidRPr="00CC699F">
        <w:rPr>
          <w:color w:val="000000"/>
          <w:sz w:val="20"/>
        </w:rPr>
        <w:t>, performing audits and assessing one’s environmental performance stimulates continual improvement of the company’s environmental performance. In the process</w:t>
      </w:r>
      <w:r w:rsidR="00874008">
        <w:rPr>
          <w:color w:val="000000"/>
          <w:sz w:val="20"/>
        </w:rPr>
        <w:t>,</w:t>
      </w:r>
      <w:r w:rsidRPr="00CC699F">
        <w:rPr>
          <w:color w:val="000000"/>
          <w:sz w:val="20"/>
        </w:rPr>
        <w:t xml:space="preserve"> the company should assess its compliance with legislation and regulations. If the company gains a third party certification by an accredited assessor that may assist the company in its relationship with its competent authorities. </w:t>
      </w:r>
      <w:r w:rsidRPr="00CC699F">
        <w:rPr>
          <w:color w:val="000000"/>
          <w:sz w:val="20"/>
          <w:shd w:val="clear" w:color="auto" w:fill="FFFFFF"/>
        </w:rPr>
        <w:t>Some countries rely on third party certification instead of employing government inspectors to verify compliance with permit or registration conditions.</w:t>
      </w:r>
    </w:p>
    <w:p w:rsidR="00CC699F" w:rsidRPr="00002C0F" w:rsidRDefault="0050471A" w:rsidP="009A372A">
      <w:pPr>
        <w:numPr>
          <w:ilvl w:val="0"/>
          <w:numId w:val="8"/>
        </w:numPr>
        <w:tabs>
          <w:tab w:val="left" w:pos="1985"/>
        </w:tabs>
        <w:spacing w:after="240"/>
        <w:ind w:left="1418" w:firstLine="0"/>
        <w:rPr>
          <w:sz w:val="20"/>
        </w:rPr>
      </w:pPr>
      <w:r w:rsidRPr="00002C0F">
        <w:rPr>
          <w:color w:val="000000"/>
          <w:sz w:val="20"/>
        </w:rPr>
        <w:t xml:space="preserve">Some countries encourage companies to implement </w:t>
      </w:r>
      <w:r w:rsidR="00C87AF3">
        <w:rPr>
          <w:color w:val="000000"/>
          <w:sz w:val="20"/>
        </w:rPr>
        <w:t>EMS</w:t>
      </w:r>
      <w:r w:rsidRPr="00002C0F">
        <w:rPr>
          <w:color w:val="000000"/>
          <w:sz w:val="20"/>
        </w:rPr>
        <w:t>s by providing incentives, such as a reduced inspection frequency</w:t>
      </w:r>
      <w:r w:rsidR="000C32A5">
        <w:rPr>
          <w:color w:val="000000"/>
          <w:sz w:val="20"/>
        </w:rPr>
        <w:t>. O</w:t>
      </w:r>
      <w:r w:rsidRPr="00002C0F">
        <w:rPr>
          <w:color w:val="000000"/>
          <w:sz w:val="20"/>
        </w:rPr>
        <w:t xml:space="preserve">ther </w:t>
      </w:r>
      <w:r w:rsidR="00350164">
        <w:rPr>
          <w:color w:val="000000"/>
          <w:sz w:val="20"/>
        </w:rPr>
        <w:t xml:space="preserve">possible </w:t>
      </w:r>
      <w:r w:rsidRPr="00002C0F">
        <w:rPr>
          <w:color w:val="000000"/>
          <w:sz w:val="20"/>
        </w:rPr>
        <w:t xml:space="preserve">incentives are covered in the preceding </w:t>
      </w:r>
      <w:r w:rsidR="00CB48E0">
        <w:rPr>
          <w:color w:val="000000"/>
          <w:sz w:val="20"/>
        </w:rPr>
        <w:t>C</w:t>
      </w:r>
      <w:r w:rsidRPr="00002C0F">
        <w:rPr>
          <w:color w:val="000000"/>
          <w:sz w:val="20"/>
        </w:rPr>
        <w:t xml:space="preserve">hapter V. </w:t>
      </w:r>
      <w:r w:rsidR="00C87AF3">
        <w:rPr>
          <w:color w:val="000000"/>
          <w:sz w:val="20"/>
        </w:rPr>
        <w:t>EMS</w:t>
      </w:r>
      <w:r w:rsidRPr="00002C0F">
        <w:rPr>
          <w:color w:val="000000"/>
          <w:sz w:val="20"/>
        </w:rPr>
        <w:t>s help to evaluate both environmental and related performance through a systematic framework which should increase the companies resource and energy efficiency, and lead to a continuous reduction in waste generation and so reduce associated costs.</w:t>
      </w:r>
    </w:p>
    <w:p w:rsidR="00002C0F" w:rsidRPr="00002C0F" w:rsidRDefault="0050471A" w:rsidP="009A372A">
      <w:pPr>
        <w:numPr>
          <w:ilvl w:val="0"/>
          <w:numId w:val="8"/>
        </w:numPr>
        <w:tabs>
          <w:tab w:val="left" w:pos="1985"/>
        </w:tabs>
        <w:spacing w:after="240"/>
        <w:ind w:left="1418" w:firstLine="0"/>
        <w:rPr>
          <w:sz w:val="20"/>
        </w:rPr>
      </w:pPr>
      <w:r w:rsidRPr="00002C0F">
        <w:rPr>
          <w:color w:val="000000"/>
          <w:sz w:val="20"/>
        </w:rPr>
        <w:t xml:space="preserve">Companies certified by independent environmental verifiers may increase their credibility and reputation towards business partners and business competitors, </w:t>
      </w:r>
      <w:r w:rsidR="00874008">
        <w:rPr>
          <w:color w:val="000000"/>
          <w:sz w:val="20"/>
        </w:rPr>
        <w:t>and</w:t>
      </w:r>
      <w:r w:rsidRPr="00002C0F">
        <w:rPr>
          <w:color w:val="000000"/>
          <w:sz w:val="20"/>
        </w:rPr>
        <w:t xml:space="preserve"> towards their competent authorities. Implementation of an </w:t>
      </w:r>
      <w:r w:rsidR="00C87AF3">
        <w:rPr>
          <w:color w:val="000000"/>
          <w:sz w:val="20"/>
        </w:rPr>
        <w:t>EMS</w:t>
      </w:r>
      <w:r w:rsidRPr="00002C0F">
        <w:rPr>
          <w:color w:val="000000"/>
          <w:sz w:val="20"/>
        </w:rPr>
        <w:t xml:space="preserve"> firstly requires a strong commitment from top management and thereafter typically involves employees at all levels. The implementation of the </w:t>
      </w:r>
      <w:r w:rsidR="00C87AF3">
        <w:rPr>
          <w:color w:val="000000"/>
          <w:sz w:val="20"/>
        </w:rPr>
        <w:t>EMS</w:t>
      </w:r>
      <w:r w:rsidRPr="00002C0F">
        <w:rPr>
          <w:color w:val="000000"/>
          <w:sz w:val="20"/>
        </w:rPr>
        <w:t xml:space="preserve"> will empower and motivate employees. Increased staff involvement and their increased awareness may well lead to cost saving innovations.</w:t>
      </w:r>
    </w:p>
    <w:p w:rsidR="00002C0F" w:rsidRPr="00002C0F" w:rsidRDefault="0050471A" w:rsidP="009A372A">
      <w:pPr>
        <w:numPr>
          <w:ilvl w:val="0"/>
          <w:numId w:val="8"/>
        </w:numPr>
        <w:tabs>
          <w:tab w:val="left" w:pos="1985"/>
        </w:tabs>
        <w:spacing w:after="240"/>
        <w:ind w:left="1418" w:firstLine="0"/>
        <w:rPr>
          <w:sz w:val="20"/>
        </w:rPr>
      </w:pPr>
      <w:r w:rsidRPr="00002C0F">
        <w:rPr>
          <w:color w:val="000000"/>
          <w:sz w:val="20"/>
        </w:rPr>
        <w:t>A key point for the future is the difficult</w:t>
      </w:r>
      <w:r w:rsidR="000C32A5">
        <w:rPr>
          <w:color w:val="000000"/>
          <w:sz w:val="20"/>
        </w:rPr>
        <w:t>y</w:t>
      </w:r>
      <w:r w:rsidRPr="00002C0F">
        <w:rPr>
          <w:color w:val="000000"/>
          <w:sz w:val="20"/>
        </w:rPr>
        <w:t xml:space="preserve"> to achieve </w:t>
      </w:r>
      <w:r w:rsidR="000C32A5">
        <w:rPr>
          <w:color w:val="000000"/>
          <w:sz w:val="20"/>
        </w:rPr>
        <w:t xml:space="preserve">a </w:t>
      </w:r>
      <w:r w:rsidRPr="00002C0F">
        <w:rPr>
          <w:color w:val="000000"/>
          <w:sz w:val="20"/>
        </w:rPr>
        <w:t xml:space="preserve">level playing field between economic operators in the same business. </w:t>
      </w:r>
      <w:r w:rsidR="00936749">
        <w:rPr>
          <w:color w:val="000000"/>
          <w:sz w:val="20"/>
        </w:rPr>
        <w:t>Meeting the requirements of the</w:t>
      </w:r>
      <w:r w:rsidR="00350164">
        <w:rPr>
          <w:color w:val="000000"/>
          <w:sz w:val="20"/>
        </w:rPr>
        <w:t xml:space="preserve"> </w:t>
      </w:r>
      <w:r w:rsidRPr="00002C0F">
        <w:rPr>
          <w:color w:val="000000"/>
          <w:sz w:val="20"/>
        </w:rPr>
        <w:t>ESM Framework will enable companies to be recognised globally.</w:t>
      </w:r>
    </w:p>
    <w:p w:rsidR="00002C0F" w:rsidRPr="00D201E8" w:rsidRDefault="0050471A" w:rsidP="009A372A">
      <w:pPr>
        <w:numPr>
          <w:ilvl w:val="0"/>
          <w:numId w:val="8"/>
        </w:numPr>
        <w:tabs>
          <w:tab w:val="left" w:pos="1985"/>
        </w:tabs>
        <w:spacing w:after="240"/>
        <w:ind w:left="1418" w:firstLine="0"/>
        <w:rPr>
          <w:sz w:val="20"/>
        </w:rPr>
      </w:pPr>
      <w:r w:rsidRPr="00002C0F">
        <w:rPr>
          <w:color w:val="000000"/>
          <w:sz w:val="20"/>
        </w:rPr>
        <w:t xml:space="preserve">It would be desirable that facilities with specialist skills for managing hazardous wastes and other wastes which come under the scope of the Basel Convention are recognised. Some systems for the use of </w:t>
      </w:r>
      <w:r w:rsidR="00936749">
        <w:rPr>
          <w:color w:val="000000"/>
          <w:sz w:val="20"/>
        </w:rPr>
        <w:t>c</w:t>
      </w:r>
      <w:r w:rsidRPr="00002C0F">
        <w:rPr>
          <w:color w:val="000000"/>
          <w:sz w:val="20"/>
        </w:rPr>
        <w:t xml:space="preserve">ompetent </w:t>
      </w:r>
      <w:r w:rsidR="00936749">
        <w:rPr>
          <w:color w:val="000000"/>
          <w:sz w:val="20"/>
        </w:rPr>
        <w:t>a</w:t>
      </w:r>
      <w:r w:rsidRPr="00002C0F">
        <w:rPr>
          <w:color w:val="000000"/>
          <w:sz w:val="20"/>
        </w:rPr>
        <w:t>uthorities and other stakeholders give international recognition to what are termed pre-consented facilities.</w:t>
      </w:r>
    </w:p>
    <w:p w:rsidR="00A140D6" w:rsidRPr="00A02ED3" w:rsidRDefault="00A02ED3" w:rsidP="00A02ED3">
      <w:pPr>
        <w:pStyle w:val="Heading1"/>
        <w:keepNext w:val="0"/>
        <w:tabs>
          <w:tab w:val="clear" w:pos="1247"/>
          <w:tab w:val="clear" w:pos="1814"/>
          <w:tab w:val="right" w:pos="993"/>
          <w:tab w:val="left" w:pos="1418"/>
        </w:tabs>
        <w:ind w:left="0" w:firstLine="0"/>
        <w:rPr>
          <w:bCs/>
          <w:spacing w:val="20"/>
          <w:szCs w:val="28"/>
        </w:rPr>
      </w:pPr>
      <w:r>
        <w:rPr>
          <w:bCs/>
          <w:spacing w:val="20"/>
          <w:szCs w:val="28"/>
          <w:lang w:val="fr-CH"/>
        </w:rPr>
        <w:tab/>
      </w:r>
      <w:bookmarkStart w:id="33" w:name="_Toc478467397"/>
      <w:r w:rsidR="00A140D6" w:rsidRPr="00A02ED3">
        <w:rPr>
          <w:bCs/>
          <w:spacing w:val="20"/>
          <w:szCs w:val="28"/>
        </w:rPr>
        <w:t>V</w:t>
      </w:r>
      <w:r w:rsidR="00CC699F">
        <w:rPr>
          <w:bCs/>
          <w:spacing w:val="20"/>
          <w:szCs w:val="28"/>
          <w:lang w:val="en-US"/>
        </w:rPr>
        <w:t>I</w:t>
      </w:r>
      <w:proofErr w:type="spellStart"/>
      <w:r w:rsidR="00A140D6" w:rsidRPr="00A02ED3">
        <w:rPr>
          <w:bCs/>
          <w:spacing w:val="20"/>
          <w:szCs w:val="28"/>
        </w:rPr>
        <w:t>I</w:t>
      </w:r>
      <w:proofErr w:type="spellEnd"/>
      <w:r w:rsidR="00A140D6" w:rsidRPr="00A02ED3">
        <w:rPr>
          <w:bCs/>
          <w:spacing w:val="20"/>
          <w:szCs w:val="28"/>
        </w:rPr>
        <w:t>.</w:t>
      </w:r>
      <w:r w:rsidR="00A140D6" w:rsidRPr="00A02ED3">
        <w:rPr>
          <w:bCs/>
          <w:spacing w:val="20"/>
          <w:szCs w:val="28"/>
        </w:rPr>
        <w:tab/>
        <w:t>Conclusions</w:t>
      </w:r>
      <w:bookmarkEnd w:id="33"/>
    </w:p>
    <w:p w:rsidR="00A140D6" w:rsidRPr="00D201E8" w:rsidRDefault="00A140D6" w:rsidP="009A372A">
      <w:pPr>
        <w:numPr>
          <w:ilvl w:val="0"/>
          <w:numId w:val="8"/>
        </w:numPr>
        <w:tabs>
          <w:tab w:val="left" w:pos="1985"/>
        </w:tabs>
        <w:spacing w:after="240"/>
        <w:ind w:left="1418" w:firstLine="0"/>
        <w:rPr>
          <w:sz w:val="20"/>
        </w:rPr>
      </w:pPr>
      <w:r w:rsidRPr="00D201E8">
        <w:rPr>
          <w:sz w:val="20"/>
        </w:rPr>
        <w:t>In reviewing the collected material it can be concluded that a wide range of incentives have been identified and are available wit</w:t>
      </w:r>
      <w:r w:rsidR="00874008">
        <w:rPr>
          <w:sz w:val="20"/>
        </w:rPr>
        <w:t>h which to initiate actions by governments, NGOs and waste management f</w:t>
      </w:r>
      <w:r w:rsidRPr="00D201E8">
        <w:rPr>
          <w:sz w:val="20"/>
        </w:rPr>
        <w:t>acilities.</w:t>
      </w:r>
    </w:p>
    <w:p w:rsidR="00A140D6" w:rsidRPr="00BC4596" w:rsidRDefault="00A140D6" w:rsidP="009A372A">
      <w:pPr>
        <w:numPr>
          <w:ilvl w:val="0"/>
          <w:numId w:val="8"/>
        </w:numPr>
        <w:tabs>
          <w:tab w:val="left" w:pos="1985"/>
        </w:tabs>
        <w:spacing w:after="240"/>
        <w:ind w:left="1418" w:firstLine="0"/>
        <w:rPr>
          <w:b/>
          <w:sz w:val="20"/>
        </w:rPr>
      </w:pPr>
      <w:r w:rsidRPr="00D201E8">
        <w:rPr>
          <w:sz w:val="20"/>
        </w:rPr>
        <w:t>However, whilst this report gathers together some details of the necessary business conditions and incentives to encourage the private sector to invest in ESM</w:t>
      </w:r>
      <w:r>
        <w:rPr>
          <w:sz w:val="20"/>
        </w:rPr>
        <w:t>,</w:t>
      </w:r>
      <w:r w:rsidRPr="00D201E8">
        <w:rPr>
          <w:sz w:val="20"/>
        </w:rPr>
        <w:t xml:space="preserve"> there are many case studies that go into sufficient detail to enable easy replication across other jurisdictions. </w:t>
      </w:r>
      <w:r w:rsidRPr="00BC4596">
        <w:rPr>
          <w:b/>
          <w:sz w:val="20"/>
        </w:rPr>
        <w:t>It could therefore be beneficial to gather case studies and best practices regarding each and all of the incentives that have encouraged investment in new ESM waste facilities, and those that have led to the successful upgrade of existing waste facilities to an ESM level.</w:t>
      </w:r>
    </w:p>
    <w:p w:rsidR="00A140D6" w:rsidRPr="00D201E8" w:rsidRDefault="00A140D6" w:rsidP="009A372A">
      <w:pPr>
        <w:numPr>
          <w:ilvl w:val="0"/>
          <w:numId w:val="8"/>
        </w:numPr>
        <w:tabs>
          <w:tab w:val="left" w:pos="1985"/>
        </w:tabs>
        <w:spacing w:after="240"/>
        <w:ind w:left="1418" w:firstLine="0"/>
        <w:rPr>
          <w:b/>
          <w:sz w:val="20"/>
        </w:rPr>
      </w:pPr>
      <w:r w:rsidRPr="00D201E8">
        <w:rPr>
          <w:sz w:val="20"/>
        </w:rPr>
        <w:t xml:space="preserve">Engaging with the Economic Departments of well recognised Universities in the different UN Regions, or via their related </w:t>
      </w:r>
      <w:r w:rsidRPr="00D201E8">
        <w:rPr>
          <w:b/>
          <w:sz w:val="20"/>
        </w:rPr>
        <w:t>Basel Convention Regional and Coordinating Centres (BCRCs)</w:t>
      </w:r>
      <w:r w:rsidRPr="00D201E8">
        <w:rPr>
          <w:rStyle w:val="FootnoteReference"/>
          <w:b/>
        </w:rPr>
        <w:footnoteReference w:id="19"/>
      </w:r>
      <w:r w:rsidRPr="00D201E8">
        <w:rPr>
          <w:b/>
          <w:sz w:val="20"/>
        </w:rPr>
        <w:t xml:space="preserve"> </w:t>
      </w:r>
      <w:r w:rsidRPr="00D201E8">
        <w:rPr>
          <w:sz w:val="20"/>
        </w:rPr>
        <w:t xml:space="preserve">may be a way forward to provide such case studies of the economics of hazardous waste and other waste management in both developing and </w:t>
      </w:r>
      <w:r w:rsidR="001E58C9">
        <w:rPr>
          <w:sz w:val="20"/>
        </w:rPr>
        <w:t>developed</w:t>
      </w:r>
      <w:r w:rsidRPr="00D201E8">
        <w:rPr>
          <w:sz w:val="20"/>
        </w:rPr>
        <w:t xml:space="preserve"> countries where progress towards ESM, and ESM is achieved, for those waste streams. </w:t>
      </w:r>
    </w:p>
    <w:p w:rsidR="00A02ED3" w:rsidRPr="00590420" w:rsidRDefault="00A140D6" w:rsidP="00A02ED3">
      <w:pPr>
        <w:pStyle w:val="Heading1"/>
        <w:keepNext w:val="0"/>
        <w:tabs>
          <w:tab w:val="clear" w:pos="1247"/>
          <w:tab w:val="clear" w:pos="1814"/>
          <w:tab w:val="right" w:pos="993"/>
        </w:tabs>
        <w:spacing w:after="360"/>
        <w:ind w:left="0" w:firstLine="0"/>
        <w:rPr>
          <w:b w:val="0"/>
          <w:bCs/>
          <w:caps/>
          <w:lang w:val="en-US"/>
        </w:rPr>
      </w:pPr>
      <w:r w:rsidRPr="00D201E8">
        <w:rPr>
          <w:sz w:val="20"/>
        </w:rPr>
        <w:br w:type="page"/>
      </w:r>
      <w:bookmarkStart w:id="34" w:name="_Toc478467398"/>
      <w:r w:rsidR="00F4530D">
        <w:rPr>
          <w:bCs/>
          <w:spacing w:val="20"/>
          <w:szCs w:val="28"/>
          <w:lang w:val="en-US"/>
        </w:rPr>
        <w:lastRenderedPageBreak/>
        <w:t>Annex</w:t>
      </w:r>
      <w:r w:rsidR="00A02ED3" w:rsidRPr="00A02ED3">
        <w:rPr>
          <w:bCs/>
          <w:spacing w:val="20"/>
          <w:szCs w:val="28"/>
          <w:lang w:val="en-US"/>
        </w:rPr>
        <w:t xml:space="preserve"> </w:t>
      </w:r>
      <w:r w:rsidR="00F4530D">
        <w:rPr>
          <w:bCs/>
          <w:spacing w:val="20"/>
          <w:szCs w:val="28"/>
          <w:lang w:val="en-US"/>
        </w:rPr>
        <w:t>I</w:t>
      </w:r>
      <w:r w:rsidR="00A02ED3" w:rsidRPr="00A02ED3">
        <w:rPr>
          <w:bCs/>
          <w:spacing w:val="20"/>
          <w:szCs w:val="28"/>
          <w:lang w:val="en-US"/>
        </w:rPr>
        <w:t xml:space="preserve"> – References</w:t>
      </w:r>
      <w:bookmarkEnd w:id="34"/>
    </w:p>
    <w:p w:rsidR="00A02ED3" w:rsidRPr="003904BF" w:rsidRDefault="00A02ED3" w:rsidP="009A372A">
      <w:pPr>
        <w:numPr>
          <w:ilvl w:val="0"/>
          <w:numId w:val="9"/>
        </w:numPr>
        <w:spacing w:before="120" w:after="120"/>
        <w:ind w:left="1276" w:hanging="425"/>
        <w:contextualSpacing/>
        <w:rPr>
          <w:iCs/>
          <w:sz w:val="20"/>
          <w:lang w:val="en-US"/>
        </w:rPr>
      </w:pPr>
      <w:r>
        <w:rPr>
          <w:iCs/>
          <w:sz w:val="20"/>
          <w:lang w:val="en-US"/>
        </w:rPr>
        <w:t>UN</w:t>
      </w:r>
      <w:r w:rsidRPr="00D201E8">
        <w:rPr>
          <w:iCs/>
          <w:sz w:val="20"/>
          <w:lang w:val="en-US"/>
        </w:rPr>
        <w:t>EP Basel Convention Framework for the Environmentally Sound Management of Hazardous Wastes and Other Waste –</w:t>
      </w:r>
      <w:r>
        <w:rPr>
          <w:sz w:val="20"/>
          <w:lang w:val="en-US"/>
        </w:rPr>
        <w:t xml:space="preserve"> </w:t>
      </w:r>
      <w:hyperlink r:id="rId12" w:history="1">
        <w:r w:rsidRPr="00A02ED3">
          <w:rPr>
            <w:rStyle w:val="Hyperlink"/>
            <w:lang w:val="en-US"/>
          </w:rPr>
          <w:t>http://www.basel.int/Portals/4/Download.aspx?d=UNEP-CHW.11-3-Add.1-Rev.1.English.pdf</w:t>
        </w:r>
      </w:hyperlink>
      <w:r w:rsidRPr="003904BF">
        <w:rPr>
          <w:sz w:val="20"/>
        </w:rPr>
        <w:t xml:space="preserve"> </w:t>
      </w:r>
    </w:p>
    <w:p w:rsidR="00A02ED3" w:rsidRPr="003904BF" w:rsidRDefault="00A02ED3" w:rsidP="00A02ED3">
      <w:pPr>
        <w:spacing w:before="120" w:after="120"/>
        <w:ind w:left="1418"/>
        <w:contextualSpacing/>
        <w:rPr>
          <w:iCs/>
          <w:sz w:val="20"/>
          <w:lang w:val="en-US"/>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 xml:space="preserve">OECD: Guidance Document on Extended Producer Responsibility - </w:t>
      </w:r>
      <w:hyperlink r:id="rId13" w:history="1">
        <w:r w:rsidRPr="00D201E8">
          <w:rPr>
            <w:rStyle w:val="Hyperlink"/>
            <w:iCs/>
            <w:lang w:val="en-US"/>
          </w:rPr>
          <w:t>http://dx.doi.org/10.1787/9789264189867-en</w:t>
        </w:r>
      </w:hyperlink>
      <w:r w:rsidRPr="00D201E8">
        <w:rPr>
          <w:iCs/>
          <w:sz w:val="20"/>
          <w:lang w:val="en-US"/>
        </w:rPr>
        <w:t xml:space="preserve"> </w:t>
      </w:r>
    </w:p>
    <w:p w:rsidR="00A02ED3" w:rsidRPr="00D201E8" w:rsidRDefault="00A02ED3" w:rsidP="00A02ED3">
      <w:pPr>
        <w:spacing w:before="120" w:after="120"/>
        <w:contextualSpacing/>
        <w:rPr>
          <w:iCs/>
          <w:sz w:val="20"/>
          <w:lang w:val="en-US"/>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OECD: Guidance Document on Sustainable Materials Management -</w:t>
      </w:r>
      <w:hyperlink r:id="rId14" w:history="1">
        <w:r w:rsidRPr="00D201E8">
          <w:rPr>
            <w:rStyle w:val="Hyperlink"/>
            <w:iCs/>
            <w:lang w:val="en-US"/>
          </w:rPr>
          <w:t>http://www.oecd.org/env/waste/smm-makingbetteruseofresources.htm</w:t>
        </w:r>
      </w:hyperlink>
      <w:r w:rsidRPr="00D201E8">
        <w:rPr>
          <w:iCs/>
          <w:sz w:val="20"/>
          <w:lang w:val="en-US"/>
        </w:rPr>
        <w:t xml:space="preserve"> </w:t>
      </w:r>
    </w:p>
    <w:p w:rsidR="00A02ED3" w:rsidRPr="00D201E8" w:rsidRDefault="00A02ED3" w:rsidP="00A02ED3">
      <w:pPr>
        <w:spacing w:before="120" w:after="120"/>
        <w:contextualSpacing/>
        <w:rPr>
          <w:iCs/>
          <w:sz w:val="20"/>
          <w:lang w:val="en-US"/>
        </w:rPr>
      </w:pPr>
    </w:p>
    <w:p w:rsidR="00A02ED3" w:rsidRDefault="00A02ED3" w:rsidP="009A372A">
      <w:pPr>
        <w:numPr>
          <w:ilvl w:val="0"/>
          <w:numId w:val="9"/>
        </w:numPr>
        <w:spacing w:before="120" w:after="120"/>
        <w:ind w:left="1276" w:hanging="425"/>
        <w:contextualSpacing/>
        <w:rPr>
          <w:iCs/>
          <w:sz w:val="20"/>
          <w:lang w:val="fr-BE"/>
        </w:rPr>
      </w:pPr>
      <w:r w:rsidRPr="00D201E8">
        <w:rPr>
          <w:iCs/>
          <w:sz w:val="20"/>
          <w:lang w:val="fr-BE"/>
        </w:rPr>
        <w:t>ISO 14000 –</w:t>
      </w:r>
      <w:r>
        <w:rPr>
          <w:sz w:val="20"/>
        </w:rPr>
        <w:t xml:space="preserve"> </w:t>
      </w:r>
      <w:hyperlink r:id="rId15" w:history="1">
        <w:r w:rsidRPr="003A6DF4">
          <w:rPr>
            <w:rStyle w:val="Hyperlink"/>
            <w:iCs/>
            <w:lang w:val="fr-BE"/>
          </w:rPr>
          <w:t>http://www.iso.org/iso/iso14000</w:t>
        </w:r>
      </w:hyperlink>
      <w:r w:rsidRPr="003904BF">
        <w:rPr>
          <w:iCs/>
          <w:sz w:val="20"/>
          <w:lang w:val="fr-BE"/>
        </w:rPr>
        <w:t xml:space="preserve"> </w:t>
      </w:r>
    </w:p>
    <w:p w:rsidR="00A02ED3" w:rsidRPr="003904BF" w:rsidRDefault="00A02ED3" w:rsidP="00A02ED3">
      <w:pPr>
        <w:spacing w:before="120" w:after="120"/>
        <w:ind w:left="1418"/>
        <w:contextualSpacing/>
        <w:rPr>
          <w:iCs/>
          <w:sz w:val="20"/>
          <w:lang w:val="fr-BE"/>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 xml:space="preserve">EMAS - The EU Eco-Management and Audit Scheme (EMAS) - </w:t>
      </w:r>
      <w:hyperlink r:id="rId16" w:history="1">
        <w:r w:rsidRPr="00D201E8">
          <w:rPr>
            <w:rStyle w:val="Hyperlink"/>
            <w:iCs/>
            <w:lang w:val="en-US"/>
          </w:rPr>
          <w:t>http://ec.europa.eu/environment/emas/index_en.htm</w:t>
        </w:r>
      </w:hyperlink>
      <w:r w:rsidRPr="00D201E8">
        <w:rPr>
          <w:iCs/>
          <w:sz w:val="20"/>
          <w:lang w:val="en-US"/>
        </w:rPr>
        <w:t xml:space="preserve"> </w:t>
      </w:r>
    </w:p>
    <w:p w:rsidR="00A02ED3" w:rsidRPr="00D201E8" w:rsidRDefault="00A02ED3" w:rsidP="00A02ED3">
      <w:pPr>
        <w:spacing w:before="120" w:after="120"/>
        <w:ind w:left="1418"/>
        <w:contextualSpacing/>
        <w:rPr>
          <w:iCs/>
          <w:sz w:val="20"/>
          <w:lang w:val="en-US"/>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 xml:space="preserve">Cost and benefits of EMAS - </w:t>
      </w:r>
      <w:hyperlink r:id="rId17" w:history="1">
        <w:r w:rsidRPr="00D201E8">
          <w:rPr>
            <w:rStyle w:val="Hyperlink"/>
            <w:iCs/>
            <w:lang w:val="en-US"/>
          </w:rPr>
          <w:t>http://ec.europa.eu/environment/emas/pdf/news/costs_and_benefits_of_emas.pdf</w:t>
        </w:r>
      </w:hyperlink>
      <w:r w:rsidRPr="00D201E8">
        <w:rPr>
          <w:iCs/>
          <w:sz w:val="20"/>
          <w:lang w:val="en-US"/>
        </w:rPr>
        <w:t xml:space="preserve"> </w:t>
      </w:r>
    </w:p>
    <w:p w:rsidR="00A02ED3" w:rsidRPr="00D201E8" w:rsidRDefault="00A02ED3" w:rsidP="00A02ED3">
      <w:pPr>
        <w:spacing w:before="120" w:after="120"/>
        <w:ind w:left="1418"/>
        <w:contextualSpacing/>
        <w:rPr>
          <w:iCs/>
          <w:sz w:val="20"/>
          <w:lang w:val="en-US"/>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 xml:space="preserve">Integrated Solid Waste Management in Northern Lisbon - </w:t>
      </w:r>
      <w:hyperlink r:id="rId18" w:history="1">
        <w:r w:rsidRPr="00D201E8">
          <w:rPr>
            <w:rStyle w:val="Hyperlink"/>
            <w:iCs/>
            <w:lang w:val="en-US"/>
          </w:rPr>
          <w:t>http://ec.europa.eu/regional_policy/sources/docgener/evaluation/pdf/projects/valorsul_lisbon.pdf</w:t>
        </w:r>
      </w:hyperlink>
      <w:r w:rsidRPr="00D201E8">
        <w:rPr>
          <w:iCs/>
          <w:sz w:val="20"/>
          <w:lang w:val="en-US"/>
        </w:rPr>
        <w:t xml:space="preserve"> </w:t>
      </w:r>
    </w:p>
    <w:p w:rsidR="00A02ED3" w:rsidRPr="00D201E8" w:rsidRDefault="00A02ED3" w:rsidP="00A02ED3">
      <w:pPr>
        <w:spacing w:before="120" w:after="120"/>
        <w:ind w:left="1418"/>
        <w:contextualSpacing/>
        <w:rPr>
          <w:iCs/>
          <w:sz w:val="20"/>
          <w:lang w:val="en-US"/>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 xml:space="preserve">The OECD Guidelines for Multinational Enterprises - </w:t>
      </w:r>
      <w:hyperlink r:id="rId19" w:history="1">
        <w:r w:rsidRPr="00D201E8">
          <w:rPr>
            <w:rStyle w:val="Hyperlink"/>
            <w:iCs/>
            <w:lang w:val="en-US"/>
          </w:rPr>
          <w:t>http://www.oecd.org/corporate/mne/48004323.pdf</w:t>
        </w:r>
      </w:hyperlink>
      <w:r w:rsidRPr="00D201E8">
        <w:rPr>
          <w:iCs/>
          <w:sz w:val="20"/>
          <w:lang w:val="en-US"/>
        </w:rPr>
        <w:t xml:space="preserve"> </w:t>
      </w:r>
    </w:p>
    <w:p w:rsidR="00A02ED3" w:rsidRPr="00D201E8" w:rsidRDefault="00A02ED3" w:rsidP="00A02ED3">
      <w:pPr>
        <w:spacing w:before="120" w:after="120"/>
        <w:ind w:left="1418"/>
        <w:contextualSpacing/>
        <w:rPr>
          <w:iCs/>
          <w:sz w:val="20"/>
          <w:lang w:val="en-US"/>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 xml:space="preserve">Papers on investment ex: Business and Industry Advisory Committee to the OECD - </w:t>
      </w:r>
      <w:proofErr w:type="spellStart"/>
      <w:r w:rsidRPr="00D201E8">
        <w:rPr>
          <w:iCs/>
          <w:sz w:val="20"/>
          <w:lang w:val="en-US"/>
        </w:rPr>
        <w:t>Comité</w:t>
      </w:r>
      <w:proofErr w:type="spellEnd"/>
      <w:r w:rsidRPr="00D201E8">
        <w:rPr>
          <w:iCs/>
          <w:sz w:val="20"/>
          <w:lang w:val="en-US"/>
        </w:rPr>
        <w:t xml:space="preserve"> </w:t>
      </w:r>
      <w:proofErr w:type="spellStart"/>
      <w:r w:rsidRPr="00D201E8">
        <w:rPr>
          <w:iCs/>
          <w:sz w:val="20"/>
          <w:lang w:val="en-US"/>
        </w:rPr>
        <w:t>Consultatif</w:t>
      </w:r>
      <w:proofErr w:type="spellEnd"/>
      <w:r w:rsidRPr="00D201E8">
        <w:rPr>
          <w:iCs/>
          <w:sz w:val="20"/>
          <w:lang w:val="en-US"/>
        </w:rPr>
        <w:t xml:space="preserve"> </w:t>
      </w:r>
      <w:proofErr w:type="spellStart"/>
      <w:r w:rsidRPr="00D201E8">
        <w:rPr>
          <w:iCs/>
          <w:sz w:val="20"/>
          <w:lang w:val="en-US"/>
        </w:rPr>
        <w:t>Economique</w:t>
      </w:r>
      <w:proofErr w:type="spellEnd"/>
      <w:r w:rsidRPr="00D201E8">
        <w:rPr>
          <w:iCs/>
          <w:sz w:val="20"/>
          <w:lang w:val="en-US"/>
        </w:rPr>
        <w:t xml:space="preserve"> et </w:t>
      </w:r>
      <w:proofErr w:type="spellStart"/>
      <w:r w:rsidRPr="00D201E8">
        <w:rPr>
          <w:iCs/>
          <w:sz w:val="20"/>
          <w:lang w:val="en-US"/>
        </w:rPr>
        <w:t>Industriel</w:t>
      </w:r>
      <w:proofErr w:type="spellEnd"/>
      <w:r w:rsidRPr="00D201E8">
        <w:rPr>
          <w:iCs/>
          <w:sz w:val="20"/>
          <w:lang w:val="en-US"/>
        </w:rPr>
        <w:t xml:space="preserve"> </w:t>
      </w:r>
      <w:proofErr w:type="spellStart"/>
      <w:r w:rsidRPr="00D201E8">
        <w:rPr>
          <w:iCs/>
          <w:sz w:val="20"/>
          <w:lang w:val="en-US"/>
        </w:rPr>
        <w:t>Auprès</w:t>
      </w:r>
      <w:proofErr w:type="spellEnd"/>
      <w:r w:rsidRPr="00D201E8">
        <w:rPr>
          <w:iCs/>
          <w:sz w:val="20"/>
          <w:lang w:val="en-US"/>
        </w:rPr>
        <w:t xml:space="preserve"> de l’ OCDE - </w:t>
      </w:r>
      <w:hyperlink r:id="rId20" w:history="1">
        <w:r w:rsidRPr="00D201E8">
          <w:rPr>
            <w:rStyle w:val="Hyperlink"/>
            <w:iCs/>
            <w:lang w:val="en-US"/>
          </w:rPr>
          <w:t>http://biac.org/major-publications/</w:t>
        </w:r>
      </w:hyperlink>
      <w:r w:rsidRPr="00D201E8">
        <w:rPr>
          <w:iCs/>
          <w:sz w:val="20"/>
          <w:lang w:val="en-US"/>
        </w:rPr>
        <w:t xml:space="preserve"> and </w:t>
      </w:r>
      <w:hyperlink r:id="rId21" w:history="1">
        <w:r w:rsidRPr="00D201E8">
          <w:rPr>
            <w:rStyle w:val="Hyperlink"/>
            <w:iCs/>
            <w:lang w:val="en-US"/>
          </w:rPr>
          <w:t>http://biac.org/wp-content/uploads/2014/12/141216-BIAC-at-DAC-HLM1.pdf</w:t>
        </w:r>
      </w:hyperlink>
      <w:r w:rsidRPr="00D201E8">
        <w:rPr>
          <w:iCs/>
          <w:sz w:val="20"/>
          <w:lang w:val="en-US"/>
        </w:rPr>
        <w:t xml:space="preserve"> </w:t>
      </w:r>
    </w:p>
    <w:p w:rsidR="00A02ED3" w:rsidRPr="00D201E8" w:rsidRDefault="00A02ED3" w:rsidP="00A02ED3">
      <w:pPr>
        <w:spacing w:before="120" w:after="120"/>
        <w:ind w:left="1418"/>
        <w:contextualSpacing/>
        <w:rPr>
          <w:iCs/>
          <w:sz w:val="20"/>
          <w:lang w:val="en-US"/>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 xml:space="preserve">Economic Instruments for Environmental Protection - </w:t>
      </w:r>
      <w:hyperlink r:id="rId22" w:history="1">
        <w:r w:rsidRPr="00D201E8">
          <w:rPr>
            <w:rStyle w:val="Hyperlink"/>
            <w:iCs/>
            <w:lang w:val="en-US"/>
          </w:rPr>
          <w:t>http://www.unep.ch/etu/publications/UNEP_Econ_Inst.PDF</w:t>
        </w:r>
      </w:hyperlink>
      <w:r w:rsidRPr="00D201E8">
        <w:rPr>
          <w:iCs/>
          <w:sz w:val="20"/>
          <w:lang w:val="en-US"/>
        </w:rPr>
        <w:t xml:space="preserve"> </w:t>
      </w:r>
    </w:p>
    <w:p w:rsidR="00A02ED3" w:rsidRPr="00D201E8" w:rsidRDefault="00A02ED3" w:rsidP="00A02ED3">
      <w:pPr>
        <w:spacing w:before="120" w:after="120"/>
        <w:ind w:left="1418"/>
        <w:contextualSpacing/>
        <w:rPr>
          <w:iCs/>
          <w:sz w:val="20"/>
          <w:lang w:val="en-US"/>
        </w:rPr>
      </w:pPr>
    </w:p>
    <w:p w:rsidR="00A02ED3" w:rsidRDefault="00A02ED3" w:rsidP="009A372A">
      <w:pPr>
        <w:numPr>
          <w:ilvl w:val="0"/>
          <w:numId w:val="9"/>
        </w:numPr>
        <w:spacing w:before="120" w:after="120"/>
        <w:ind w:left="1276" w:hanging="425"/>
        <w:contextualSpacing/>
        <w:rPr>
          <w:iCs/>
          <w:sz w:val="20"/>
          <w:lang w:val="en-US"/>
        </w:rPr>
      </w:pPr>
      <w:r w:rsidRPr="00D201E8">
        <w:rPr>
          <w:iCs/>
          <w:sz w:val="20"/>
          <w:lang w:val="en-US"/>
        </w:rPr>
        <w:t xml:space="preserve">Policy for Fostering “Sound” Recycling Industries: Institute of Developing Economies, Japan External Trade Organization (IDE-JETRO) URL: </w:t>
      </w:r>
      <w:hyperlink r:id="rId23" w:history="1">
        <w:r w:rsidRPr="00D201E8">
          <w:rPr>
            <w:rStyle w:val="Hyperlink"/>
            <w:iCs/>
            <w:lang w:val="en-US"/>
          </w:rPr>
          <w:t>http://www.ide.go.jp/</w:t>
        </w:r>
      </w:hyperlink>
      <w:r w:rsidRPr="00D201E8">
        <w:rPr>
          <w:iCs/>
          <w:sz w:val="20"/>
          <w:lang w:val="en-US"/>
        </w:rPr>
        <w:t xml:space="preserve"> </w:t>
      </w:r>
    </w:p>
    <w:p w:rsidR="00A02ED3" w:rsidRPr="00D201E8" w:rsidRDefault="00A02ED3" w:rsidP="00A02ED3">
      <w:pPr>
        <w:spacing w:before="120" w:after="120"/>
        <w:ind w:left="1418"/>
        <w:contextualSpacing/>
        <w:rPr>
          <w:iCs/>
          <w:sz w:val="20"/>
          <w:lang w:val="en-US"/>
        </w:rPr>
      </w:pPr>
    </w:p>
    <w:p w:rsidR="00A02ED3" w:rsidRPr="00D201E8" w:rsidRDefault="00A02ED3" w:rsidP="00A02ED3">
      <w:pPr>
        <w:spacing w:before="120" w:after="120"/>
        <w:contextualSpacing/>
        <w:rPr>
          <w:iCs/>
          <w:sz w:val="20"/>
          <w:lang w:val="en-US"/>
        </w:rPr>
      </w:pPr>
    </w:p>
    <w:p w:rsidR="00D172F5" w:rsidRPr="003904BF" w:rsidRDefault="00D172F5" w:rsidP="00D172F5">
      <w:pPr>
        <w:pStyle w:val="Heading1"/>
        <w:keepNext w:val="0"/>
        <w:tabs>
          <w:tab w:val="clear" w:pos="1247"/>
          <w:tab w:val="clear" w:pos="1814"/>
          <w:tab w:val="right" w:pos="993"/>
        </w:tabs>
        <w:spacing w:after="240"/>
        <w:ind w:left="0" w:firstLine="0"/>
        <w:rPr>
          <w:b w:val="0"/>
          <w:bCs/>
          <w:lang w:val="en-US"/>
        </w:rPr>
      </w:pPr>
      <w:r>
        <w:rPr>
          <w:sz w:val="20"/>
        </w:rPr>
        <w:br w:type="page"/>
      </w:r>
      <w:bookmarkStart w:id="35" w:name="_Toc478467399"/>
      <w:r w:rsidR="00F4530D">
        <w:rPr>
          <w:bCs/>
          <w:spacing w:val="20"/>
          <w:szCs w:val="28"/>
          <w:lang w:val="en-US"/>
        </w:rPr>
        <w:lastRenderedPageBreak/>
        <w:t>Annex</w:t>
      </w:r>
      <w:r w:rsidRPr="00D172F5">
        <w:rPr>
          <w:bCs/>
          <w:spacing w:val="20"/>
          <w:szCs w:val="28"/>
          <w:lang w:val="en-US"/>
        </w:rPr>
        <w:t xml:space="preserve"> </w:t>
      </w:r>
      <w:r w:rsidR="00F4530D">
        <w:rPr>
          <w:bCs/>
          <w:spacing w:val="20"/>
          <w:szCs w:val="28"/>
          <w:lang w:val="en-US"/>
        </w:rPr>
        <w:t>II</w:t>
      </w:r>
      <w:r w:rsidRPr="00D172F5">
        <w:rPr>
          <w:bCs/>
          <w:spacing w:val="20"/>
          <w:szCs w:val="28"/>
          <w:lang w:val="en-US"/>
        </w:rPr>
        <w:t xml:space="preserve"> – Adopted Technical Guidelines</w:t>
      </w:r>
      <w:bookmarkEnd w:id="35"/>
    </w:p>
    <w:p w:rsidR="00D172F5" w:rsidRDefault="00D172F5" w:rsidP="00D172F5">
      <w:pPr>
        <w:ind w:left="720"/>
        <w:rPr>
          <w:sz w:val="20"/>
        </w:rPr>
      </w:pPr>
      <w:r w:rsidRPr="00D201E8">
        <w:rPr>
          <w:sz w:val="20"/>
        </w:rPr>
        <w:t>(</w:t>
      </w:r>
      <w:hyperlink r:id="rId24" w:history="1">
        <w:r w:rsidRPr="00D172F5">
          <w:rPr>
            <w:rStyle w:val="Hyperlink"/>
            <w:lang w:val="en-US"/>
          </w:rPr>
          <w:t>http://www.basel.int/Implementation/TechnicalMatters/DevelopmentofTechnicalGuidelines/AdoptedTechnicalGuidelines</w:t>
        </w:r>
      </w:hyperlink>
      <w:r w:rsidRPr="00D201E8">
        <w:rPr>
          <w:sz w:val="20"/>
        </w:rPr>
        <w:t xml:space="preserve"> )</w:t>
      </w:r>
    </w:p>
    <w:p w:rsidR="00D172F5" w:rsidRPr="00D201E8" w:rsidRDefault="00D172F5" w:rsidP="00D172F5">
      <w:pPr>
        <w:ind w:left="720"/>
        <w:rPr>
          <w:sz w:val="20"/>
        </w:rPr>
      </w:pPr>
    </w:p>
    <w:p w:rsidR="00D172F5" w:rsidRPr="00E67D99" w:rsidRDefault="008C7F5B" w:rsidP="00D172F5">
      <w:pPr>
        <w:spacing w:after="200" w:line="252" w:lineRule="auto"/>
        <w:ind w:firstLine="720"/>
        <w:rPr>
          <w:b/>
          <w:color w:val="000000"/>
          <w:sz w:val="20"/>
        </w:rPr>
      </w:pPr>
      <w:hyperlink r:id="rId25" w:history="1">
        <w:r w:rsidR="00D172F5" w:rsidRPr="00E67D99">
          <w:rPr>
            <w:rStyle w:val="Hyperlink"/>
            <w:b/>
            <w:color w:val="000000"/>
            <w:u w:val="none"/>
            <w:lang w:val="en-US"/>
          </w:rPr>
          <w:t>Basel Convention Technical Guidelines</w:t>
        </w:r>
      </w:hyperlink>
    </w:p>
    <w:p w:rsidR="00D172F5" w:rsidRDefault="008C7F5B" w:rsidP="00D172F5">
      <w:pPr>
        <w:spacing w:after="200" w:line="252" w:lineRule="auto"/>
        <w:ind w:left="720"/>
      </w:pPr>
      <w:hyperlink r:id="rId26" w:history="1">
        <w:r w:rsidR="00D172F5" w:rsidRPr="00D172F5">
          <w:rPr>
            <w:rStyle w:val="Hyperlink"/>
            <w:color w:val="000000"/>
            <w:u w:val="none"/>
            <w:lang w:val="en-US"/>
          </w:rPr>
          <w:t>The Framework Document 1994 on the preparation of technical guidelines for the environmentally sound management of wastes subject to the Basel Convention</w:t>
        </w:r>
      </w:hyperlink>
    </w:p>
    <w:p w:rsidR="00E67D99" w:rsidRPr="00E67D99" w:rsidRDefault="00E67D99" w:rsidP="00E67D99">
      <w:pPr>
        <w:spacing w:after="200" w:line="252" w:lineRule="auto"/>
        <w:ind w:left="720"/>
        <w:rPr>
          <w:color w:val="000000"/>
          <w:sz w:val="20"/>
        </w:rPr>
      </w:pPr>
      <w:r w:rsidRPr="00E67D99">
        <w:rPr>
          <w:color w:val="000000"/>
          <w:sz w:val="20"/>
        </w:rPr>
        <w:t>Technical guidelines on the environmentally sound management of wastes consisting of, containing or contaminated with pesticid</w:t>
      </w:r>
      <w:r>
        <w:rPr>
          <w:color w:val="000000"/>
          <w:sz w:val="20"/>
        </w:rPr>
        <w:t xml:space="preserve">es </w:t>
      </w:r>
    </w:p>
    <w:p w:rsidR="00E67D99" w:rsidRDefault="00E67D99" w:rsidP="00E67D99">
      <w:pPr>
        <w:ind w:left="720"/>
        <w:rPr>
          <w:sz w:val="20"/>
        </w:rPr>
      </w:pPr>
      <w:r w:rsidRPr="00E67D99">
        <w:rPr>
          <w:sz w:val="20"/>
        </w:rPr>
        <w:t xml:space="preserve">Technical guidelines on the environmentally sound management of wastes consisting of, containing or contaminated with </w:t>
      </w:r>
      <w:proofErr w:type="spellStart"/>
      <w:r w:rsidRPr="00E67D99">
        <w:rPr>
          <w:sz w:val="20"/>
        </w:rPr>
        <w:t>hexabromocyclododecane</w:t>
      </w:r>
      <w:proofErr w:type="spellEnd"/>
      <w:r w:rsidRPr="00E67D99">
        <w:rPr>
          <w:sz w:val="20"/>
        </w:rPr>
        <w:t xml:space="preserve"> (HBCD)</w:t>
      </w:r>
    </w:p>
    <w:p w:rsidR="00E67D99" w:rsidRPr="00E67D99" w:rsidRDefault="00E67D99" w:rsidP="00E67D99">
      <w:pPr>
        <w:ind w:left="720"/>
        <w:rPr>
          <w:sz w:val="20"/>
        </w:rPr>
      </w:pPr>
      <w:hyperlink r:id="rId27" w:history="1">
        <w:r w:rsidRPr="00E67D99">
          <w:rPr>
            <w:sz w:val="20"/>
          </w:rPr>
          <w:br/>
          <w:t xml:space="preserve">Technical guidelines for the </w:t>
        </w:r>
        <w:proofErr w:type="spellStart"/>
        <w:r w:rsidRPr="00E67D99">
          <w:rPr>
            <w:sz w:val="20"/>
          </w:rPr>
          <w:t>environmentally</w:t>
        </w:r>
        <w:proofErr w:type="spellEnd"/>
        <w:r w:rsidRPr="00E67D99">
          <w:rPr>
            <w:sz w:val="20"/>
          </w:rPr>
          <w:t xml:space="preserve"> </w:t>
        </w:r>
        <w:proofErr w:type="spellStart"/>
        <w:r w:rsidRPr="00E67D99">
          <w:rPr>
            <w:sz w:val="20"/>
          </w:rPr>
          <w:t>sound</w:t>
        </w:r>
        <w:proofErr w:type="spellEnd"/>
        <w:r w:rsidRPr="00E67D99">
          <w:rPr>
            <w:sz w:val="20"/>
          </w:rPr>
          <w:t xml:space="preserve"> management of </w:t>
        </w:r>
        <w:proofErr w:type="spellStart"/>
        <w:r w:rsidRPr="00E67D99">
          <w:rPr>
            <w:sz w:val="20"/>
          </w:rPr>
          <w:t>wastes</w:t>
        </w:r>
        <w:proofErr w:type="spellEnd"/>
        <w:r w:rsidRPr="00E67D99">
          <w:rPr>
            <w:sz w:val="20"/>
          </w:rPr>
          <w:t xml:space="preserve"> </w:t>
        </w:r>
        <w:proofErr w:type="spellStart"/>
        <w:r w:rsidRPr="00E67D99">
          <w:rPr>
            <w:sz w:val="20"/>
          </w:rPr>
          <w:t>consisting</w:t>
        </w:r>
        <w:proofErr w:type="spellEnd"/>
        <w:r w:rsidRPr="00E67D99">
          <w:rPr>
            <w:sz w:val="20"/>
          </w:rPr>
          <w:t xml:space="preserve"> of, </w:t>
        </w:r>
        <w:proofErr w:type="spellStart"/>
        <w:r w:rsidRPr="00E67D99">
          <w:rPr>
            <w:sz w:val="20"/>
          </w:rPr>
          <w:t>containing</w:t>
        </w:r>
        <w:proofErr w:type="spellEnd"/>
        <w:r w:rsidRPr="00E67D99">
          <w:rPr>
            <w:sz w:val="20"/>
          </w:rPr>
          <w:t xml:space="preserve"> or contaminated with POP-PBDEs</w:t>
        </w:r>
      </w:hyperlink>
    </w:p>
    <w:p w:rsidR="00E67D99" w:rsidRPr="00E67D99" w:rsidRDefault="00E67D99" w:rsidP="00E67D99">
      <w:pPr>
        <w:ind w:left="720"/>
        <w:rPr>
          <w:sz w:val="20"/>
        </w:rPr>
      </w:pPr>
      <w:hyperlink r:id="rId28" w:history="1">
        <w:r w:rsidRPr="00E67D99">
          <w:rPr>
            <w:sz w:val="20"/>
          </w:rPr>
          <w:br/>
          <w:t xml:space="preserve">Technical guidelines for the environmentally sound management of wastes consisting of, containing or contaminated with PCBs, PCTs or PBBs, including HBB </w:t>
        </w:r>
      </w:hyperlink>
    </w:p>
    <w:p w:rsidR="00E67D99" w:rsidRPr="00E67D99" w:rsidRDefault="00E67D99" w:rsidP="00E67D99">
      <w:pPr>
        <w:ind w:left="720"/>
        <w:rPr>
          <w:sz w:val="20"/>
        </w:rPr>
      </w:pPr>
      <w:hyperlink r:id="rId29" w:history="1">
        <w:r w:rsidRPr="00E67D99">
          <w:rPr>
            <w:sz w:val="20"/>
          </w:rPr>
          <w:br/>
          <w:t xml:space="preserve">Technical guidelines on the environmentally sound management of wastes containing or contaminated with unintentionally produced PCDD, PCDF, HCB, PCB or </w:t>
        </w:r>
        <w:proofErr w:type="spellStart"/>
        <w:r w:rsidRPr="00E67D99">
          <w:rPr>
            <w:sz w:val="20"/>
          </w:rPr>
          <w:t>PeCB</w:t>
        </w:r>
        <w:proofErr w:type="spellEnd"/>
        <w:r w:rsidRPr="00E67D99">
          <w:rPr>
            <w:sz w:val="20"/>
          </w:rPr>
          <w:t xml:space="preserve"> </w:t>
        </w:r>
      </w:hyperlink>
    </w:p>
    <w:p w:rsidR="00E67D99" w:rsidRPr="00E67D99" w:rsidRDefault="00E67D99" w:rsidP="00E67D99">
      <w:pPr>
        <w:ind w:left="720"/>
        <w:rPr>
          <w:sz w:val="20"/>
        </w:rPr>
      </w:pPr>
      <w:hyperlink r:id="rId30" w:history="1">
        <w:r w:rsidRPr="00E67D99">
          <w:rPr>
            <w:sz w:val="20"/>
          </w:rPr>
          <w:br/>
          <w:t xml:space="preserve">Technical guidelines for the environmentally sound management of wastes consisting of, containing or contaminated with </w:t>
        </w:r>
        <w:proofErr w:type="spellStart"/>
        <w:r w:rsidRPr="00E67D99">
          <w:rPr>
            <w:sz w:val="20"/>
          </w:rPr>
          <w:t>perfluorooctane</w:t>
        </w:r>
        <w:proofErr w:type="spellEnd"/>
        <w:r w:rsidRPr="00E67D99">
          <w:rPr>
            <w:sz w:val="20"/>
          </w:rPr>
          <w:t xml:space="preserve"> </w:t>
        </w:r>
        <w:proofErr w:type="spellStart"/>
        <w:r w:rsidRPr="00E67D99">
          <w:rPr>
            <w:sz w:val="20"/>
          </w:rPr>
          <w:t>sulfonic</w:t>
        </w:r>
        <w:proofErr w:type="spellEnd"/>
        <w:r w:rsidRPr="00E67D99">
          <w:rPr>
            <w:sz w:val="20"/>
          </w:rPr>
          <w:t xml:space="preserve"> acid (PFOS), its salts and </w:t>
        </w:r>
        <w:proofErr w:type="spellStart"/>
        <w:r w:rsidRPr="00E67D99">
          <w:rPr>
            <w:sz w:val="20"/>
          </w:rPr>
          <w:t>perfluorooctane</w:t>
        </w:r>
        <w:proofErr w:type="spellEnd"/>
        <w:r w:rsidRPr="00E67D99">
          <w:rPr>
            <w:sz w:val="20"/>
          </w:rPr>
          <w:t xml:space="preserve"> </w:t>
        </w:r>
        <w:proofErr w:type="spellStart"/>
        <w:r w:rsidRPr="00E67D99">
          <w:rPr>
            <w:sz w:val="20"/>
          </w:rPr>
          <w:t>sulfonyl</w:t>
        </w:r>
        <w:proofErr w:type="spellEnd"/>
        <w:r w:rsidRPr="00E67D99">
          <w:rPr>
            <w:sz w:val="20"/>
          </w:rPr>
          <w:t xml:space="preserve"> fluoride (PFOSF)</w:t>
        </w:r>
      </w:hyperlink>
      <w:r w:rsidRPr="00E67D99">
        <w:rPr>
          <w:sz w:val="20"/>
        </w:rPr>
        <w:t xml:space="preserve"> </w:t>
      </w:r>
    </w:p>
    <w:p w:rsidR="00E67D99" w:rsidRDefault="00E67D99" w:rsidP="00E67D99">
      <w:pPr>
        <w:ind w:left="720"/>
        <w:rPr>
          <w:sz w:val="20"/>
        </w:rPr>
      </w:pPr>
      <w:hyperlink r:id="rId31" w:history="1">
        <w:r w:rsidRPr="00E67D99">
          <w:rPr>
            <w:sz w:val="20"/>
          </w:rPr>
          <w:br/>
          <w:t xml:space="preserve">General </w:t>
        </w:r>
        <w:proofErr w:type="spellStart"/>
        <w:r w:rsidRPr="00E67D99">
          <w:rPr>
            <w:sz w:val="20"/>
          </w:rPr>
          <w:t>technical</w:t>
        </w:r>
        <w:proofErr w:type="spellEnd"/>
        <w:r w:rsidRPr="00E67D99">
          <w:rPr>
            <w:sz w:val="20"/>
          </w:rPr>
          <w:t xml:space="preserve"> guidelines on the </w:t>
        </w:r>
        <w:proofErr w:type="spellStart"/>
        <w:r w:rsidRPr="00E67D99">
          <w:rPr>
            <w:sz w:val="20"/>
          </w:rPr>
          <w:t>environmentally</w:t>
        </w:r>
        <w:proofErr w:type="spellEnd"/>
        <w:r w:rsidRPr="00E67D99">
          <w:rPr>
            <w:sz w:val="20"/>
          </w:rPr>
          <w:t xml:space="preserve"> </w:t>
        </w:r>
        <w:proofErr w:type="spellStart"/>
        <w:r w:rsidRPr="00E67D99">
          <w:rPr>
            <w:sz w:val="20"/>
          </w:rPr>
          <w:t>sound</w:t>
        </w:r>
        <w:proofErr w:type="spellEnd"/>
        <w:r w:rsidRPr="00E67D99">
          <w:rPr>
            <w:sz w:val="20"/>
          </w:rPr>
          <w:t xml:space="preserve"> management of </w:t>
        </w:r>
        <w:proofErr w:type="spellStart"/>
        <w:r w:rsidRPr="00E67D99">
          <w:rPr>
            <w:sz w:val="20"/>
          </w:rPr>
          <w:t>wastes</w:t>
        </w:r>
        <w:proofErr w:type="spellEnd"/>
        <w:r w:rsidRPr="00E67D99">
          <w:rPr>
            <w:sz w:val="20"/>
          </w:rPr>
          <w:t xml:space="preserve"> of </w:t>
        </w:r>
        <w:proofErr w:type="spellStart"/>
        <w:r w:rsidRPr="00E67D99">
          <w:rPr>
            <w:sz w:val="20"/>
          </w:rPr>
          <w:t>wastes</w:t>
        </w:r>
        <w:proofErr w:type="spellEnd"/>
        <w:r w:rsidRPr="00E67D99">
          <w:rPr>
            <w:sz w:val="20"/>
          </w:rPr>
          <w:t xml:space="preserve"> </w:t>
        </w:r>
        <w:proofErr w:type="spellStart"/>
        <w:r w:rsidRPr="00E67D99">
          <w:rPr>
            <w:sz w:val="20"/>
          </w:rPr>
          <w:t>consisting</w:t>
        </w:r>
        <w:proofErr w:type="spellEnd"/>
        <w:r w:rsidRPr="00E67D99">
          <w:rPr>
            <w:sz w:val="20"/>
          </w:rPr>
          <w:t xml:space="preserve"> of, </w:t>
        </w:r>
        <w:proofErr w:type="spellStart"/>
        <w:r w:rsidRPr="00E67D99">
          <w:rPr>
            <w:sz w:val="20"/>
          </w:rPr>
          <w:t>containing</w:t>
        </w:r>
        <w:proofErr w:type="spellEnd"/>
        <w:r w:rsidRPr="00E67D99">
          <w:rPr>
            <w:sz w:val="20"/>
          </w:rPr>
          <w:t xml:space="preserve"> or </w:t>
        </w:r>
        <w:proofErr w:type="spellStart"/>
        <w:r w:rsidRPr="00E67D99">
          <w:rPr>
            <w:sz w:val="20"/>
          </w:rPr>
          <w:t>contaminated</w:t>
        </w:r>
        <w:proofErr w:type="spellEnd"/>
        <w:r w:rsidRPr="00E67D99">
          <w:rPr>
            <w:sz w:val="20"/>
          </w:rPr>
          <w:t xml:space="preserve"> </w:t>
        </w:r>
        <w:proofErr w:type="spellStart"/>
        <w:r w:rsidRPr="00E67D99">
          <w:rPr>
            <w:sz w:val="20"/>
          </w:rPr>
          <w:t>with</w:t>
        </w:r>
        <w:proofErr w:type="spellEnd"/>
        <w:r w:rsidRPr="00E67D99">
          <w:rPr>
            <w:sz w:val="20"/>
          </w:rPr>
          <w:t xml:space="preserve"> persistent organic pollutants </w:t>
        </w:r>
      </w:hyperlink>
    </w:p>
    <w:p w:rsidR="00E67D99" w:rsidRPr="00E67D99" w:rsidRDefault="00E67D99" w:rsidP="00E67D99">
      <w:pPr>
        <w:ind w:left="720"/>
        <w:rPr>
          <w:sz w:val="20"/>
        </w:rPr>
      </w:pPr>
    </w:p>
    <w:p w:rsidR="00E67D99" w:rsidRPr="00E67D99" w:rsidRDefault="00E67D99" w:rsidP="00E67D99">
      <w:pPr>
        <w:ind w:left="720"/>
        <w:rPr>
          <w:sz w:val="20"/>
        </w:rPr>
      </w:pPr>
      <w:hyperlink r:id="rId32" w:history="1">
        <w:r w:rsidRPr="00E67D99">
          <w:rPr>
            <w:sz w:val="20"/>
          </w:rPr>
          <w:t xml:space="preserve">Technical guidelines on </w:t>
        </w:r>
        <w:proofErr w:type="spellStart"/>
        <w:r w:rsidRPr="00E67D99">
          <w:rPr>
            <w:sz w:val="20"/>
          </w:rPr>
          <w:t>transboundary</w:t>
        </w:r>
        <w:proofErr w:type="spellEnd"/>
        <w:r w:rsidRPr="00E67D99">
          <w:rPr>
            <w:sz w:val="20"/>
          </w:rPr>
          <w:t xml:space="preserve"> </w:t>
        </w:r>
        <w:proofErr w:type="spellStart"/>
        <w:r w:rsidRPr="00E67D99">
          <w:rPr>
            <w:sz w:val="20"/>
          </w:rPr>
          <w:t>movements</w:t>
        </w:r>
        <w:proofErr w:type="spellEnd"/>
        <w:r w:rsidRPr="00E67D99">
          <w:rPr>
            <w:sz w:val="20"/>
          </w:rPr>
          <w:t xml:space="preserve"> of </w:t>
        </w:r>
        <w:proofErr w:type="spellStart"/>
        <w:r w:rsidRPr="00E67D99">
          <w:rPr>
            <w:sz w:val="20"/>
          </w:rPr>
          <w:t>electrical</w:t>
        </w:r>
        <w:proofErr w:type="spellEnd"/>
        <w:r w:rsidRPr="00E67D99">
          <w:rPr>
            <w:sz w:val="20"/>
          </w:rPr>
          <w:t xml:space="preserve"> and </w:t>
        </w:r>
        <w:proofErr w:type="spellStart"/>
        <w:r w:rsidRPr="00E67D99">
          <w:rPr>
            <w:sz w:val="20"/>
          </w:rPr>
          <w:t>electronic</w:t>
        </w:r>
        <w:proofErr w:type="spellEnd"/>
        <w:r w:rsidRPr="00E67D99">
          <w:rPr>
            <w:sz w:val="20"/>
          </w:rPr>
          <w:t xml:space="preserve"> </w:t>
        </w:r>
        <w:proofErr w:type="spellStart"/>
        <w:r w:rsidRPr="00E67D99">
          <w:rPr>
            <w:sz w:val="20"/>
          </w:rPr>
          <w:t>waste</w:t>
        </w:r>
        <w:proofErr w:type="spellEnd"/>
        <w:r w:rsidRPr="00E67D99">
          <w:rPr>
            <w:sz w:val="20"/>
          </w:rPr>
          <w:t xml:space="preserve"> and </w:t>
        </w:r>
        <w:proofErr w:type="spellStart"/>
        <w:r w:rsidRPr="00E67D99">
          <w:rPr>
            <w:sz w:val="20"/>
          </w:rPr>
          <w:t>used</w:t>
        </w:r>
        <w:proofErr w:type="spellEnd"/>
        <w:r w:rsidRPr="00E67D99">
          <w:rPr>
            <w:sz w:val="20"/>
          </w:rPr>
          <w:t xml:space="preserve"> </w:t>
        </w:r>
        <w:proofErr w:type="spellStart"/>
        <w:r w:rsidRPr="00E67D99">
          <w:rPr>
            <w:sz w:val="20"/>
          </w:rPr>
          <w:t>electrical</w:t>
        </w:r>
        <w:proofErr w:type="spellEnd"/>
        <w:r w:rsidRPr="00E67D99">
          <w:rPr>
            <w:sz w:val="20"/>
          </w:rPr>
          <w:t xml:space="preserve"> and </w:t>
        </w:r>
        <w:proofErr w:type="spellStart"/>
        <w:r w:rsidRPr="00E67D99">
          <w:rPr>
            <w:sz w:val="20"/>
          </w:rPr>
          <w:t>electronic</w:t>
        </w:r>
        <w:proofErr w:type="spellEnd"/>
        <w:r w:rsidRPr="00E67D99">
          <w:rPr>
            <w:sz w:val="20"/>
          </w:rPr>
          <w:t xml:space="preserve"> </w:t>
        </w:r>
        <w:proofErr w:type="spellStart"/>
        <w:r w:rsidRPr="00E67D99">
          <w:rPr>
            <w:sz w:val="20"/>
          </w:rPr>
          <w:t>equipment</w:t>
        </w:r>
        <w:proofErr w:type="spellEnd"/>
        <w:r w:rsidRPr="00E67D99">
          <w:rPr>
            <w:sz w:val="20"/>
          </w:rPr>
          <w:t xml:space="preserve">, in </w:t>
        </w:r>
        <w:proofErr w:type="spellStart"/>
        <w:r w:rsidRPr="00E67D99">
          <w:rPr>
            <w:sz w:val="20"/>
          </w:rPr>
          <w:t>particular</w:t>
        </w:r>
        <w:proofErr w:type="spellEnd"/>
        <w:r w:rsidRPr="00E67D99">
          <w:rPr>
            <w:sz w:val="20"/>
          </w:rPr>
          <w:t xml:space="preserve"> </w:t>
        </w:r>
        <w:proofErr w:type="spellStart"/>
        <w:r w:rsidRPr="00E67D99">
          <w:rPr>
            <w:sz w:val="20"/>
          </w:rPr>
          <w:t>regarding</w:t>
        </w:r>
        <w:proofErr w:type="spellEnd"/>
        <w:r w:rsidRPr="00E67D99">
          <w:rPr>
            <w:sz w:val="20"/>
          </w:rPr>
          <w:t xml:space="preserve"> the distinction </w:t>
        </w:r>
        <w:proofErr w:type="spellStart"/>
        <w:r w:rsidRPr="00E67D99">
          <w:rPr>
            <w:sz w:val="20"/>
          </w:rPr>
          <w:t>between</w:t>
        </w:r>
        <w:proofErr w:type="spellEnd"/>
        <w:r w:rsidRPr="00E67D99">
          <w:rPr>
            <w:sz w:val="20"/>
          </w:rPr>
          <w:t xml:space="preserve"> </w:t>
        </w:r>
        <w:proofErr w:type="spellStart"/>
        <w:r w:rsidRPr="00E67D99">
          <w:rPr>
            <w:sz w:val="20"/>
          </w:rPr>
          <w:t>waste</w:t>
        </w:r>
        <w:proofErr w:type="spellEnd"/>
        <w:r w:rsidRPr="00E67D99">
          <w:rPr>
            <w:sz w:val="20"/>
          </w:rPr>
          <w:t xml:space="preserve"> and non-</w:t>
        </w:r>
        <w:proofErr w:type="spellStart"/>
        <w:r w:rsidRPr="00E67D99">
          <w:rPr>
            <w:sz w:val="20"/>
          </w:rPr>
          <w:t>waste</w:t>
        </w:r>
        <w:proofErr w:type="spellEnd"/>
        <w:r w:rsidRPr="00E67D99">
          <w:rPr>
            <w:sz w:val="20"/>
          </w:rPr>
          <w:t xml:space="preserve"> </w:t>
        </w:r>
        <w:proofErr w:type="spellStart"/>
        <w:r w:rsidRPr="00E67D99">
          <w:rPr>
            <w:sz w:val="20"/>
          </w:rPr>
          <w:t>under</w:t>
        </w:r>
        <w:proofErr w:type="spellEnd"/>
        <w:r w:rsidRPr="00E67D99">
          <w:rPr>
            <w:sz w:val="20"/>
          </w:rPr>
          <w:t xml:space="preserve"> the Basel Convention </w:t>
        </w:r>
      </w:hyperlink>
    </w:p>
    <w:p w:rsidR="00E67D99" w:rsidRDefault="00E67D99" w:rsidP="00E67D99">
      <w:pPr>
        <w:ind w:left="720"/>
        <w:rPr>
          <w:sz w:val="20"/>
        </w:rPr>
      </w:pPr>
    </w:p>
    <w:p w:rsidR="00E67D99" w:rsidRPr="00E67D99" w:rsidRDefault="00E67D99" w:rsidP="00E67D99">
      <w:pPr>
        <w:ind w:left="720"/>
        <w:rPr>
          <w:sz w:val="20"/>
        </w:rPr>
      </w:pPr>
      <w:hyperlink r:id="rId33" w:history="1">
        <w:r w:rsidRPr="00E67D99">
          <w:rPr>
            <w:sz w:val="20"/>
          </w:rPr>
          <w:t xml:space="preserve">Technical guidelines on the </w:t>
        </w:r>
        <w:proofErr w:type="spellStart"/>
        <w:r w:rsidRPr="00E67D99">
          <w:rPr>
            <w:sz w:val="20"/>
          </w:rPr>
          <w:t>environmentally</w:t>
        </w:r>
        <w:proofErr w:type="spellEnd"/>
        <w:r w:rsidRPr="00E67D99">
          <w:rPr>
            <w:sz w:val="20"/>
          </w:rPr>
          <w:t xml:space="preserve"> </w:t>
        </w:r>
        <w:proofErr w:type="spellStart"/>
        <w:r w:rsidRPr="00E67D99">
          <w:rPr>
            <w:sz w:val="20"/>
          </w:rPr>
          <w:t>sound</w:t>
        </w:r>
        <w:proofErr w:type="spellEnd"/>
        <w:r w:rsidRPr="00E67D99">
          <w:rPr>
            <w:sz w:val="20"/>
          </w:rPr>
          <w:t xml:space="preserve"> management of </w:t>
        </w:r>
        <w:proofErr w:type="spellStart"/>
        <w:r w:rsidRPr="00E67D99">
          <w:rPr>
            <w:sz w:val="20"/>
          </w:rPr>
          <w:t>wastes</w:t>
        </w:r>
        <w:proofErr w:type="spellEnd"/>
        <w:r w:rsidRPr="00E67D99">
          <w:rPr>
            <w:sz w:val="20"/>
          </w:rPr>
          <w:t xml:space="preserve"> </w:t>
        </w:r>
        <w:proofErr w:type="spellStart"/>
        <w:r w:rsidRPr="00E67D99">
          <w:rPr>
            <w:sz w:val="20"/>
          </w:rPr>
          <w:t>consisting</w:t>
        </w:r>
        <w:proofErr w:type="spellEnd"/>
        <w:r w:rsidRPr="00E67D99">
          <w:rPr>
            <w:sz w:val="20"/>
          </w:rPr>
          <w:t xml:space="preserve"> of, </w:t>
        </w:r>
        <w:proofErr w:type="spellStart"/>
        <w:r w:rsidRPr="00E67D99">
          <w:rPr>
            <w:sz w:val="20"/>
          </w:rPr>
          <w:t>containing</w:t>
        </w:r>
        <w:proofErr w:type="spellEnd"/>
        <w:r w:rsidRPr="00E67D99">
          <w:rPr>
            <w:sz w:val="20"/>
          </w:rPr>
          <w:t xml:space="preserve"> or </w:t>
        </w:r>
        <w:proofErr w:type="spellStart"/>
        <w:r w:rsidRPr="00E67D99">
          <w:rPr>
            <w:sz w:val="20"/>
          </w:rPr>
          <w:t>contaminated</w:t>
        </w:r>
        <w:proofErr w:type="spellEnd"/>
        <w:r w:rsidRPr="00E67D99">
          <w:rPr>
            <w:sz w:val="20"/>
          </w:rPr>
          <w:t xml:space="preserve"> </w:t>
        </w:r>
        <w:proofErr w:type="spellStart"/>
        <w:r w:rsidRPr="00E67D99">
          <w:rPr>
            <w:sz w:val="20"/>
          </w:rPr>
          <w:t>with</w:t>
        </w:r>
        <w:proofErr w:type="spellEnd"/>
        <w:r w:rsidRPr="00E67D99">
          <w:rPr>
            <w:sz w:val="20"/>
          </w:rPr>
          <w:t xml:space="preserve"> </w:t>
        </w:r>
        <w:proofErr w:type="spellStart"/>
        <w:r w:rsidRPr="00E67D99">
          <w:rPr>
            <w:sz w:val="20"/>
          </w:rPr>
          <w:t>mercury</w:t>
        </w:r>
        <w:proofErr w:type="spellEnd"/>
        <w:r w:rsidRPr="00E67D99">
          <w:rPr>
            <w:sz w:val="20"/>
          </w:rPr>
          <w:t xml:space="preserve"> or mercury compounds </w:t>
        </w:r>
      </w:hyperlink>
    </w:p>
    <w:p w:rsidR="00E67D99" w:rsidRDefault="00E67D99" w:rsidP="00E67D99">
      <w:pPr>
        <w:ind w:firstLine="720"/>
      </w:pPr>
    </w:p>
    <w:p w:rsidR="00D172F5" w:rsidRPr="00D172F5" w:rsidRDefault="008C7F5B" w:rsidP="00E67D99">
      <w:pPr>
        <w:ind w:firstLine="720"/>
        <w:rPr>
          <w:color w:val="000000"/>
          <w:sz w:val="20"/>
        </w:rPr>
      </w:pPr>
      <w:hyperlink r:id="rId34" w:history="1">
        <w:r w:rsidR="00D172F5" w:rsidRPr="00D172F5">
          <w:rPr>
            <w:rStyle w:val="Hyperlink"/>
            <w:color w:val="000000"/>
            <w:u w:val="none"/>
            <w:lang w:val="en-US"/>
          </w:rPr>
          <w:t xml:space="preserve">Revised technical guidelines for the environmentally sound management of used and waste pneumatic </w:t>
        </w:r>
        <w:proofErr w:type="spellStart"/>
        <w:r w:rsidR="00D172F5" w:rsidRPr="00D172F5">
          <w:rPr>
            <w:rStyle w:val="Hyperlink"/>
            <w:color w:val="000000"/>
            <w:u w:val="none"/>
            <w:lang w:val="en-US"/>
          </w:rPr>
          <w:t>tyres</w:t>
        </w:r>
        <w:proofErr w:type="spellEnd"/>
      </w:hyperlink>
    </w:p>
    <w:p w:rsidR="00D172F5" w:rsidRPr="00D172F5" w:rsidRDefault="008C7F5B" w:rsidP="00D172F5">
      <w:pPr>
        <w:spacing w:after="200" w:line="252" w:lineRule="auto"/>
        <w:ind w:firstLine="720"/>
        <w:rPr>
          <w:color w:val="000000"/>
          <w:sz w:val="20"/>
        </w:rPr>
      </w:pPr>
      <w:hyperlink r:id="rId35" w:history="1">
        <w:r w:rsidR="00D172F5" w:rsidRPr="00D172F5">
          <w:rPr>
            <w:rStyle w:val="Hyperlink"/>
            <w:color w:val="000000"/>
            <w:u w:val="none"/>
            <w:lang w:val="en-US"/>
          </w:rPr>
          <w:t>Technical guidelines on the environmentally sound co-processing of hazardous wastes in cement kilns</w:t>
        </w:r>
      </w:hyperlink>
    </w:p>
    <w:p w:rsidR="00D172F5" w:rsidRPr="00D172F5" w:rsidRDefault="008C7F5B" w:rsidP="00D172F5">
      <w:pPr>
        <w:spacing w:after="200" w:line="252" w:lineRule="auto"/>
        <w:ind w:left="720"/>
        <w:rPr>
          <w:color w:val="000000"/>
          <w:sz w:val="20"/>
        </w:rPr>
      </w:pPr>
      <w:hyperlink r:id="rId36" w:history="1">
        <w:r w:rsidR="00D172F5" w:rsidRPr="00D172F5">
          <w:rPr>
            <w:rStyle w:val="Hyperlink"/>
            <w:color w:val="000000"/>
            <w:u w:val="none"/>
            <w:lang w:val="en-US"/>
          </w:rPr>
          <w:t>Technical guidelines for the environmentally sound management of wastes consisting of elemental mercury and wastes containing or contaminated with mercury</w:t>
        </w:r>
      </w:hyperlink>
    </w:p>
    <w:p w:rsidR="00D172F5" w:rsidRPr="00D172F5" w:rsidRDefault="008C7F5B" w:rsidP="00D172F5">
      <w:pPr>
        <w:spacing w:after="200" w:line="252" w:lineRule="auto"/>
        <w:ind w:left="720"/>
        <w:rPr>
          <w:color w:val="000000"/>
          <w:sz w:val="20"/>
        </w:rPr>
      </w:pPr>
      <w:hyperlink r:id="rId37" w:history="1">
        <w:r w:rsidR="00D172F5" w:rsidRPr="00D172F5">
          <w:rPr>
            <w:rStyle w:val="Hyperlink"/>
            <w:color w:val="000000"/>
            <w:u w:val="none"/>
            <w:lang w:val="en-US"/>
          </w:rPr>
          <w:t xml:space="preserve">Technical guidelines on the environmentally sound co-processing of hazardous wastes in cement kilns </w:t>
        </w:r>
      </w:hyperlink>
    </w:p>
    <w:p w:rsidR="00D172F5" w:rsidRPr="00D172F5" w:rsidRDefault="008C7F5B" w:rsidP="00D172F5">
      <w:pPr>
        <w:spacing w:after="200" w:line="252" w:lineRule="auto"/>
        <w:ind w:left="720"/>
        <w:rPr>
          <w:color w:val="000000"/>
          <w:sz w:val="20"/>
        </w:rPr>
      </w:pPr>
      <w:hyperlink r:id="rId38" w:history="1">
        <w:r w:rsidR="00D172F5" w:rsidRPr="00D172F5">
          <w:rPr>
            <w:rStyle w:val="Hyperlink"/>
            <w:color w:val="000000"/>
            <w:u w:val="none"/>
            <w:lang w:val="en-US"/>
          </w:rPr>
          <w:t>Technical guidelines for the environmentally sound management of wastes consisting of elemental mercury and wastes containing or contaminated with mercury</w:t>
        </w:r>
      </w:hyperlink>
    </w:p>
    <w:p w:rsidR="00D172F5" w:rsidRPr="00D172F5" w:rsidRDefault="008C7F5B" w:rsidP="00D172F5">
      <w:pPr>
        <w:spacing w:after="200" w:line="252" w:lineRule="auto"/>
        <w:ind w:left="720"/>
        <w:rPr>
          <w:color w:val="000000"/>
          <w:sz w:val="20"/>
        </w:rPr>
      </w:pPr>
      <w:hyperlink r:id="rId39" w:history="1">
        <w:proofErr w:type="gramStart"/>
        <w:r w:rsidR="00D172F5" w:rsidRPr="00D172F5">
          <w:rPr>
            <w:rStyle w:val="Hyperlink"/>
            <w:color w:val="000000"/>
            <w:u w:val="none"/>
            <w:lang w:val="en-US"/>
          </w:rPr>
          <w:t>Updated general technical guidelines for the environmentally sound management of wastes consisting of, containing or contaminated with persistent organic pollutants (POPs).</w:t>
        </w:r>
        <w:proofErr w:type="gramEnd"/>
      </w:hyperlink>
    </w:p>
    <w:p w:rsidR="00D172F5" w:rsidRPr="00D172F5" w:rsidRDefault="008C7F5B" w:rsidP="00D172F5">
      <w:pPr>
        <w:spacing w:after="200" w:line="252" w:lineRule="auto"/>
        <w:ind w:left="720"/>
        <w:rPr>
          <w:color w:val="000000"/>
          <w:sz w:val="20"/>
        </w:rPr>
      </w:pPr>
      <w:hyperlink r:id="rId40" w:history="1">
        <w:r w:rsidR="00D172F5" w:rsidRPr="00D172F5">
          <w:rPr>
            <w:rStyle w:val="Hyperlink"/>
            <w:color w:val="000000"/>
            <w:u w:val="none"/>
            <w:lang w:val="en-US"/>
          </w:rPr>
          <w:t xml:space="preserve">Technical guidelines for the environmentally sound management of wastes consisting of, containing or contaminated with polychlorinated biphenyls (PCBs), polychlorinated </w:t>
        </w:r>
        <w:proofErr w:type="spellStart"/>
        <w:r w:rsidR="00D172F5" w:rsidRPr="00D172F5">
          <w:rPr>
            <w:rStyle w:val="Hyperlink"/>
            <w:color w:val="000000"/>
            <w:u w:val="none"/>
            <w:lang w:val="en-US"/>
          </w:rPr>
          <w:t>terphenyls</w:t>
        </w:r>
        <w:proofErr w:type="spellEnd"/>
        <w:r w:rsidR="00D172F5" w:rsidRPr="00D172F5">
          <w:rPr>
            <w:rStyle w:val="Hyperlink"/>
            <w:color w:val="000000"/>
            <w:u w:val="none"/>
            <w:lang w:val="en-US"/>
          </w:rPr>
          <w:t xml:space="preserve"> (PCTs) or </w:t>
        </w:r>
        <w:proofErr w:type="spellStart"/>
        <w:r w:rsidR="00D172F5" w:rsidRPr="00D172F5">
          <w:rPr>
            <w:rStyle w:val="Hyperlink"/>
            <w:color w:val="000000"/>
            <w:u w:val="none"/>
            <w:lang w:val="en-US"/>
          </w:rPr>
          <w:t>polybrominated</w:t>
        </w:r>
        <w:proofErr w:type="spellEnd"/>
        <w:r w:rsidR="00D172F5" w:rsidRPr="00D172F5">
          <w:rPr>
            <w:rStyle w:val="Hyperlink"/>
            <w:color w:val="000000"/>
            <w:u w:val="none"/>
            <w:lang w:val="en-US"/>
          </w:rPr>
          <w:t xml:space="preserve"> biphenyls (PBBs).</w:t>
        </w:r>
      </w:hyperlink>
    </w:p>
    <w:p w:rsidR="00D172F5" w:rsidRPr="00D172F5" w:rsidRDefault="008C7F5B" w:rsidP="00D172F5">
      <w:pPr>
        <w:spacing w:after="200" w:line="252" w:lineRule="auto"/>
        <w:ind w:left="720"/>
        <w:rPr>
          <w:color w:val="000000"/>
          <w:sz w:val="20"/>
        </w:rPr>
      </w:pPr>
      <w:hyperlink r:id="rId41" w:history="1">
        <w:r w:rsidR="00D172F5" w:rsidRPr="00D172F5">
          <w:rPr>
            <w:rStyle w:val="Hyperlink"/>
            <w:color w:val="000000"/>
            <w:u w:val="none"/>
            <w:lang w:val="en-US"/>
          </w:rPr>
          <w:t>Technical guidelines for the environmentally sound management of wastes consisting of, containing or contaminated with 1</w:t>
        </w:r>
        <w:proofErr w:type="gramStart"/>
        <w:r w:rsidR="00D172F5" w:rsidRPr="00D172F5">
          <w:rPr>
            <w:rStyle w:val="Hyperlink"/>
            <w:color w:val="000000"/>
            <w:u w:val="none"/>
            <w:lang w:val="en-US"/>
          </w:rPr>
          <w:t>,1,1</w:t>
        </w:r>
        <w:proofErr w:type="gramEnd"/>
        <w:r w:rsidR="00D172F5" w:rsidRPr="00D172F5">
          <w:rPr>
            <w:rStyle w:val="Hyperlink"/>
            <w:color w:val="000000"/>
            <w:u w:val="none"/>
            <w:lang w:val="en-US"/>
          </w:rPr>
          <w:t xml:space="preserve"> </w:t>
        </w:r>
        <w:proofErr w:type="spellStart"/>
        <w:r w:rsidR="00D172F5" w:rsidRPr="00D172F5">
          <w:rPr>
            <w:rStyle w:val="Hyperlink"/>
            <w:color w:val="000000"/>
            <w:u w:val="none"/>
            <w:lang w:val="en-US"/>
          </w:rPr>
          <w:t>trichloro</w:t>
        </w:r>
        <w:proofErr w:type="spellEnd"/>
        <w:r w:rsidR="00D172F5" w:rsidRPr="00D172F5">
          <w:rPr>
            <w:rStyle w:val="Hyperlink"/>
            <w:color w:val="000000"/>
            <w:u w:val="none"/>
            <w:lang w:val="en-US"/>
          </w:rPr>
          <w:t xml:space="preserve"> 2,2 </w:t>
        </w:r>
        <w:proofErr w:type="spellStart"/>
        <w:r w:rsidR="00D172F5" w:rsidRPr="00D172F5">
          <w:rPr>
            <w:rStyle w:val="Hyperlink"/>
            <w:color w:val="000000"/>
            <w:u w:val="none"/>
            <w:lang w:val="en-US"/>
          </w:rPr>
          <w:t>bis</w:t>
        </w:r>
        <w:proofErr w:type="spellEnd"/>
        <w:r w:rsidR="00D172F5" w:rsidRPr="00D172F5">
          <w:rPr>
            <w:rStyle w:val="Hyperlink"/>
            <w:color w:val="000000"/>
            <w:u w:val="none"/>
            <w:lang w:val="en-US"/>
          </w:rPr>
          <w:t xml:space="preserve">(4 </w:t>
        </w:r>
        <w:proofErr w:type="spellStart"/>
        <w:r w:rsidR="00D172F5" w:rsidRPr="00D172F5">
          <w:rPr>
            <w:rStyle w:val="Hyperlink"/>
            <w:color w:val="000000"/>
            <w:u w:val="none"/>
            <w:lang w:val="en-US"/>
          </w:rPr>
          <w:t>chlorophenyl</w:t>
        </w:r>
        <w:proofErr w:type="spellEnd"/>
        <w:r w:rsidR="00D172F5" w:rsidRPr="00D172F5">
          <w:rPr>
            <w:rStyle w:val="Hyperlink"/>
            <w:color w:val="000000"/>
            <w:u w:val="none"/>
            <w:lang w:val="en-US"/>
          </w:rPr>
          <w:t>)ethane (DDT)</w:t>
        </w:r>
      </w:hyperlink>
    </w:p>
    <w:p w:rsidR="00D172F5" w:rsidRPr="00D172F5" w:rsidRDefault="008C7F5B" w:rsidP="00D172F5">
      <w:pPr>
        <w:spacing w:after="200" w:line="252" w:lineRule="auto"/>
        <w:ind w:left="720"/>
        <w:rPr>
          <w:color w:val="000000"/>
          <w:sz w:val="20"/>
        </w:rPr>
      </w:pPr>
      <w:hyperlink r:id="rId42" w:history="1">
        <w:r w:rsidR="00D172F5" w:rsidRPr="00D172F5">
          <w:rPr>
            <w:rStyle w:val="Hyperlink"/>
            <w:color w:val="000000"/>
            <w:u w:val="none"/>
            <w:lang w:val="en-US"/>
          </w:rPr>
          <w:t>Technical guidelines on the environmentally sound management of wastes containing or contaminated with unintentionally produced PCDDs, PCDFs, HCB or PCBs</w:t>
        </w:r>
      </w:hyperlink>
    </w:p>
    <w:p w:rsidR="00D172F5" w:rsidRPr="00D172F5" w:rsidRDefault="008C7F5B" w:rsidP="00D172F5">
      <w:pPr>
        <w:spacing w:after="200" w:line="252" w:lineRule="auto"/>
        <w:ind w:left="720"/>
        <w:rPr>
          <w:color w:val="000000"/>
          <w:sz w:val="20"/>
        </w:rPr>
      </w:pPr>
      <w:hyperlink r:id="rId43" w:history="1">
        <w:r w:rsidR="00D172F5" w:rsidRPr="00D172F5">
          <w:rPr>
            <w:rStyle w:val="Hyperlink"/>
            <w:color w:val="000000"/>
            <w:u w:val="none"/>
            <w:lang w:val="en-US"/>
          </w:rPr>
          <w:t xml:space="preserve">Technical guidelines on the environmentally sound management of wastes consisting of, containing or contaminated with the pesticides </w:t>
        </w:r>
        <w:proofErr w:type="spellStart"/>
        <w:r w:rsidR="00D172F5" w:rsidRPr="00D172F5">
          <w:rPr>
            <w:rStyle w:val="Hyperlink"/>
            <w:color w:val="000000"/>
            <w:u w:val="none"/>
            <w:lang w:val="en-US"/>
          </w:rPr>
          <w:t>aldrin</w:t>
        </w:r>
        <w:proofErr w:type="spellEnd"/>
        <w:r w:rsidR="00D172F5" w:rsidRPr="00D172F5">
          <w:rPr>
            <w:rStyle w:val="Hyperlink"/>
            <w:color w:val="000000"/>
            <w:u w:val="none"/>
            <w:lang w:val="en-US"/>
          </w:rPr>
          <w:t xml:space="preserve">, chlordane, </w:t>
        </w:r>
        <w:proofErr w:type="spellStart"/>
        <w:r w:rsidR="00D172F5" w:rsidRPr="00D172F5">
          <w:rPr>
            <w:rStyle w:val="Hyperlink"/>
            <w:color w:val="000000"/>
            <w:u w:val="none"/>
            <w:lang w:val="en-US"/>
          </w:rPr>
          <w:t>dieldrin</w:t>
        </w:r>
        <w:proofErr w:type="spellEnd"/>
        <w:r w:rsidR="00D172F5" w:rsidRPr="00D172F5">
          <w:rPr>
            <w:rStyle w:val="Hyperlink"/>
            <w:color w:val="000000"/>
            <w:u w:val="none"/>
            <w:lang w:val="en-US"/>
          </w:rPr>
          <w:t xml:space="preserve">, </w:t>
        </w:r>
        <w:proofErr w:type="spellStart"/>
        <w:r w:rsidR="00D172F5" w:rsidRPr="00D172F5">
          <w:rPr>
            <w:rStyle w:val="Hyperlink"/>
            <w:color w:val="000000"/>
            <w:u w:val="none"/>
            <w:lang w:val="en-US"/>
          </w:rPr>
          <w:t>endrin</w:t>
        </w:r>
        <w:proofErr w:type="spellEnd"/>
        <w:r w:rsidR="00D172F5" w:rsidRPr="00D172F5">
          <w:rPr>
            <w:rStyle w:val="Hyperlink"/>
            <w:color w:val="000000"/>
            <w:u w:val="none"/>
            <w:lang w:val="en-US"/>
          </w:rPr>
          <w:t xml:space="preserve">, heptachlor, HCB, </w:t>
        </w:r>
        <w:proofErr w:type="spellStart"/>
        <w:r w:rsidR="00D172F5" w:rsidRPr="00D172F5">
          <w:rPr>
            <w:rStyle w:val="Hyperlink"/>
            <w:color w:val="000000"/>
            <w:u w:val="none"/>
            <w:lang w:val="en-US"/>
          </w:rPr>
          <w:t>mirex</w:t>
        </w:r>
        <w:proofErr w:type="spellEnd"/>
        <w:r w:rsidR="00D172F5" w:rsidRPr="00D172F5">
          <w:rPr>
            <w:rStyle w:val="Hyperlink"/>
            <w:color w:val="000000"/>
            <w:u w:val="none"/>
            <w:lang w:val="en-US"/>
          </w:rPr>
          <w:t xml:space="preserve"> or </w:t>
        </w:r>
        <w:proofErr w:type="spellStart"/>
        <w:r w:rsidR="00D172F5" w:rsidRPr="00D172F5">
          <w:rPr>
            <w:rStyle w:val="Hyperlink"/>
            <w:color w:val="000000"/>
            <w:u w:val="none"/>
            <w:lang w:val="en-US"/>
          </w:rPr>
          <w:t>toxaphene</w:t>
        </w:r>
        <w:proofErr w:type="spellEnd"/>
        <w:r w:rsidR="00D172F5" w:rsidRPr="00D172F5">
          <w:rPr>
            <w:rStyle w:val="Hyperlink"/>
            <w:color w:val="000000"/>
            <w:u w:val="none"/>
            <w:lang w:val="en-US"/>
          </w:rPr>
          <w:t xml:space="preserve"> or with HCB as an industrial chemical</w:t>
        </w:r>
      </w:hyperlink>
    </w:p>
    <w:p w:rsidR="00D172F5" w:rsidRPr="00D172F5" w:rsidRDefault="008C7F5B" w:rsidP="00D172F5">
      <w:pPr>
        <w:spacing w:after="200" w:line="252" w:lineRule="auto"/>
        <w:ind w:left="720"/>
        <w:rPr>
          <w:color w:val="000000"/>
          <w:sz w:val="20"/>
        </w:rPr>
      </w:pPr>
      <w:hyperlink r:id="rId44" w:history="1">
        <w:r w:rsidR="00D172F5" w:rsidRPr="00D172F5">
          <w:rPr>
            <w:rStyle w:val="Hyperlink"/>
            <w:color w:val="000000"/>
            <w:u w:val="none"/>
            <w:lang w:val="en-US"/>
          </w:rPr>
          <w:t xml:space="preserve">Technical guidelines for the identification and environmentally </w:t>
        </w:r>
        <w:proofErr w:type="spellStart"/>
        <w:r w:rsidR="00D172F5" w:rsidRPr="00D172F5">
          <w:rPr>
            <w:rStyle w:val="Hyperlink"/>
            <w:color w:val="000000"/>
            <w:u w:val="none"/>
            <w:lang w:val="en-US"/>
          </w:rPr>
          <w:t>soundmanagement</w:t>
        </w:r>
        <w:proofErr w:type="spellEnd"/>
        <w:r w:rsidR="00D172F5" w:rsidRPr="00D172F5">
          <w:rPr>
            <w:rStyle w:val="Hyperlink"/>
            <w:color w:val="000000"/>
            <w:u w:val="none"/>
            <w:lang w:val="en-US"/>
          </w:rPr>
          <w:t xml:space="preserve"> of plastic wastes and for their disposal</w:t>
        </w:r>
      </w:hyperlink>
    </w:p>
    <w:p w:rsidR="00D172F5" w:rsidRPr="00D172F5" w:rsidRDefault="008C7F5B" w:rsidP="00D172F5">
      <w:pPr>
        <w:spacing w:after="200" w:line="252" w:lineRule="auto"/>
        <w:ind w:firstLine="720"/>
        <w:rPr>
          <w:color w:val="000000"/>
          <w:sz w:val="20"/>
        </w:rPr>
      </w:pPr>
      <w:hyperlink r:id="rId45" w:history="1">
        <w:r w:rsidR="00D172F5" w:rsidRPr="00D172F5">
          <w:rPr>
            <w:rStyle w:val="Hyperlink"/>
            <w:color w:val="000000"/>
            <w:u w:val="none"/>
            <w:lang w:val="en-US"/>
          </w:rPr>
          <w:t>Technical guidelines for the environmentally sound management of the full and partial dismantling of ships</w:t>
        </w:r>
      </w:hyperlink>
    </w:p>
    <w:p w:rsidR="00D172F5" w:rsidRPr="00D172F5" w:rsidRDefault="008C7F5B" w:rsidP="00D172F5">
      <w:pPr>
        <w:spacing w:after="200" w:line="252" w:lineRule="auto"/>
        <w:ind w:firstLine="720"/>
        <w:rPr>
          <w:color w:val="000000"/>
          <w:sz w:val="20"/>
        </w:rPr>
      </w:pPr>
      <w:hyperlink r:id="rId46" w:history="1">
        <w:r w:rsidR="00D172F5" w:rsidRPr="00D172F5">
          <w:rPr>
            <w:rStyle w:val="Hyperlink"/>
            <w:color w:val="000000"/>
            <w:u w:val="none"/>
            <w:lang w:val="en-US"/>
          </w:rPr>
          <w:t>Guidance paper on hazardous characteristic H6.2 (Infectious substances)</w:t>
        </w:r>
      </w:hyperlink>
    </w:p>
    <w:p w:rsidR="00D172F5" w:rsidRPr="00D172F5" w:rsidRDefault="008C7F5B" w:rsidP="00D172F5">
      <w:pPr>
        <w:spacing w:after="200" w:line="252" w:lineRule="auto"/>
        <w:ind w:left="720"/>
        <w:rPr>
          <w:color w:val="000000"/>
          <w:sz w:val="20"/>
        </w:rPr>
      </w:pPr>
      <w:hyperlink r:id="rId47" w:history="1">
        <w:r w:rsidR="00D172F5" w:rsidRPr="00D172F5">
          <w:rPr>
            <w:rStyle w:val="Hyperlink"/>
            <w:color w:val="000000"/>
            <w:u w:val="none"/>
            <w:lang w:val="en-US"/>
          </w:rPr>
          <w:t>Work on hazard characteristics - Approach to Basel Convention hazard characteristic H11: characterization of chronic or delayed toxicity</w:t>
        </w:r>
      </w:hyperlink>
    </w:p>
    <w:p w:rsidR="00D172F5" w:rsidRPr="00D172F5" w:rsidRDefault="008C7F5B" w:rsidP="00D172F5">
      <w:pPr>
        <w:spacing w:after="200" w:line="252" w:lineRule="auto"/>
        <w:ind w:firstLine="720"/>
        <w:rPr>
          <w:color w:val="000000"/>
          <w:sz w:val="20"/>
        </w:rPr>
      </w:pPr>
      <w:hyperlink r:id="rId48" w:history="1">
        <w:r w:rsidR="00D172F5" w:rsidRPr="00D172F5">
          <w:rPr>
            <w:rStyle w:val="Hyperlink"/>
            <w:color w:val="000000"/>
            <w:u w:val="none"/>
            <w:lang w:val="en-US"/>
          </w:rPr>
          <w:t>Interim guidelines on the hazardous characteristic H12-Ecotoxic</w:t>
        </w:r>
      </w:hyperlink>
    </w:p>
    <w:p w:rsidR="00D172F5" w:rsidRPr="00D172F5" w:rsidRDefault="008C7F5B" w:rsidP="00D172F5">
      <w:pPr>
        <w:spacing w:after="200" w:line="252" w:lineRule="auto"/>
        <w:ind w:firstLine="720"/>
        <w:rPr>
          <w:color w:val="000000"/>
          <w:sz w:val="20"/>
        </w:rPr>
      </w:pPr>
      <w:hyperlink r:id="rId49" w:history="1">
        <w:r w:rsidR="00D172F5" w:rsidRPr="00D172F5">
          <w:rPr>
            <w:rStyle w:val="Hyperlink"/>
            <w:color w:val="000000"/>
            <w:u w:val="none"/>
            <w:lang w:val="en-US"/>
          </w:rPr>
          <w:t>Interim guidelines on hazard characteristic H13 of Annex III to the Basel Convention</w:t>
        </w:r>
      </w:hyperlink>
    </w:p>
    <w:p w:rsidR="00D172F5" w:rsidRPr="00D172F5" w:rsidRDefault="008C7F5B" w:rsidP="00D172F5">
      <w:pPr>
        <w:spacing w:after="200" w:line="252" w:lineRule="auto"/>
        <w:ind w:left="720"/>
        <w:rPr>
          <w:color w:val="000000"/>
          <w:sz w:val="20"/>
        </w:rPr>
      </w:pPr>
      <w:hyperlink r:id="rId50" w:history="1">
        <w:r w:rsidR="00D172F5" w:rsidRPr="00D172F5">
          <w:rPr>
            <w:rStyle w:val="Hyperlink"/>
            <w:color w:val="000000"/>
            <w:u w:val="none"/>
            <w:lang w:val="en-US"/>
          </w:rPr>
          <w:t>Basel Convention Technical Guidelines on Hazardous Waste from the Production and use of Organic Solvents (Y6)</w:t>
        </w:r>
      </w:hyperlink>
    </w:p>
    <w:p w:rsidR="00D172F5" w:rsidRPr="00D172F5" w:rsidRDefault="008C7F5B" w:rsidP="00D172F5">
      <w:pPr>
        <w:spacing w:after="200" w:line="252" w:lineRule="auto"/>
        <w:ind w:firstLine="720"/>
        <w:rPr>
          <w:color w:val="000000"/>
          <w:sz w:val="20"/>
        </w:rPr>
      </w:pPr>
      <w:hyperlink r:id="rId51" w:history="1">
        <w:r w:rsidR="00D172F5" w:rsidRPr="00D172F5">
          <w:rPr>
            <w:rStyle w:val="Hyperlink"/>
            <w:color w:val="000000"/>
            <w:u w:val="none"/>
            <w:lang w:val="en-US"/>
          </w:rPr>
          <w:t>Basel Convention Technical Guidelines on Waste Oils from Petroleum Origins and Sources (Y8)</w:t>
        </w:r>
      </w:hyperlink>
    </w:p>
    <w:p w:rsidR="00D172F5" w:rsidRPr="00D172F5" w:rsidRDefault="008C7F5B" w:rsidP="00D172F5">
      <w:pPr>
        <w:spacing w:after="200" w:line="252" w:lineRule="auto"/>
        <w:ind w:firstLine="720"/>
        <w:rPr>
          <w:color w:val="000000"/>
          <w:sz w:val="20"/>
        </w:rPr>
      </w:pPr>
      <w:hyperlink r:id="rId52" w:history="1">
        <w:r w:rsidR="00D172F5" w:rsidRPr="00D172F5">
          <w:rPr>
            <w:rStyle w:val="Hyperlink"/>
            <w:color w:val="000000"/>
            <w:u w:val="none"/>
            <w:lang w:val="en-US"/>
          </w:rPr>
          <w:t>Technical Guidelines on Wastes Collected from Households (Y46)</w:t>
        </w:r>
      </w:hyperlink>
    </w:p>
    <w:p w:rsidR="00D172F5" w:rsidRPr="00D172F5" w:rsidRDefault="008C7F5B" w:rsidP="00D172F5">
      <w:pPr>
        <w:spacing w:after="200" w:line="252" w:lineRule="auto"/>
        <w:ind w:firstLine="720"/>
        <w:rPr>
          <w:color w:val="000000"/>
          <w:sz w:val="20"/>
        </w:rPr>
      </w:pPr>
      <w:hyperlink r:id="rId53" w:history="1">
        <w:r w:rsidR="00D172F5" w:rsidRPr="00D172F5">
          <w:rPr>
            <w:rStyle w:val="Hyperlink"/>
            <w:color w:val="000000"/>
            <w:u w:val="none"/>
            <w:lang w:val="en-US"/>
          </w:rPr>
          <w:t xml:space="preserve">Basel Convention Technical Guidelines on the Identification and Management of Used </w:t>
        </w:r>
        <w:proofErr w:type="spellStart"/>
        <w:r w:rsidR="00D172F5" w:rsidRPr="00D172F5">
          <w:rPr>
            <w:rStyle w:val="Hyperlink"/>
            <w:color w:val="000000"/>
            <w:u w:val="none"/>
            <w:lang w:val="en-US"/>
          </w:rPr>
          <w:t>Tyres</w:t>
        </w:r>
        <w:proofErr w:type="spellEnd"/>
      </w:hyperlink>
    </w:p>
    <w:p w:rsidR="00D172F5" w:rsidRPr="00D172F5" w:rsidRDefault="008C7F5B" w:rsidP="00D172F5">
      <w:pPr>
        <w:spacing w:after="200" w:line="252" w:lineRule="auto"/>
        <w:ind w:firstLine="720"/>
        <w:rPr>
          <w:color w:val="000000"/>
          <w:sz w:val="20"/>
        </w:rPr>
      </w:pPr>
      <w:hyperlink r:id="rId54" w:history="1">
        <w:r w:rsidR="00D172F5" w:rsidRPr="00D172F5">
          <w:rPr>
            <w:rStyle w:val="Hyperlink"/>
            <w:color w:val="000000"/>
            <w:u w:val="none"/>
            <w:lang w:val="en-US"/>
          </w:rPr>
          <w:t>Basel Convention Technical Guidelines on Specially Engineered Landfill (D5)</w:t>
        </w:r>
      </w:hyperlink>
    </w:p>
    <w:p w:rsidR="00D172F5" w:rsidRPr="00D172F5" w:rsidRDefault="008C7F5B" w:rsidP="00D172F5">
      <w:pPr>
        <w:spacing w:after="200" w:line="252" w:lineRule="auto"/>
        <w:ind w:firstLine="720"/>
        <w:rPr>
          <w:color w:val="000000"/>
          <w:sz w:val="20"/>
        </w:rPr>
      </w:pPr>
      <w:hyperlink r:id="rId55" w:history="1">
        <w:r w:rsidR="00D172F5" w:rsidRPr="00D172F5">
          <w:rPr>
            <w:rStyle w:val="Hyperlink"/>
            <w:color w:val="000000"/>
            <w:u w:val="none"/>
            <w:lang w:val="en-US"/>
          </w:rPr>
          <w:t>Basel Convention Technical Guidelines on Incineration on Land (D10)</w:t>
        </w:r>
      </w:hyperlink>
    </w:p>
    <w:p w:rsidR="00D172F5" w:rsidRPr="00D172F5" w:rsidRDefault="008C7F5B" w:rsidP="00D172F5">
      <w:pPr>
        <w:spacing w:after="200" w:line="252" w:lineRule="auto"/>
        <w:ind w:left="720"/>
        <w:rPr>
          <w:color w:val="000000"/>
          <w:sz w:val="20"/>
        </w:rPr>
      </w:pPr>
      <w:hyperlink r:id="rId56" w:history="1">
        <w:r w:rsidR="00D172F5" w:rsidRPr="00D172F5">
          <w:rPr>
            <w:rStyle w:val="Hyperlink"/>
            <w:color w:val="000000"/>
            <w:u w:val="none"/>
            <w:lang w:val="en-US"/>
          </w:rPr>
          <w:t>Basel Convention Technical Guidelines on Used Oil Re-Refining or Other Re-Uses of Previously Used Oil (R9)</w:t>
        </w:r>
      </w:hyperlink>
    </w:p>
    <w:p w:rsidR="00D172F5" w:rsidRPr="00D172F5" w:rsidRDefault="008C7F5B" w:rsidP="00D172F5">
      <w:pPr>
        <w:spacing w:after="200" w:line="252" w:lineRule="auto"/>
        <w:ind w:left="720"/>
        <w:rPr>
          <w:color w:val="000000"/>
          <w:sz w:val="20"/>
        </w:rPr>
      </w:pPr>
      <w:hyperlink r:id="rId57" w:history="1">
        <w:r w:rsidR="00D172F5" w:rsidRPr="00D172F5">
          <w:rPr>
            <w:rStyle w:val="Hyperlink"/>
            <w:color w:val="000000"/>
            <w:u w:val="none"/>
            <w:lang w:val="en-US"/>
          </w:rPr>
          <w:t xml:space="preserve">Basel Convention Technical Guidelines on Hazardous Waste </w:t>
        </w:r>
        <w:proofErr w:type="spellStart"/>
        <w:r w:rsidR="00D172F5" w:rsidRPr="00D172F5">
          <w:rPr>
            <w:rStyle w:val="Hyperlink"/>
            <w:color w:val="000000"/>
            <w:u w:val="none"/>
            <w:lang w:val="en-US"/>
          </w:rPr>
          <w:t>Physico</w:t>
        </w:r>
        <w:proofErr w:type="spellEnd"/>
        <w:r w:rsidR="00D172F5" w:rsidRPr="00D172F5">
          <w:rPr>
            <w:rStyle w:val="Hyperlink"/>
            <w:color w:val="000000"/>
            <w:u w:val="none"/>
            <w:lang w:val="en-US"/>
          </w:rPr>
          <w:t>-Chemical Treatment (D9) / Biological Treatment (D8)</w:t>
        </w:r>
      </w:hyperlink>
    </w:p>
    <w:p w:rsidR="00D172F5" w:rsidRPr="00D172F5" w:rsidRDefault="008C7F5B" w:rsidP="00D172F5">
      <w:pPr>
        <w:spacing w:after="200" w:line="252" w:lineRule="auto"/>
        <w:ind w:firstLine="720"/>
        <w:rPr>
          <w:color w:val="000000"/>
          <w:sz w:val="20"/>
        </w:rPr>
      </w:pPr>
      <w:hyperlink r:id="rId58" w:history="1">
        <w:r w:rsidR="00D172F5" w:rsidRPr="00D172F5">
          <w:rPr>
            <w:rStyle w:val="Hyperlink"/>
            <w:color w:val="000000"/>
            <w:u w:val="none"/>
            <w:lang w:val="en-US"/>
          </w:rPr>
          <w:t>Technical Guidelines for the Environmentally Sound Management of Waste Lead-acid Batteries</w:t>
        </w:r>
      </w:hyperlink>
    </w:p>
    <w:p w:rsidR="00D172F5" w:rsidRPr="00D172F5" w:rsidRDefault="008C7F5B" w:rsidP="00D172F5">
      <w:pPr>
        <w:spacing w:after="200" w:line="252" w:lineRule="auto"/>
        <w:ind w:left="720"/>
        <w:rPr>
          <w:color w:val="000000"/>
          <w:sz w:val="20"/>
        </w:rPr>
      </w:pPr>
      <w:hyperlink r:id="rId59" w:history="1">
        <w:r w:rsidR="00D172F5" w:rsidRPr="00D172F5">
          <w:rPr>
            <w:rStyle w:val="Hyperlink"/>
            <w:color w:val="000000"/>
            <w:u w:val="none"/>
            <w:lang w:val="en-US"/>
          </w:rPr>
          <w:t>Technical Guidelines on the Environmentally Sound Management of Biomedical and Healthcare Wastes (Y1; Y3)</w:t>
        </w:r>
      </w:hyperlink>
    </w:p>
    <w:p w:rsidR="00D172F5" w:rsidRPr="00D172F5" w:rsidRDefault="008C7F5B" w:rsidP="00D172F5">
      <w:pPr>
        <w:spacing w:after="200" w:line="252" w:lineRule="auto"/>
        <w:ind w:left="720"/>
        <w:rPr>
          <w:color w:val="000000"/>
          <w:sz w:val="20"/>
        </w:rPr>
      </w:pPr>
      <w:hyperlink r:id="rId60" w:history="1">
        <w:r w:rsidR="00D172F5" w:rsidRPr="00D172F5">
          <w:rPr>
            <w:rStyle w:val="Hyperlink"/>
            <w:color w:val="000000"/>
            <w:u w:val="none"/>
            <w:lang w:val="en-US"/>
          </w:rPr>
          <w:t>Technical guidelines on the environmentally sound recycling/reclamation of metals and metal compounds (R4)</w:t>
        </w:r>
      </w:hyperlink>
    </w:p>
    <w:p w:rsidR="00D172F5" w:rsidRPr="00D201E8" w:rsidRDefault="00D172F5" w:rsidP="00D172F5">
      <w:pPr>
        <w:jc w:val="center"/>
        <w:rPr>
          <w:sz w:val="20"/>
        </w:rPr>
      </w:pPr>
      <w:r>
        <w:rPr>
          <w:sz w:val="20"/>
        </w:rPr>
        <w:t>____________________</w:t>
      </w:r>
    </w:p>
    <w:p w:rsidR="00A140D6" w:rsidRDefault="00A140D6" w:rsidP="00A02ED3">
      <w:pPr>
        <w:tabs>
          <w:tab w:val="left" w:pos="2552"/>
        </w:tabs>
        <w:spacing w:after="120"/>
        <w:rPr>
          <w:sz w:val="20"/>
        </w:rPr>
      </w:pPr>
    </w:p>
    <w:p w:rsidR="00A140D6" w:rsidRDefault="00A140D6" w:rsidP="00967DFE">
      <w:pPr>
        <w:tabs>
          <w:tab w:val="left" w:pos="2552"/>
        </w:tabs>
        <w:spacing w:after="120"/>
        <w:ind w:left="1440" w:firstLine="545"/>
        <w:rPr>
          <w:sz w:val="20"/>
        </w:rPr>
      </w:pPr>
    </w:p>
    <w:p w:rsidR="00A140D6" w:rsidRPr="00A30615" w:rsidRDefault="00A140D6" w:rsidP="00967DFE">
      <w:pPr>
        <w:tabs>
          <w:tab w:val="left" w:pos="2552"/>
        </w:tabs>
        <w:spacing w:after="120"/>
        <w:ind w:left="1440" w:firstLine="545"/>
        <w:rPr>
          <w:sz w:val="20"/>
        </w:rPr>
      </w:pPr>
    </w:p>
    <w:sectPr w:rsidR="00A140D6" w:rsidRPr="00A30615" w:rsidSect="005B1638">
      <w:headerReference w:type="first" r:id="rId61"/>
      <w:pgSz w:w="11909" w:h="16834" w:code="9"/>
      <w:pgMar w:top="907" w:right="992" w:bottom="1418" w:left="1418" w:header="539" w:footer="9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AB" w:rsidRDefault="00FD0EAB">
      <w:r>
        <w:separator/>
      </w:r>
    </w:p>
    <w:p w:rsidR="00FD0EAB" w:rsidRDefault="00FD0EAB"/>
  </w:endnote>
  <w:endnote w:type="continuationSeparator" w:id="0">
    <w:p w:rsidR="00FD0EAB" w:rsidRDefault="00FD0EAB">
      <w:r>
        <w:continuationSeparator/>
      </w:r>
    </w:p>
    <w:p w:rsidR="00FD0EAB" w:rsidRDefault="00FD0E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AB" w:rsidRDefault="00FD0EAB" w:rsidP="00C93AAD">
      <w:pPr>
        <w:ind w:left="624"/>
      </w:pPr>
      <w:r>
        <w:separator/>
      </w:r>
    </w:p>
    <w:p w:rsidR="00FD0EAB" w:rsidRDefault="00FD0EAB"/>
  </w:footnote>
  <w:footnote w:type="continuationSeparator" w:id="0">
    <w:p w:rsidR="00FD0EAB" w:rsidRDefault="00FD0EAB">
      <w:r>
        <w:continuationSeparator/>
      </w:r>
    </w:p>
    <w:p w:rsidR="00FD0EAB" w:rsidRDefault="00FD0EAB"/>
  </w:footnote>
  <w:footnote w:id="1">
    <w:p w:rsidR="00EE5C43" w:rsidRPr="00D24AD6" w:rsidRDefault="00EE5C43" w:rsidP="00C552BA">
      <w:pPr>
        <w:pStyle w:val="FootnoteText"/>
        <w:ind w:left="1248"/>
        <w:rPr>
          <w:szCs w:val="18"/>
          <w:lang w:val="pt-PT"/>
        </w:rPr>
      </w:pPr>
      <w:r w:rsidRPr="00D24AD6">
        <w:rPr>
          <w:rStyle w:val="FootnoteReference"/>
          <w:sz w:val="18"/>
        </w:rPr>
        <w:footnoteRef/>
      </w:r>
      <w:r w:rsidRPr="00D24AD6">
        <w:rPr>
          <w:szCs w:val="18"/>
        </w:rPr>
        <w:t xml:space="preserve"> </w:t>
      </w:r>
      <w:hyperlink r:id="rId1" w:history="1">
        <w:r w:rsidRPr="00F37A1F">
          <w:rPr>
            <w:rStyle w:val="Hyperlink"/>
            <w:sz w:val="18"/>
            <w:szCs w:val="18"/>
            <w:lang w:val="en-GB"/>
          </w:rPr>
          <w:t>http://www.basel.int/Implementation/CountryLedInitiative/EnvironmentallySoundManagement/ESMFramework/tabid/3616/Default.aspx</w:t>
        </w:r>
      </w:hyperlink>
      <w:r>
        <w:rPr>
          <w:szCs w:val="18"/>
        </w:rPr>
        <w:t xml:space="preserve"> </w:t>
      </w:r>
    </w:p>
  </w:footnote>
  <w:footnote w:id="2">
    <w:p w:rsidR="00EE5C43" w:rsidRPr="00C552BA" w:rsidRDefault="00EE5C43">
      <w:pPr>
        <w:pStyle w:val="FootnoteText"/>
        <w:rPr>
          <w:lang w:val="en-US"/>
        </w:rPr>
      </w:pPr>
      <w:r>
        <w:rPr>
          <w:rStyle w:val="FootnoteReference"/>
        </w:rPr>
        <w:footnoteRef/>
      </w:r>
      <w:r>
        <w:t xml:space="preserve"> </w:t>
      </w:r>
      <w:hyperlink r:id="rId2" w:history="1">
        <w:r w:rsidRPr="00F37A1F">
          <w:rPr>
            <w:rStyle w:val="Hyperlink"/>
            <w:sz w:val="18"/>
            <w:lang w:val="en-GB"/>
          </w:rPr>
          <w:t>http://www.basel.int/Implementation/Publications/TechnicalGuidelines/tabid/2362/Default.aspx</w:t>
        </w:r>
      </w:hyperlink>
      <w:r>
        <w:t xml:space="preserve"> </w:t>
      </w:r>
    </w:p>
  </w:footnote>
  <w:footnote w:id="3">
    <w:p w:rsidR="00EE5C43" w:rsidRPr="00C552BA" w:rsidRDefault="00EE5C43">
      <w:pPr>
        <w:pStyle w:val="FootnoteText"/>
        <w:rPr>
          <w:lang w:val="en-US"/>
        </w:rPr>
      </w:pPr>
      <w:r>
        <w:rPr>
          <w:rStyle w:val="FootnoteReference"/>
        </w:rPr>
        <w:footnoteRef/>
      </w:r>
      <w:r>
        <w:t xml:space="preserve"> </w:t>
      </w:r>
      <w:hyperlink r:id="rId3" w:history="1">
        <w:r w:rsidRPr="00F37A1F">
          <w:rPr>
            <w:rStyle w:val="Hyperlink"/>
            <w:sz w:val="18"/>
            <w:lang w:val="en-GB"/>
          </w:rPr>
          <w:t>http://www.basel.int/Implementation/TechnicalAssistance/Partnerships/MPPI/Overview/tabid/3268/Default.aspx</w:t>
        </w:r>
      </w:hyperlink>
      <w:r>
        <w:t xml:space="preserve"> </w:t>
      </w:r>
    </w:p>
  </w:footnote>
  <w:footnote w:id="4">
    <w:p w:rsidR="00EE5C43" w:rsidRPr="00C552BA" w:rsidRDefault="00EE5C43">
      <w:pPr>
        <w:pStyle w:val="FootnoteText"/>
        <w:rPr>
          <w:lang w:val="en-US"/>
        </w:rPr>
      </w:pPr>
      <w:r>
        <w:rPr>
          <w:rStyle w:val="FootnoteReference"/>
        </w:rPr>
        <w:footnoteRef/>
      </w:r>
      <w:r>
        <w:t xml:space="preserve"> </w:t>
      </w:r>
      <w:hyperlink r:id="rId4" w:history="1">
        <w:r w:rsidRPr="00F37A1F">
          <w:rPr>
            <w:rStyle w:val="Hyperlink"/>
            <w:sz w:val="18"/>
            <w:lang w:val="en-GB"/>
          </w:rPr>
          <w:t>http://www.basel.int/Implementation/TechnicalAssistance/Partnerships/PACE/Overview/tabid/3243/Default.aspx</w:t>
        </w:r>
      </w:hyperlink>
      <w:r>
        <w:t xml:space="preserve"> </w:t>
      </w:r>
    </w:p>
  </w:footnote>
  <w:footnote w:id="5">
    <w:p w:rsidR="00EE5C43" w:rsidRPr="00C552BA" w:rsidRDefault="00EE5C43">
      <w:pPr>
        <w:pStyle w:val="FootnoteText"/>
        <w:rPr>
          <w:lang w:val="en-US"/>
        </w:rPr>
      </w:pPr>
      <w:r>
        <w:rPr>
          <w:rStyle w:val="FootnoteReference"/>
        </w:rPr>
        <w:footnoteRef/>
      </w:r>
      <w:r>
        <w:t xml:space="preserve"> </w:t>
      </w:r>
      <w:hyperlink r:id="rId5" w:history="1">
        <w:r w:rsidRPr="00F37A1F">
          <w:rPr>
            <w:rStyle w:val="Hyperlink"/>
            <w:sz w:val="18"/>
            <w:lang w:val="en-GB"/>
          </w:rPr>
          <w:t>http://archive.basel.int/meetings/cop/cop5/ministerfinal.pdf</w:t>
        </w:r>
      </w:hyperlink>
      <w:r>
        <w:t xml:space="preserve"> </w:t>
      </w:r>
    </w:p>
  </w:footnote>
  <w:footnote w:id="6">
    <w:p w:rsidR="00EE5C43" w:rsidRPr="00C552BA" w:rsidRDefault="00EE5C43">
      <w:pPr>
        <w:pStyle w:val="FootnoteText"/>
        <w:rPr>
          <w:lang w:val="en-US"/>
        </w:rPr>
      </w:pPr>
      <w:r>
        <w:rPr>
          <w:rStyle w:val="FootnoteReference"/>
        </w:rPr>
        <w:footnoteRef/>
      </w:r>
      <w:r>
        <w:t xml:space="preserve"> </w:t>
      </w:r>
      <w:hyperlink r:id="rId6" w:history="1">
        <w:r w:rsidRPr="00F37A1F">
          <w:rPr>
            <w:rStyle w:val="Hyperlink"/>
            <w:sz w:val="18"/>
            <w:lang w:val="en-GB"/>
          </w:rPr>
          <w:t>http://acts.oecd.org/Instruments/ShowInstrumentView.aspx?InstrumentID=51&amp;InstrumentPID=48&amp;Lang=en&amp;Book</w:t>
        </w:r>
      </w:hyperlink>
      <w:r w:rsidRPr="00C552BA">
        <w:t>=</w:t>
      </w:r>
      <w:r>
        <w:t xml:space="preserve"> </w:t>
      </w:r>
    </w:p>
  </w:footnote>
  <w:footnote w:id="7">
    <w:p w:rsidR="00EE5C43" w:rsidRPr="00A61479" w:rsidRDefault="00EE5C43">
      <w:pPr>
        <w:pStyle w:val="FootnoteText"/>
        <w:rPr>
          <w:lang w:val="en-US"/>
        </w:rPr>
      </w:pPr>
      <w:r>
        <w:rPr>
          <w:rStyle w:val="FootnoteReference"/>
        </w:rPr>
        <w:footnoteRef/>
      </w:r>
      <w:r>
        <w:t xml:space="preserve"> </w:t>
      </w:r>
      <w:r w:rsidRPr="00A61479">
        <w:t xml:space="preserve">Use of best available techniques implies the use of technology, processes, equipment and operations that are based on scientific knowledge, whose functional value has been successfully tested </w:t>
      </w:r>
      <w:r>
        <w:t>in operative comparable plants.</w:t>
      </w:r>
    </w:p>
  </w:footnote>
  <w:footnote w:id="8">
    <w:p w:rsidR="00EE5C43" w:rsidRPr="00C552BA" w:rsidRDefault="00EE5C43">
      <w:pPr>
        <w:pStyle w:val="FootnoteText"/>
        <w:rPr>
          <w:lang w:val="en-US"/>
        </w:rPr>
      </w:pPr>
      <w:r>
        <w:rPr>
          <w:rStyle w:val="FootnoteReference"/>
        </w:rPr>
        <w:footnoteRef/>
      </w:r>
      <w:r>
        <w:t xml:space="preserve"> </w:t>
      </w:r>
      <w:hyperlink r:id="rId7" w:history="1">
        <w:r w:rsidRPr="00F37A1F">
          <w:rPr>
            <w:rStyle w:val="Hyperlink"/>
            <w:sz w:val="18"/>
            <w:lang w:val="en-GB"/>
          </w:rPr>
          <w:t>http://www.basel.int/Implementation/CountryLedInitiative/EnvironmentallySoundManagement/ESMFramework/tabid/3616/Default.aspx</w:t>
        </w:r>
      </w:hyperlink>
      <w:r>
        <w:t xml:space="preserve"> </w:t>
      </w:r>
    </w:p>
  </w:footnote>
  <w:footnote w:id="9">
    <w:p w:rsidR="00EE5C43" w:rsidRPr="00967DFE" w:rsidRDefault="00EE5C43" w:rsidP="00967DFE">
      <w:pPr>
        <w:pStyle w:val="FootnoteText"/>
        <w:rPr>
          <w:szCs w:val="18"/>
        </w:rPr>
      </w:pPr>
      <w:r w:rsidRPr="00967DFE">
        <w:rPr>
          <w:rStyle w:val="FootnoteReference"/>
          <w:sz w:val="18"/>
        </w:rPr>
        <w:footnoteRef/>
      </w:r>
      <w:r w:rsidRPr="00967DFE">
        <w:rPr>
          <w:szCs w:val="18"/>
        </w:rPr>
        <w:t xml:space="preserve"> Disposal operations refer to any </w:t>
      </w:r>
      <w:r w:rsidRPr="00967DFE">
        <w:rPr>
          <w:szCs w:val="18"/>
          <w:lang w:val="en-CA"/>
        </w:rPr>
        <w:t>operation specified in Annex IV (sections A and B) to the Basel Convention.</w:t>
      </w:r>
    </w:p>
  </w:footnote>
  <w:footnote w:id="10">
    <w:p w:rsidR="00EE5C43" w:rsidRPr="00C552BA" w:rsidRDefault="00EE5C43">
      <w:pPr>
        <w:pStyle w:val="FootnoteText"/>
        <w:rPr>
          <w:lang w:val="en-US"/>
        </w:rPr>
      </w:pPr>
      <w:r>
        <w:rPr>
          <w:rStyle w:val="FootnoteReference"/>
        </w:rPr>
        <w:footnoteRef/>
      </w:r>
      <w:r>
        <w:t xml:space="preserve"> </w:t>
      </w:r>
      <w:hyperlink r:id="rId8" w:history="1">
        <w:r w:rsidRPr="00F37A1F">
          <w:rPr>
            <w:rStyle w:val="Hyperlink"/>
            <w:sz w:val="18"/>
            <w:lang w:val="en-GB"/>
          </w:rPr>
          <w:t>https://pub.iges.or.jp/pub/policy-fostering-sound-recycling-industries</w:t>
        </w:r>
      </w:hyperlink>
      <w:r>
        <w:t xml:space="preserve"> </w:t>
      </w:r>
    </w:p>
  </w:footnote>
  <w:footnote w:id="11">
    <w:p w:rsidR="00EE5C43" w:rsidRPr="00996D4E" w:rsidRDefault="00EE5C43">
      <w:pPr>
        <w:pStyle w:val="FootnoteText"/>
        <w:rPr>
          <w:lang w:val="en-US"/>
        </w:rPr>
      </w:pPr>
      <w:r>
        <w:rPr>
          <w:rStyle w:val="FootnoteReference"/>
        </w:rPr>
        <w:footnoteRef/>
      </w:r>
      <w:r>
        <w:t xml:space="preserve"> </w:t>
      </w:r>
      <w:hyperlink r:id="rId9" w:history="1">
        <w:r w:rsidRPr="00F37A1F">
          <w:rPr>
            <w:rStyle w:val="Hyperlink"/>
            <w:sz w:val="18"/>
            <w:lang w:val="en-GB"/>
          </w:rPr>
          <w:t>http://www.oecd.org/env/waste/environmentallysoundmanagementofwaste.htm</w:t>
        </w:r>
      </w:hyperlink>
      <w:r>
        <w:t xml:space="preserve"> </w:t>
      </w:r>
    </w:p>
  </w:footnote>
  <w:footnote w:id="12">
    <w:p w:rsidR="00EE5C43" w:rsidRPr="00020671" w:rsidRDefault="00EE5C43">
      <w:pPr>
        <w:pStyle w:val="FootnoteText"/>
        <w:rPr>
          <w:lang w:val="en-US"/>
        </w:rPr>
      </w:pPr>
      <w:r>
        <w:rPr>
          <w:rStyle w:val="FootnoteReference"/>
        </w:rPr>
        <w:footnoteRef/>
      </w:r>
      <w:r>
        <w:t xml:space="preserve"> </w:t>
      </w:r>
      <w:hyperlink r:id="rId10" w:history="1">
        <w:r w:rsidRPr="00F37A1F">
          <w:rPr>
            <w:rStyle w:val="Hyperlink"/>
            <w:sz w:val="18"/>
            <w:lang w:val="en-GB"/>
          </w:rPr>
          <w:t>http://www.ilmc.org/pub.html</w:t>
        </w:r>
      </w:hyperlink>
      <w:r>
        <w:t xml:space="preserve"> </w:t>
      </w:r>
    </w:p>
  </w:footnote>
  <w:footnote w:id="13">
    <w:p w:rsidR="00EE5C43" w:rsidRPr="001E58C9" w:rsidRDefault="00EE5C43">
      <w:pPr>
        <w:pStyle w:val="FootnoteText"/>
        <w:rPr>
          <w:lang w:val="en-US"/>
        </w:rPr>
      </w:pPr>
      <w:r>
        <w:rPr>
          <w:rStyle w:val="FootnoteReference"/>
        </w:rPr>
        <w:footnoteRef/>
      </w:r>
      <w:r>
        <w:t xml:space="preserve"> </w:t>
      </w:r>
      <w:hyperlink r:id="rId11" w:history="1">
        <w:r w:rsidRPr="00F37A1F">
          <w:rPr>
            <w:rStyle w:val="Hyperlink"/>
            <w:sz w:val="18"/>
            <w:lang w:val="en-GB"/>
          </w:rPr>
          <w:t>http://www.ilmc.org/Basel%20Project/Guatemala/Acumuladores%20Iberia/Assessment/ESM%20Site%20Assessment%20-%20Acumaladores%20Iberia%20Nov%202008.pdf</w:t>
        </w:r>
      </w:hyperlink>
      <w:r>
        <w:t xml:space="preserve"> </w:t>
      </w:r>
    </w:p>
  </w:footnote>
  <w:footnote w:id="14">
    <w:p w:rsidR="00EE5C43" w:rsidRPr="00C87AF3" w:rsidRDefault="00EE5C43">
      <w:pPr>
        <w:pStyle w:val="FootnoteText"/>
        <w:rPr>
          <w:lang w:val="en-US"/>
        </w:rPr>
      </w:pPr>
      <w:r>
        <w:rPr>
          <w:rStyle w:val="FootnoteReference"/>
        </w:rPr>
        <w:footnoteRef/>
      </w:r>
      <w:r>
        <w:t xml:space="preserve"> </w:t>
      </w:r>
      <w:hyperlink r:id="rId12" w:history="1">
        <w:r w:rsidRPr="00F37A1F">
          <w:rPr>
            <w:rStyle w:val="Hyperlink"/>
            <w:sz w:val="18"/>
            <w:lang w:val="en-GB"/>
          </w:rPr>
          <w:t>http://www.hazwastehelp.org/BHW/voucher.aspx</w:t>
        </w:r>
      </w:hyperlink>
      <w:r>
        <w:t xml:space="preserve"> </w:t>
      </w:r>
    </w:p>
  </w:footnote>
  <w:footnote w:id="15">
    <w:p w:rsidR="00EE5C43" w:rsidRPr="00BF0FB5" w:rsidRDefault="00EE5C43">
      <w:pPr>
        <w:pStyle w:val="FootnoteText"/>
        <w:rPr>
          <w:lang w:val="en-US"/>
        </w:rPr>
      </w:pPr>
      <w:r>
        <w:rPr>
          <w:rStyle w:val="FootnoteReference"/>
        </w:rPr>
        <w:footnoteRef/>
      </w:r>
      <w:r>
        <w:t xml:space="preserve"> </w:t>
      </w:r>
      <w:hyperlink r:id="rId13" w:history="1">
        <w:r w:rsidRPr="00F37A1F">
          <w:rPr>
            <w:rStyle w:val="Hyperlink"/>
            <w:sz w:val="18"/>
            <w:lang w:val="en-GB"/>
          </w:rPr>
          <w:t>http://www.env.go.jp/policy/j-hiroba/ea21/guideline2009_en.pdf</w:t>
        </w:r>
      </w:hyperlink>
      <w:r>
        <w:t xml:space="preserve"> </w:t>
      </w:r>
    </w:p>
  </w:footnote>
  <w:footnote w:id="16">
    <w:p w:rsidR="00EE5C43" w:rsidRPr="00EE5C43" w:rsidRDefault="00EE5C43">
      <w:pPr>
        <w:pStyle w:val="FootnoteText"/>
        <w:rPr>
          <w:lang w:val="en-US"/>
        </w:rPr>
      </w:pPr>
      <w:r>
        <w:rPr>
          <w:rStyle w:val="FootnoteReference"/>
        </w:rPr>
        <w:footnoteRef/>
      </w:r>
      <w:r>
        <w:t xml:space="preserve"> </w:t>
      </w:r>
      <w:hyperlink r:id="rId14" w:history="1">
        <w:r w:rsidRPr="00F37A1F">
          <w:rPr>
            <w:rStyle w:val="Hyperlink"/>
            <w:sz w:val="18"/>
            <w:lang w:val="en-GB"/>
          </w:rPr>
          <w:t>http://www.oecd.org/development/extended-producer-responsibility-9789264256385-en.htm</w:t>
        </w:r>
      </w:hyperlink>
      <w:r>
        <w:t xml:space="preserve"> </w:t>
      </w:r>
    </w:p>
  </w:footnote>
  <w:footnote w:id="17">
    <w:p w:rsidR="00EE5C43" w:rsidRPr="00EE5C43" w:rsidRDefault="00EE5C43">
      <w:pPr>
        <w:pStyle w:val="FootnoteText"/>
        <w:rPr>
          <w:lang w:val="en-US"/>
        </w:rPr>
      </w:pPr>
      <w:r>
        <w:rPr>
          <w:rStyle w:val="FootnoteReference"/>
        </w:rPr>
        <w:footnoteRef/>
      </w:r>
      <w:r>
        <w:t xml:space="preserve"> </w:t>
      </w:r>
      <w:hyperlink r:id="rId15" w:history="1">
        <w:r w:rsidRPr="00F37A1F">
          <w:rPr>
            <w:rStyle w:val="Hyperlink"/>
            <w:sz w:val="18"/>
            <w:lang w:val="en-GB"/>
          </w:rPr>
          <w:t>http://www.oecd.org/env/tools-evaluation/extendedproducerresponsibility.htm</w:t>
        </w:r>
      </w:hyperlink>
      <w:r>
        <w:t xml:space="preserve"> </w:t>
      </w:r>
    </w:p>
  </w:footnote>
  <w:footnote w:id="18">
    <w:p w:rsidR="00EE5C43" w:rsidRPr="00EE5C43" w:rsidRDefault="00EE5C43">
      <w:pPr>
        <w:pStyle w:val="FootnoteText"/>
        <w:rPr>
          <w:lang w:val="en-US"/>
        </w:rPr>
      </w:pPr>
      <w:r>
        <w:rPr>
          <w:rStyle w:val="FootnoteReference"/>
        </w:rPr>
        <w:footnoteRef/>
      </w:r>
      <w:r>
        <w:t xml:space="preserve"> </w:t>
      </w:r>
      <w:hyperlink r:id="rId16" w:history="1">
        <w:r w:rsidRPr="00F37A1F">
          <w:rPr>
            <w:rStyle w:val="Hyperlink"/>
            <w:sz w:val="18"/>
            <w:lang w:val="en-GB"/>
          </w:rPr>
          <w:t>http://www.step-initiative.org/china-administrative-measures-for-waste-electrical-and-electronic-equipment-treatment-fund-notice-no-34-2012-855.html</w:t>
        </w:r>
      </w:hyperlink>
      <w:r>
        <w:t xml:space="preserve"> </w:t>
      </w:r>
    </w:p>
  </w:footnote>
  <w:footnote w:id="19">
    <w:p w:rsidR="00EE5C43" w:rsidRPr="00D201E8" w:rsidRDefault="00EE5C43" w:rsidP="00A02ED3">
      <w:pPr>
        <w:pStyle w:val="FootnoteText"/>
        <w:ind w:left="1418"/>
        <w:rPr>
          <w:szCs w:val="18"/>
        </w:rPr>
      </w:pPr>
      <w:r w:rsidRPr="00D201E8">
        <w:rPr>
          <w:rStyle w:val="FootnoteReference"/>
        </w:rPr>
        <w:footnoteRef/>
      </w:r>
      <w:r w:rsidRPr="00D201E8">
        <w:rPr>
          <w:szCs w:val="18"/>
        </w:rPr>
        <w:t xml:space="preserve"> </w:t>
      </w:r>
      <w:hyperlink r:id="rId17" w:history="1">
        <w:r w:rsidRPr="00A140D6">
          <w:rPr>
            <w:rStyle w:val="Hyperlink"/>
            <w:szCs w:val="18"/>
            <w:lang w:val="en-GB"/>
          </w:rPr>
          <w:t>http://www.basel.int/Partners/RegionalCentres/Overview/tabid/2334/Default.aspx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43" w:rsidRDefault="00EE5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lowerLetter"/>
      <w:lvlText w:val="%1)"/>
      <w:lvlJc w:val="left"/>
      <w:pPr>
        <w:tabs>
          <w:tab w:val="num" w:pos="0"/>
        </w:tabs>
        <w:ind w:left="405" w:hanging="360"/>
      </w:pPr>
    </w:lvl>
  </w:abstractNum>
  <w:abstractNum w:abstractNumId="1">
    <w:nsid w:val="0000000A"/>
    <w:multiLevelType w:val="singleLevel"/>
    <w:tmpl w:val="0000000A"/>
    <w:name w:val="WW8Num12"/>
    <w:lvl w:ilvl="0">
      <w:start w:val="1"/>
      <w:numFmt w:val="upperRoman"/>
      <w:lvlText w:val="%1."/>
      <w:lvlJc w:val="left"/>
      <w:pPr>
        <w:tabs>
          <w:tab w:val="num" w:pos="0"/>
        </w:tabs>
        <w:ind w:left="720" w:hanging="720"/>
      </w:pPr>
    </w:lvl>
  </w:abstractNum>
  <w:abstractNum w:abstractNumId="2">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sz w:val="20"/>
      </w:rPr>
    </w:lvl>
  </w:abstractNum>
  <w:abstractNum w:abstractNumId="3">
    <w:nsid w:val="0000000D"/>
    <w:multiLevelType w:val="singleLevel"/>
    <w:tmpl w:val="0000000D"/>
    <w:name w:val="WW8Num15"/>
    <w:lvl w:ilvl="0">
      <w:start w:val="1"/>
      <w:numFmt w:val="decimal"/>
      <w:lvlText w:val="%1."/>
      <w:lvlJc w:val="left"/>
      <w:pPr>
        <w:tabs>
          <w:tab w:val="num" w:pos="0"/>
        </w:tabs>
        <w:ind w:left="1068" w:hanging="360"/>
      </w:pPr>
      <w:rPr>
        <w:b/>
        <w:szCs w:val="24"/>
      </w:rPr>
    </w:lvl>
  </w:abstractNum>
  <w:abstractNum w:abstractNumId="4">
    <w:nsid w:val="13862EB7"/>
    <w:multiLevelType w:val="singleLevel"/>
    <w:tmpl w:val="D47ADF9C"/>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5">
    <w:nsid w:val="171113A7"/>
    <w:multiLevelType w:val="multilevel"/>
    <w:tmpl w:val="48241D10"/>
    <w:numStyleLink w:val="Normallist"/>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1131FBA"/>
    <w:multiLevelType w:val="hybridMultilevel"/>
    <w:tmpl w:val="2EBC719E"/>
    <w:lvl w:ilvl="0" w:tplc="28EC539C">
      <w:start w:val="1"/>
      <w:numFmt w:val="decimal"/>
      <w:lvlText w:val="%1."/>
      <w:lvlJc w:val="left"/>
      <w:pPr>
        <w:ind w:left="720" w:hanging="360"/>
      </w:pPr>
      <w:rPr>
        <w:rFonts w:hint="default"/>
        <w:b w:val="0"/>
        <w:bCs/>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1C3085"/>
    <w:multiLevelType w:val="singleLevel"/>
    <w:tmpl w:val="344CD652"/>
    <w:lvl w:ilvl="0">
      <w:start w:val="1"/>
      <w:numFmt w:val="lowerLetter"/>
      <w:pStyle w:val="Paralevel2"/>
      <w:lvlText w:val="(%1)"/>
      <w:lvlJc w:val="left"/>
      <w:pPr>
        <w:tabs>
          <w:tab w:val="num" w:pos="938"/>
        </w:tabs>
        <w:ind w:left="0" w:firstLine="578"/>
      </w:pPr>
      <w:rPr>
        <w:rFonts w:hint="default"/>
      </w:r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7152589"/>
    <w:multiLevelType w:val="hybridMultilevel"/>
    <w:tmpl w:val="920E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C782A"/>
    <w:multiLevelType w:val="hybridMultilevel"/>
    <w:tmpl w:val="6E089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7B497B34"/>
    <w:multiLevelType w:val="hybridMultilevel"/>
    <w:tmpl w:val="B506166A"/>
    <w:lvl w:ilvl="0" w:tplc="1CA89F56">
      <w:start w:val="1"/>
      <w:numFmt w:val="decimal"/>
      <w:pStyle w:val="StyleParalevel1Left22cm"/>
      <w:lvlText w:val="%1."/>
      <w:lvlJc w:val="left"/>
      <w:pPr>
        <w:tabs>
          <w:tab w:val="num" w:pos="1607"/>
        </w:tabs>
        <w:ind w:left="1247" w:firstLine="0"/>
      </w:pPr>
      <w:rPr>
        <w:rFonts w:ascii="Times New Roman" w:hAnsi="Times New Roman" w:hint="default"/>
        <w:b w:val="0"/>
        <w:i w:val="0"/>
        <w:sz w:val="20"/>
        <w:szCs w:val="20"/>
      </w:rPr>
    </w:lvl>
    <w:lvl w:ilvl="1" w:tplc="15547690">
      <w:start w:val="1"/>
      <w:numFmt w:val="lowerLetter"/>
      <w:lvlText w:val="(%2)"/>
      <w:lvlJc w:val="left"/>
      <w:pPr>
        <w:tabs>
          <w:tab w:val="num" w:pos="2975"/>
        </w:tabs>
        <w:ind w:left="3047" w:hanging="720"/>
      </w:pPr>
      <w:rPr>
        <w:rFonts w:hint="default"/>
        <w:b w:val="0"/>
        <w:i w:val="0"/>
        <w:sz w:val="20"/>
        <w:szCs w:val="20"/>
      </w:rPr>
    </w:lvl>
    <w:lvl w:ilvl="2" w:tplc="FED85972" w:tentative="1">
      <w:start w:val="1"/>
      <w:numFmt w:val="lowerRoman"/>
      <w:lvlText w:val="%3."/>
      <w:lvlJc w:val="right"/>
      <w:pPr>
        <w:tabs>
          <w:tab w:val="num" w:pos="3407"/>
        </w:tabs>
        <w:ind w:left="3407" w:hanging="180"/>
      </w:pPr>
    </w:lvl>
    <w:lvl w:ilvl="3" w:tplc="E932E470" w:tentative="1">
      <w:start w:val="1"/>
      <w:numFmt w:val="decimal"/>
      <w:lvlText w:val="%4."/>
      <w:lvlJc w:val="left"/>
      <w:pPr>
        <w:tabs>
          <w:tab w:val="num" w:pos="4127"/>
        </w:tabs>
        <w:ind w:left="4127" w:hanging="360"/>
      </w:pPr>
    </w:lvl>
    <w:lvl w:ilvl="4" w:tplc="23283C2E" w:tentative="1">
      <w:start w:val="1"/>
      <w:numFmt w:val="lowerLetter"/>
      <w:lvlText w:val="%5."/>
      <w:lvlJc w:val="left"/>
      <w:pPr>
        <w:tabs>
          <w:tab w:val="num" w:pos="4847"/>
        </w:tabs>
        <w:ind w:left="4847" w:hanging="360"/>
      </w:pPr>
    </w:lvl>
    <w:lvl w:ilvl="5" w:tplc="0C3470F0" w:tentative="1">
      <w:start w:val="1"/>
      <w:numFmt w:val="lowerRoman"/>
      <w:lvlText w:val="%6."/>
      <w:lvlJc w:val="right"/>
      <w:pPr>
        <w:tabs>
          <w:tab w:val="num" w:pos="5567"/>
        </w:tabs>
        <w:ind w:left="5567" w:hanging="180"/>
      </w:pPr>
    </w:lvl>
    <w:lvl w:ilvl="6" w:tplc="111EF3B4" w:tentative="1">
      <w:start w:val="1"/>
      <w:numFmt w:val="decimal"/>
      <w:lvlText w:val="%7."/>
      <w:lvlJc w:val="left"/>
      <w:pPr>
        <w:tabs>
          <w:tab w:val="num" w:pos="6287"/>
        </w:tabs>
        <w:ind w:left="6287" w:hanging="360"/>
      </w:pPr>
    </w:lvl>
    <w:lvl w:ilvl="7" w:tplc="03646358" w:tentative="1">
      <w:start w:val="1"/>
      <w:numFmt w:val="lowerLetter"/>
      <w:lvlText w:val="%8."/>
      <w:lvlJc w:val="left"/>
      <w:pPr>
        <w:tabs>
          <w:tab w:val="num" w:pos="7007"/>
        </w:tabs>
        <w:ind w:left="7007" w:hanging="360"/>
      </w:pPr>
    </w:lvl>
    <w:lvl w:ilvl="8" w:tplc="C316DADA" w:tentative="1">
      <w:start w:val="1"/>
      <w:numFmt w:val="lowerRoman"/>
      <w:lvlText w:val="%9."/>
      <w:lvlJc w:val="right"/>
      <w:pPr>
        <w:tabs>
          <w:tab w:val="num" w:pos="7727"/>
        </w:tabs>
        <w:ind w:left="7727" w:hanging="180"/>
      </w:pPr>
    </w:lvl>
  </w:abstractNum>
  <w:num w:numId="1">
    <w:abstractNumId w:val="6"/>
  </w:num>
  <w:num w:numId="2">
    <w:abstractNumId w:val="9"/>
  </w:num>
  <w:num w:numId="3">
    <w:abstractNumId w:val="12"/>
  </w:num>
  <w:num w:numId="4">
    <w:abstractNumId w:val="5"/>
    <w:lvlOverride w:ilvl="0">
      <w:lvl w:ilvl="0">
        <w:numFmt w:val="decimal"/>
        <w:pStyle w:val="Normalnumber"/>
        <w:lvlText w:val=""/>
        <w:lvlJc w:val="left"/>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num>
  <w:num w:numId="5">
    <w:abstractNumId w:val="4"/>
  </w:num>
  <w:num w:numId="6">
    <w:abstractNumId w:val="8"/>
  </w:num>
  <w:num w:numId="7">
    <w:abstractNumId w:val="13"/>
  </w:num>
  <w:num w:numId="8">
    <w:abstractNumId w:val="7"/>
  </w:num>
  <w:num w:numId="9">
    <w:abstractNumId w:val="11"/>
  </w:num>
  <w:num w:numId="10">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001"/>
  <w:defaultTabStop w:val="624"/>
  <w:hyphenationZone w:val="425"/>
  <w:evenAndOddHeaders/>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applyBreakingRules/>
  </w:compat>
  <w:rsids>
    <w:rsidRoot w:val="00C32795"/>
    <w:rsid w:val="000007F1"/>
    <w:rsid w:val="00002C0F"/>
    <w:rsid w:val="0000632F"/>
    <w:rsid w:val="00012CC4"/>
    <w:rsid w:val="00013350"/>
    <w:rsid w:val="00016D3D"/>
    <w:rsid w:val="000173CC"/>
    <w:rsid w:val="00017885"/>
    <w:rsid w:val="00020671"/>
    <w:rsid w:val="00022856"/>
    <w:rsid w:val="00024368"/>
    <w:rsid w:val="00025A06"/>
    <w:rsid w:val="00026326"/>
    <w:rsid w:val="00031B8D"/>
    <w:rsid w:val="00031BD4"/>
    <w:rsid w:val="00036652"/>
    <w:rsid w:val="000467F3"/>
    <w:rsid w:val="00054365"/>
    <w:rsid w:val="000615BF"/>
    <w:rsid w:val="00065101"/>
    <w:rsid w:val="00066713"/>
    <w:rsid w:val="0006692B"/>
    <w:rsid w:val="0006716B"/>
    <w:rsid w:val="0007036F"/>
    <w:rsid w:val="00070731"/>
    <w:rsid w:val="00070C3E"/>
    <w:rsid w:val="000725E7"/>
    <w:rsid w:val="000803DF"/>
    <w:rsid w:val="00086A0D"/>
    <w:rsid w:val="00094320"/>
    <w:rsid w:val="00095342"/>
    <w:rsid w:val="000A10A4"/>
    <w:rsid w:val="000A23F2"/>
    <w:rsid w:val="000A3442"/>
    <w:rsid w:val="000B3AE0"/>
    <w:rsid w:val="000B3ED9"/>
    <w:rsid w:val="000C1034"/>
    <w:rsid w:val="000C32A5"/>
    <w:rsid w:val="000D5009"/>
    <w:rsid w:val="000F2026"/>
    <w:rsid w:val="000F3E1C"/>
    <w:rsid w:val="000F477E"/>
    <w:rsid w:val="00101D3B"/>
    <w:rsid w:val="001039A6"/>
    <w:rsid w:val="00103D1F"/>
    <w:rsid w:val="00106050"/>
    <w:rsid w:val="0011033E"/>
    <w:rsid w:val="0011505F"/>
    <w:rsid w:val="00116793"/>
    <w:rsid w:val="0012303A"/>
    <w:rsid w:val="001243EA"/>
    <w:rsid w:val="001309C9"/>
    <w:rsid w:val="00134497"/>
    <w:rsid w:val="0013608B"/>
    <w:rsid w:val="00140A4C"/>
    <w:rsid w:val="001419A0"/>
    <w:rsid w:val="001505FE"/>
    <w:rsid w:val="00152E64"/>
    <w:rsid w:val="001538B5"/>
    <w:rsid w:val="00161889"/>
    <w:rsid w:val="001641C2"/>
    <w:rsid w:val="00166ED1"/>
    <w:rsid w:val="00174D79"/>
    <w:rsid w:val="001769A2"/>
    <w:rsid w:val="0018539B"/>
    <w:rsid w:val="0019271E"/>
    <w:rsid w:val="001A0F1A"/>
    <w:rsid w:val="001A4033"/>
    <w:rsid w:val="001B52A0"/>
    <w:rsid w:val="001B666C"/>
    <w:rsid w:val="001B7EFB"/>
    <w:rsid w:val="001C34A3"/>
    <w:rsid w:val="001C3997"/>
    <w:rsid w:val="001C3E78"/>
    <w:rsid w:val="001C57FE"/>
    <w:rsid w:val="001E0BB8"/>
    <w:rsid w:val="001E4676"/>
    <w:rsid w:val="001E58C9"/>
    <w:rsid w:val="001E632D"/>
    <w:rsid w:val="001F7FF6"/>
    <w:rsid w:val="00200525"/>
    <w:rsid w:val="002070F0"/>
    <w:rsid w:val="002116CA"/>
    <w:rsid w:val="00211746"/>
    <w:rsid w:val="00211B33"/>
    <w:rsid w:val="00215A3E"/>
    <w:rsid w:val="00220F91"/>
    <w:rsid w:val="00221644"/>
    <w:rsid w:val="00231D5D"/>
    <w:rsid w:val="00232505"/>
    <w:rsid w:val="00254CD4"/>
    <w:rsid w:val="002558BB"/>
    <w:rsid w:val="002563CA"/>
    <w:rsid w:val="00263650"/>
    <w:rsid w:val="00263DFC"/>
    <w:rsid w:val="0027034A"/>
    <w:rsid w:val="00273D20"/>
    <w:rsid w:val="002756DA"/>
    <w:rsid w:val="00275A45"/>
    <w:rsid w:val="002808C7"/>
    <w:rsid w:val="002808F5"/>
    <w:rsid w:val="00282195"/>
    <w:rsid w:val="0028293F"/>
    <w:rsid w:val="00285559"/>
    <w:rsid w:val="00286199"/>
    <w:rsid w:val="00290C49"/>
    <w:rsid w:val="00292DD6"/>
    <w:rsid w:val="002A1250"/>
    <w:rsid w:val="002A3B03"/>
    <w:rsid w:val="002A535C"/>
    <w:rsid w:val="002A5CCE"/>
    <w:rsid w:val="002B19FD"/>
    <w:rsid w:val="002B461C"/>
    <w:rsid w:val="002B7DC3"/>
    <w:rsid w:val="002B7FCA"/>
    <w:rsid w:val="002C0DB7"/>
    <w:rsid w:val="002C34D0"/>
    <w:rsid w:val="002C483C"/>
    <w:rsid w:val="002D7966"/>
    <w:rsid w:val="002E01EC"/>
    <w:rsid w:val="002E3672"/>
    <w:rsid w:val="002E53C2"/>
    <w:rsid w:val="002F1288"/>
    <w:rsid w:val="00302F7F"/>
    <w:rsid w:val="00303276"/>
    <w:rsid w:val="00303672"/>
    <w:rsid w:val="0030388A"/>
    <w:rsid w:val="0030507E"/>
    <w:rsid w:val="00305AEB"/>
    <w:rsid w:val="003135A3"/>
    <w:rsid w:val="003169AF"/>
    <w:rsid w:val="00316A83"/>
    <w:rsid w:val="00321806"/>
    <w:rsid w:val="0032483B"/>
    <w:rsid w:val="00325A29"/>
    <w:rsid w:val="00325C22"/>
    <w:rsid w:val="003318D1"/>
    <w:rsid w:val="00335F0B"/>
    <w:rsid w:val="00345A40"/>
    <w:rsid w:val="00346D22"/>
    <w:rsid w:val="0035008C"/>
    <w:rsid w:val="00350164"/>
    <w:rsid w:val="003502A4"/>
    <w:rsid w:val="003608C8"/>
    <w:rsid w:val="00382F91"/>
    <w:rsid w:val="0038486D"/>
    <w:rsid w:val="00386488"/>
    <w:rsid w:val="00390CAC"/>
    <w:rsid w:val="00392814"/>
    <w:rsid w:val="00394AD3"/>
    <w:rsid w:val="00394DBD"/>
    <w:rsid w:val="00396F61"/>
    <w:rsid w:val="003A13D1"/>
    <w:rsid w:val="003A17C2"/>
    <w:rsid w:val="003A311C"/>
    <w:rsid w:val="003A4A3B"/>
    <w:rsid w:val="003A67C5"/>
    <w:rsid w:val="003B05D9"/>
    <w:rsid w:val="003B20EE"/>
    <w:rsid w:val="003B231C"/>
    <w:rsid w:val="003B2503"/>
    <w:rsid w:val="003B3522"/>
    <w:rsid w:val="003B4936"/>
    <w:rsid w:val="003B6301"/>
    <w:rsid w:val="003D153B"/>
    <w:rsid w:val="003D1BBF"/>
    <w:rsid w:val="003D273F"/>
    <w:rsid w:val="003D2BF9"/>
    <w:rsid w:val="003E1BDC"/>
    <w:rsid w:val="003E454A"/>
    <w:rsid w:val="003E4579"/>
    <w:rsid w:val="003E5C5A"/>
    <w:rsid w:val="003F3375"/>
    <w:rsid w:val="003F36A8"/>
    <w:rsid w:val="003F52FE"/>
    <w:rsid w:val="0040412F"/>
    <w:rsid w:val="00407CE7"/>
    <w:rsid w:val="00407F64"/>
    <w:rsid w:val="00411149"/>
    <w:rsid w:val="00411235"/>
    <w:rsid w:val="00415245"/>
    <w:rsid w:val="00416742"/>
    <w:rsid w:val="00416845"/>
    <w:rsid w:val="00432272"/>
    <w:rsid w:val="00434EFC"/>
    <w:rsid w:val="00440ABC"/>
    <w:rsid w:val="004438B5"/>
    <w:rsid w:val="00445B89"/>
    <w:rsid w:val="00446139"/>
    <w:rsid w:val="004512D5"/>
    <w:rsid w:val="004519B7"/>
    <w:rsid w:val="00454387"/>
    <w:rsid w:val="004548A9"/>
    <w:rsid w:val="004619AB"/>
    <w:rsid w:val="00464789"/>
    <w:rsid w:val="00467D66"/>
    <w:rsid w:val="00470D61"/>
    <w:rsid w:val="00474028"/>
    <w:rsid w:val="0047512D"/>
    <w:rsid w:val="00480C76"/>
    <w:rsid w:val="00483276"/>
    <w:rsid w:val="004951E4"/>
    <w:rsid w:val="004A35E1"/>
    <w:rsid w:val="004A3EE2"/>
    <w:rsid w:val="004A4E66"/>
    <w:rsid w:val="004B1C30"/>
    <w:rsid w:val="004B1C60"/>
    <w:rsid w:val="004B1CB4"/>
    <w:rsid w:val="004B5119"/>
    <w:rsid w:val="004C0F15"/>
    <w:rsid w:val="004C1A50"/>
    <w:rsid w:val="004D0D26"/>
    <w:rsid w:val="004D18F8"/>
    <w:rsid w:val="004D2A3F"/>
    <w:rsid w:val="004D3C38"/>
    <w:rsid w:val="004E385C"/>
    <w:rsid w:val="004F2CC1"/>
    <w:rsid w:val="004F64C7"/>
    <w:rsid w:val="004F68CE"/>
    <w:rsid w:val="00500910"/>
    <w:rsid w:val="00501355"/>
    <w:rsid w:val="00502134"/>
    <w:rsid w:val="00503A71"/>
    <w:rsid w:val="0050471A"/>
    <w:rsid w:val="00505FF9"/>
    <w:rsid w:val="00507AC0"/>
    <w:rsid w:val="00512897"/>
    <w:rsid w:val="00515864"/>
    <w:rsid w:val="00516CB0"/>
    <w:rsid w:val="00521921"/>
    <w:rsid w:val="00522C7A"/>
    <w:rsid w:val="0052699C"/>
    <w:rsid w:val="00531F7D"/>
    <w:rsid w:val="005333E2"/>
    <w:rsid w:val="00535EEB"/>
    <w:rsid w:val="00536273"/>
    <w:rsid w:val="00540234"/>
    <w:rsid w:val="00540D37"/>
    <w:rsid w:val="00542239"/>
    <w:rsid w:val="00543AC4"/>
    <w:rsid w:val="0055277B"/>
    <w:rsid w:val="0055297D"/>
    <w:rsid w:val="00554FD0"/>
    <w:rsid w:val="00555602"/>
    <w:rsid w:val="00564385"/>
    <w:rsid w:val="00567AB3"/>
    <w:rsid w:val="0057249F"/>
    <w:rsid w:val="00577AE1"/>
    <w:rsid w:val="00582081"/>
    <w:rsid w:val="005873FF"/>
    <w:rsid w:val="00590446"/>
    <w:rsid w:val="00591C9B"/>
    <w:rsid w:val="00592C46"/>
    <w:rsid w:val="00592CF7"/>
    <w:rsid w:val="00595770"/>
    <w:rsid w:val="005A0A03"/>
    <w:rsid w:val="005A0A75"/>
    <w:rsid w:val="005A1935"/>
    <w:rsid w:val="005A2FD0"/>
    <w:rsid w:val="005A60F1"/>
    <w:rsid w:val="005A645E"/>
    <w:rsid w:val="005A6615"/>
    <w:rsid w:val="005B1638"/>
    <w:rsid w:val="005B1D63"/>
    <w:rsid w:val="005B2B3A"/>
    <w:rsid w:val="005B735A"/>
    <w:rsid w:val="005C756D"/>
    <w:rsid w:val="005D0D15"/>
    <w:rsid w:val="005D156F"/>
    <w:rsid w:val="005E23D0"/>
    <w:rsid w:val="005E717B"/>
    <w:rsid w:val="005F0461"/>
    <w:rsid w:val="005F0E12"/>
    <w:rsid w:val="005F42EB"/>
    <w:rsid w:val="005F6892"/>
    <w:rsid w:val="005F6D7F"/>
    <w:rsid w:val="00604BAD"/>
    <w:rsid w:val="0061087A"/>
    <w:rsid w:val="006109EE"/>
    <w:rsid w:val="00610E89"/>
    <w:rsid w:val="006135A6"/>
    <w:rsid w:val="00617D93"/>
    <w:rsid w:val="00636995"/>
    <w:rsid w:val="00640541"/>
    <w:rsid w:val="00640E66"/>
    <w:rsid w:val="00645B26"/>
    <w:rsid w:val="00646DC3"/>
    <w:rsid w:val="00665D62"/>
    <w:rsid w:val="0066660F"/>
    <w:rsid w:val="00670A8A"/>
    <w:rsid w:val="00672B48"/>
    <w:rsid w:val="00673BE9"/>
    <w:rsid w:val="006752B9"/>
    <w:rsid w:val="00677515"/>
    <w:rsid w:val="0068083A"/>
    <w:rsid w:val="0068253F"/>
    <w:rsid w:val="00683B41"/>
    <w:rsid w:val="006961D5"/>
    <w:rsid w:val="006A0D1F"/>
    <w:rsid w:val="006A121F"/>
    <w:rsid w:val="006A1585"/>
    <w:rsid w:val="006A18B0"/>
    <w:rsid w:val="006A5E11"/>
    <w:rsid w:val="006B1006"/>
    <w:rsid w:val="006B4071"/>
    <w:rsid w:val="006B5E46"/>
    <w:rsid w:val="006C0ADD"/>
    <w:rsid w:val="006C5BCB"/>
    <w:rsid w:val="006C7F90"/>
    <w:rsid w:val="006D0D98"/>
    <w:rsid w:val="006E0785"/>
    <w:rsid w:val="006E22D9"/>
    <w:rsid w:val="006E25B0"/>
    <w:rsid w:val="006E500C"/>
    <w:rsid w:val="006E6075"/>
    <w:rsid w:val="006E71BE"/>
    <w:rsid w:val="006E7B80"/>
    <w:rsid w:val="006F0F4A"/>
    <w:rsid w:val="006F2AD8"/>
    <w:rsid w:val="006F2CC1"/>
    <w:rsid w:val="00702E1A"/>
    <w:rsid w:val="00704658"/>
    <w:rsid w:val="00706750"/>
    <w:rsid w:val="007107AF"/>
    <w:rsid w:val="007111BC"/>
    <w:rsid w:val="00712AC3"/>
    <w:rsid w:val="00714157"/>
    <w:rsid w:val="007151C3"/>
    <w:rsid w:val="007158FE"/>
    <w:rsid w:val="007167D2"/>
    <w:rsid w:val="00717CDC"/>
    <w:rsid w:val="00723755"/>
    <w:rsid w:val="00723777"/>
    <w:rsid w:val="00727329"/>
    <w:rsid w:val="00733659"/>
    <w:rsid w:val="00733AE6"/>
    <w:rsid w:val="00734D40"/>
    <w:rsid w:val="00737748"/>
    <w:rsid w:val="007445D4"/>
    <w:rsid w:val="00745D38"/>
    <w:rsid w:val="00752A47"/>
    <w:rsid w:val="00753E62"/>
    <w:rsid w:val="00754250"/>
    <w:rsid w:val="00754501"/>
    <w:rsid w:val="00761473"/>
    <w:rsid w:val="007616A2"/>
    <w:rsid w:val="00764592"/>
    <w:rsid w:val="0077159B"/>
    <w:rsid w:val="00771C95"/>
    <w:rsid w:val="00772FD5"/>
    <w:rsid w:val="007752C3"/>
    <w:rsid w:val="0078550E"/>
    <w:rsid w:val="00787E3D"/>
    <w:rsid w:val="0079251F"/>
    <w:rsid w:val="00797C17"/>
    <w:rsid w:val="007A2F54"/>
    <w:rsid w:val="007A42E2"/>
    <w:rsid w:val="007B0B99"/>
    <w:rsid w:val="007B13A1"/>
    <w:rsid w:val="007B7114"/>
    <w:rsid w:val="007C02DF"/>
    <w:rsid w:val="007C15B7"/>
    <w:rsid w:val="007C35EF"/>
    <w:rsid w:val="007C6F35"/>
    <w:rsid w:val="007D6137"/>
    <w:rsid w:val="007D7160"/>
    <w:rsid w:val="007F0955"/>
    <w:rsid w:val="007F1839"/>
    <w:rsid w:val="007F1860"/>
    <w:rsid w:val="007F3429"/>
    <w:rsid w:val="007F5D0B"/>
    <w:rsid w:val="007F6220"/>
    <w:rsid w:val="00804EA0"/>
    <w:rsid w:val="00805C0D"/>
    <w:rsid w:val="008166A0"/>
    <w:rsid w:val="00824E3E"/>
    <w:rsid w:val="00831A81"/>
    <w:rsid w:val="00832045"/>
    <w:rsid w:val="0083566B"/>
    <w:rsid w:val="0083655F"/>
    <w:rsid w:val="0084541A"/>
    <w:rsid w:val="00861AF2"/>
    <w:rsid w:val="00861DED"/>
    <w:rsid w:val="00862C48"/>
    <w:rsid w:val="00862DD9"/>
    <w:rsid w:val="00863656"/>
    <w:rsid w:val="00865244"/>
    <w:rsid w:val="00874008"/>
    <w:rsid w:val="00890157"/>
    <w:rsid w:val="00896201"/>
    <w:rsid w:val="008A2815"/>
    <w:rsid w:val="008A31D3"/>
    <w:rsid w:val="008A4A3E"/>
    <w:rsid w:val="008A6090"/>
    <w:rsid w:val="008B07A4"/>
    <w:rsid w:val="008B120D"/>
    <w:rsid w:val="008B1D79"/>
    <w:rsid w:val="008B527B"/>
    <w:rsid w:val="008B7EFE"/>
    <w:rsid w:val="008C5AF6"/>
    <w:rsid w:val="008C7F5B"/>
    <w:rsid w:val="008D11B9"/>
    <w:rsid w:val="008D1B41"/>
    <w:rsid w:val="008D1DAA"/>
    <w:rsid w:val="008D2FDB"/>
    <w:rsid w:val="008D3011"/>
    <w:rsid w:val="008E019E"/>
    <w:rsid w:val="008E5512"/>
    <w:rsid w:val="008E5937"/>
    <w:rsid w:val="008F015F"/>
    <w:rsid w:val="008F4205"/>
    <w:rsid w:val="008F5F99"/>
    <w:rsid w:val="008F6989"/>
    <w:rsid w:val="009036A9"/>
    <w:rsid w:val="00914851"/>
    <w:rsid w:val="009246D9"/>
    <w:rsid w:val="00924F36"/>
    <w:rsid w:val="00926821"/>
    <w:rsid w:val="00927416"/>
    <w:rsid w:val="009306F1"/>
    <w:rsid w:val="00932AA3"/>
    <w:rsid w:val="00936749"/>
    <w:rsid w:val="00937AE9"/>
    <w:rsid w:val="009457F3"/>
    <w:rsid w:val="00947DA6"/>
    <w:rsid w:val="00950879"/>
    <w:rsid w:val="00955C9D"/>
    <w:rsid w:val="009571DA"/>
    <w:rsid w:val="00963E5B"/>
    <w:rsid w:val="00966A10"/>
    <w:rsid w:val="00967DFE"/>
    <w:rsid w:val="0098185E"/>
    <w:rsid w:val="00984ED5"/>
    <w:rsid w:val="00985E70"/>
    <w:rsid w:val="009962F4"/>
    <w:rsid w:val="00996D4E"/>
    <w:rsid w:val="00997592"/>
    <w:rsid w:val="009A2A7E"/>
    <w:rsid w:val="009A372A"/>
    <w:rsid w:val="009A5241"/>
    <w:rsid w:val="009A72C0"/>
    <w:rsid w:val="009B5120"/>
    <w:rsid w:val="009B564D"/>
    <w:rsid w:val="009B7A97"/>
    <w:rsid w:val="009C0EA6"/>
    <w:rsid w:val="009C510F"/>
    <w:rsid w:val="009C6149"/>
    <w:rsid w:val="009C6C17"/>
    <w:rsid w:val="009C7528"/>
    <w:rsid w:val="009D1E01"/>
    <w:rsid w:val="009D504E"/>
    <w:rsid w:val="009D53C7"/>
    <w:rsid w:val="009E1267"/>
    <w:rsid w:val="009E1274"/>
    <w:rsid w:val="009E39E3"/>
    <w:rsid w:val="009E5E6E"/>
    <w:rsid w:val="009F3264"/>
    <w:rsid w:val="009F3C2A"/>
    <w:rsid w:val="009F46E9"/>
    <w:rsid w:val="009F6D42"/>
    <w:rsid w:val="009F7925"/>
    <w:rsid w:val="00A00998"/>
    <w:rsid w:val="00A02ED3"/>
    <w:rsid w:val="00A031C2"/>
    <w:rsid w:val="00A0541B"/>
    <w:rsid w:val="00A108FA"/>
    <w:rsid w:val="00A12982"/>
    <w:rsid w:val="00A130D8"/>
    <w:rsid w:val="00A137C0"/>
    <w:rsid w:val="00A13820"/>
    <w:rsid w:val="00A140D6"/>
    <w:rsid w:val="00A14502"/>
    <w:rsid w:val="00A2130F"/>
    <w:rsid w:val="00A216FF"/>
    <w:rsid w:val="00A220FF"/>
    <w:rsid w:val="00A24902"/>
    <w:rsid w:val="00A261D2"/>
    <w:rsid w:val="00A26A3D"/>
    <w:rsid w:val="00A30615"/>
    <w:rsid w:val="00A32E6F"/>
    <w:rsid w:val="00A34EB9"/>
    <w:rsid w:val="00A359E2"/>
    <w:rsid w:val="00A35C1E"/>
    <w:rsid w:val="00A370CB"/>
    <w:rsid w:val="00A40E19"/>
    <w:rsid w:val="00A43CD1"/>
    <w:rsid w:val="00A447C8"/>
    <w:rsid w:val="00A4612E"/>
    <w:rsid w:val="00A5104E"/>
    <w:rsid w:val="00A51E94"/>
    <w:rsid w:val="00A61479"/>
    <w:rsid w:val="00A66968"/>
    <w:rsid w:val="00A71C89"/>
    <w:rsid w:val="00A74EB4"/>
    <w:rsid w:val="00A81FD0"/>
    <w:rsid w:val="00A8501D"/>
    <w:rsid w:val="00A9183A"/>
    <w:rsid w:val="00A91D38"/>
    <w:rsid w:val="00A93817"/>
    <w:rsid w:val="00A960AE"/>
    <w:rsid w:val="00A97831"/>
    <w:rsid w:val="00AA2C64"/>
    <w:rsid w:val="00AA5E5B"/>
    <w:rsid w:val="00AB2CEE"/>
    <w:rsid w:val="00AC7DBA"/>
    <w:rsid w:val="00AD5726"/>
    <w:rsid w:val="00AE39CC"/>
    <w:rsid w:val="00AE4BE6"/>
    <w:rsid w:val="00AE5B45"/>
    <w:rsid w:val="00AF09A0"/>
    <w:rsid w:val="00AF2AE6"/>
    <w:rsid w:val="00AF45D7"/>
    <w:rsid w:val="00AF510D"/>
    <w:rsid w:val="00B003CC"/>
    <w:rsid w:val="00B03283"/>
    <w:rsid w:val="00B03ED8"/>
    <w:rsid w:val="00B079C1"/>
    <w:rsid w:val="00B11316"/>
    <w:rsid w:val="00B20732"/>
    <w:rsid w:val="00B20E68"/>
    <w:rsid w:val="00B223E0"/>
    <w:rsid w:val="00B27B4C"/>
    <w:rsid w:val="00B30C52"/>
    <w:rsid w:val="00B3320C"/>
    <w:rsid w:val="00B36BF2"/>
    <w:rsid w:val="00B420F8"/>
    <w:rsid w:val="00B43C94"/>
    <w:rsid w:val="00B4511F"/>
    <w:rsid w:val="00B5258A"/>
    <w:rsid w:val="00B577AD"/>
    <w:rsid w:val="00B57A5A"/>
    <w:rsid w:val="00B610E0"/>
    <w:rsid w:val="00B611B7"/>
    <w:rsid w:val="00B63482"/>
    <w:rsid w:val="00B644A5"/>
    <w:rsid w:val="00B750FA"/>
    <w:rsid w:val="00B7639F"/>
    <w:rsid w:val="00B76CD3"/>
    <w:rsid w:val="00B77CDF"/>
    <w:rsid w:val="00B8576D"/>
    <w:rsid w:val="00B901B0"/>
    <w:rsid w:val="00B90487"/>
    <w:rsid w:val="00BA0142"/>
    <w:rsid w:val="00BA1240"/>
    <w:rsid w:val="00BA1C25"/>
    <w:rsid w:val="00BA4482"/>
    <w:rsid w:val="00BB106C"/>
    <w:rsid w:val="00BB4387"/>
    <w:rsid w:val="00BB4D11"/>
    <w:rsid w:val="00BB6C70"/>
    <w:rsid w:val="00BC0359"/>
    <w:rsid w:val="00BC2453"/>
    <w:rsid w:val="00BC6BCC"/>
    <w:rsid w:val="00BD098B"/>
    <w:rsid w:val="00BD1696"/>
    <w:rsid w:val="00BD2E6C"/>
    <w:rsid w:val="00BD3ECC"/>
    <w:rsid w:val="00BE2153"/>
    <w:rsid w:val="00BF0B6E"/>
    <w:rsid w:val="00BF0FB5"/>
    <w:rsid w:val="00BF3E60"/>
    <w:rsid w:val="00BF611F"/>
    <w:rsid w:val="00BF78FB"/>
    <w:rsid w:val="00BF7B14"/>
    <w:rsid w:val="00C01CBB"/>
    <w:rsid w:val="00C030B9"/>
    <w:rsid w:val="00C1422C"/>
    <w:rsid w:val="00C16880"/>
    <w:rsid w:val="00C249DC"/>
    <w:rsid w:val="00C26795"/>
    <w:rsid w:val="00C26A39"/>
    <w:rsid w:val="00C30FDD"/>
    <w:rsid w:val="00C32795"/>
    <w:rsid w:val="00C36220"/>
    <w:rsid w:val="00C37375"/>
    <w:rsid w:val="00C41B48"/>
    <w:rsid w:val="00C4420B"/>
    <w:rsid w:val="00C50D43"/>
    <w:rsid w:val="00C52C69"/>
    <w:rsid w:val="00C552BA"/>
    <w:rsid w:val="00C62349"/>
    <w:rsid w:val="00C660BF"/>
    <w:rsid w:val="00C71B10"/>
    <w:rsid w:val="00C76DB2"/>
    <w:rsid w:val="00C7739B"/>
    <w:rsid w:val="00C8045F"/>
    <w:rsid w:val="00C8185F"/>
    <w:rsid w:val="00C87AF3"/>
    <w:rsid w:val="00C93632"/>
    <w:rsid w:val="00C93AAD"/>
    <w:rsid w:val="00C94399"/>
    <w:rsid w:val="00C94664"/>
    <w:rsid w:val="00C95763"/>
    <w:rsid w:val="00C97B9B"/>
    <w:rsid w:val="00CA2BCB"/>
    <w:rsid w:val="00CB26A7"/>
    <w:rsid w:val="00CB3853"/>
    <w:rsid w:val="00CB48E0"/>
    <w:rsid w:val="00CB7A57"/>
    <w:rsid w:val="00CB7AC8"/>
    <w:rsid w:val="00CC2D90"/>
    <w:rsid w:val="00CC34BF"/>
    <w:rsid w:val="00CC3B1B"/>
    <w:rsid w:val="00CC3BE9"/>
    <w:rsid w:val="00CC5CAF"/>
    <w:rsid w:val="00CC699F"/>
    <w:rsid w:val="00CE0666"/>
    <w:rsid w:val="00CE12D9"/>
    <w:rsid w:val="00CE2B5A"/>
    <w:rsid w:val="00CE49DA"/>
    <w:rsid w:val="00CF2CCA"/>
    <w:rsid w:val="00CF46DA"/>
    <w:rsid w:val="00D03133"/>
    <w:rsid w:val="00D0667B"/>
    <w:rsid w:val="00D06E79"/>
    <w:rsid w:val="00D11D87"/>
    <w:rsid w:val="00D127A2"/>
    <w:rsid w:val="00D12DE1"/>
    <w:rsid w:val="00D131AB"/>
    <w:rsid w:val="00D15E94"/>
    <w:rsid w:val="00D16CD4"/>
    <w:rsid w:val="00D172F5"/>
    <w:rsid w:val="00D177BC"/>
    <w:rsid w:val="00D23016"/>
    <w:rsid w:val="00D23A4E"/>
    <w:rsid w:val="00D24AD6"/>
    <w:rsid w:val="00D2784B"/>
    <w:rsid w:val="00D33DC2"/>
    <w:rsid w:val="00D364B8"/>
    <w:rsid w:val="00D36AA4"/>
    <w:rsid w:val="00D36C27"/>
    <w:rsid w:val="00D4219C"/>
    <w:rsid w:val="00D434A2"/>
    <w:rsid w:val="00D47781"/>
    <w:rsid w:val="00D543C4"/>
    <w:rsid w:val="00D578DA"/>
    <w:rsid w:val="00D61B28"/>
    <w:rsid w:val="00D6509E"/>
    <w:rsid w:val="00D67694"/>
    <w:rsid w:val="00D676AC"/>
    <w:rsid w:val="00D7559B"/>
    <w:rsid w:val="00DA08BD"/>
    <w:rsid w:val="00DA1929"/>
    <w:rsid w:val="00DA49ED"/>
    <w:rsid w:val="00DA4BED"/>
    <w:rsid w:val="00DA5432"/>
    <w:rsid w:val="00DB49F5"/>
    <w:rsid w:val="00DB5AA0"/>
    <w:rsid w:val="00DB674D"/>
    <w:rsid w:val="00DC37B9"/>
    <w:rsid w:val="00DD059F"/>
    <w:rsid w:val="00DD4D0F"/>
    <w:rsid w:val="00DE01E7"/>
    <w:rsid w:val="00DE0D99"/>
    <w:rsid w:val="00DE6643"/>
    <w:rsid w:val="00DE70A5"/>
    <w:rsid w:val="00DF3DF1"/>
    <w:rsid w:val="00DF6DA5"/>
    <w:rsid w:val="00DF7003"/>
    <w:rsid w:val="00E01FE0"/>
    <w:rsid w:val="00E059C5"/>
    <w:rsid w:val="00E1457E"/>
    <w:rsid w:val="00E37238"/>
    <w:rsid w:val="00E41247"/>
    <w:rsid w:val="00E4470A"/>
    <w:rsid w:val="00E50FAC"/>
    <w:rsid w:val="00E51ACB"/>
    <w:rsid w:val="00E567F0"/>
    <w:rsid w:val="00E57556"/>
    <w:rsid w:val="00E6098B"/>
    <w:rsid w:val="00E626DE"/>
    <w:rsid w:val="00E67D99"/>
    <w:rsid w:val="00E77D6C"/>
    <w:rsid w:val="00E82FB5"/>
    <w:rsid w:val="00E90826"/>
    <w:rsid w:val="00E91620"/>
    <w:rsid w:val="00E93615"/>
    <w:rsid w:val="00E94B3F"/>
    <w:rsid w:val="00E9547A"/>
    <w:rsid w:val="00EB08B4"/>
    <w:rsid w:val="00EB22B6"/>
    <w:rsid w:val="00EB2C2F"/>
    <w:rsid w:val="00EB3AFF"/>
    <w:rsid w:val="00EB5651"/>
    <w:rsid w:val="00EC1E39"/>
    <w:rsid w:val="00ED2E19"/>
    <w:rsid w:val="00ED3143"/>
    <w:rsid w:val="00ED5FC7"/>
    <w:rsid w:val="00EE27DA"/>
    <w:rsid w:val="00EE303A"/>
    <w:rsid w:val="00EE5C43"/>
    <w:rsid w:val="00EE6EF1"/>
    <w:rsid w:val="00EF01AE"/>
    <w:rsid w:val="00EF1A2F"/>
    <w:rsid w:val="00EF2471"/>
    <w:rsid w:val="00EF2983"/>
    <w:rsid w:val="00EF315A"/>
    <w:rsid w:val="00EF717F"/>
    <w:rsid w:val="00F06476"/>
    <w:rsid w:val="00F07570"/>
    <w:rsid w:val="00F11354"/>
    <w:rsid w:val="00F1362F"/>
    <w:rsid w:val="00F13DF4"/>
    <w:rsid w:val="00F16351"/>
    <w:rsid w:val="00F16CDC"/>
    <w:rsid w:val="00F209A5"/>
    <w:rsid w:val="00F20A55"/>
    <w:rsid w:val="00F24901"/>
    <w:rsid w:val="00F24C97"/>
    <w:rsid w:val="00F27EFD"/>
    <w:rsid w:val="00F33BCE"/>
    <w:rsid w:val="00F40100"/>
    <w:rsid w:val="00F4530D"/>
    <w:rsid w:val="00F46D3A"/>
    <w:rsid w:val="00F473A0"/>
    <w:rsid w:val="00F5153A"/>
    <w:rsid w:val="00F5410C"/>
    <w:rsid w:val="00F57284"/>
    <w:rsid w:val="00F60271"/>
    <w:rsid w:val="00F71860"/>
    <w:rsid w:val="00F738CE"/>
    <w:rsid w:val="00F74A33"/>
    <w:rsid w:val="00F8297B"/>
    <w:rsid w:val="00F8327D"/>
    <w:rsid w:val="00F91B24"/>
    <w:rsid w:val="00F9314E"/>
    <w:rsid w:val="00F93963"/>
    <w:rsid w:val="00FA1172"/>
    <w:rsid w:val="00FA4D5E"/>
    <w:rsid w:val="00FA66B1"/>
    <w:rsid w:val="00FA7B09"/>
    <w:rsid w:val="00FB13E3"/>
    <w:rsid w:val="00FB5FDE"/>
    <w:rsid w:val="00FB630E"/>
    <w:rsid w:val="00FB6DAF"/>
    <w:rsid w:val="00FC6549"/>
    <w:rsid w:val="00FD0EAB"/>
    <w:rsid w:val="00FD1CA1"/>
    <w:rsid w:val="00FD637B"/>
    <w:rsid w:val="00FD77C6"/>
    <w:rsid w:val="00FE0D20"/>
    <w:rsid w:val="00FE4985"/>
    <w:rsid w:val="00FE6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288"/>
    <w:rPr>
      <w:sz w:val="24"/>
      <w:lang w:val="en-GB"/>
    </w:rPr>
  </w:style>
  <w:style w:type="paragraph" w:styleId="Heading1">
    <w:name w:val="heading 1"/>
    <w:basedOn w:val="Normal"/>
    <w:next w:val="Normalnumber"/>
    <w:link w:val="Heading1Char"/>
    <w:uiPriority w:val="9"/>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
    <w:qFormat/>
    <w:rsid w:val="00B405B7"/>
    <w:pPr>
      <w:keepNext/>
      <w:spacing w:before="240" w:after="120"/>
      <w:ind w:left="1247" w:hanging="680"/>
      <w:outlineLvl w:val="1"/>
    </w:pPr>
    <w:rPr>
      <w:b/>
      <w:szCs w:val="24"/>
    </w:rPr>
  </w:style>
  <w:style w:type="paragraph" w:styleId="Heading3">
    <w:name w:val="heading 3"/>
    <w:basedOn w:val="Normal"/>
    <w:next w:val="Normalnumber"/>
    <w:link w:val="Heading3Char"/>
    <w:uiPriority w:val="9"/>
    <w:qFormat/>
    <w:rsid w:val="00200D58"/>
    <w:pPr>
      <w:tabs>
        <w:tab w:val="left" w:pos="1247"/>
      </w:tabs>
      <w:spacing w:after="120"/>
      <w:ind w:left="1247" w:hanging="680"/>
      <w:outlineLvl w:val="2"/>
    </w:pPr>
    <w:rPr>
      <w:b/>
    </w:rPr>
  </w:style>
  <w:style w:type="paragraph" w:styleId="Heading4">
    <w:name w:val="heading 4"/>
    <w:basedOn w:val="Heading3"/>
    <w:next w:val="Normalnumber"/>
    <w:link w:val="Heading4Char"/>
    <w:uiPriority w:val="9"/>
    <w:qFormat/>
    <w:rsid w:val="00715E88"/>
    <w:pPr>
      <w:keepNext/>
      <w:outlineLvl w:val="3"/>
    </w:pPr>
  </w:style>
  <w:style w:type="paragraph" w:styleId="Heading5">
    <w:name w:val="heading 5"/>
    <w:basedOn w:val="Normal"/>
    <w:next w:val="Normal"/>
    <w:link w:val="Heading5Char"/>
    <w:uiPriority w:val="9"/>
    <w:qFormat/>
    <w:rsid w:val="00247707"/>
    <w:pPr>
      <w:keepNext/>
      <w:outlineLvl w:val="4"/>
    </w:pPr>
    <w:rPr>
      <w:rFonts w:ascii="Univers" w:hAnsi="Univers"/>
      <w:b/>
    </w:rPr>
  </w:style>
  <w:style w:type="paragraph" w:styleId="Heading6">
    <w:name w:val="heading 6"/>
    <w:basedOn w:val="Normal"/>
    <w:next w:val="Normal"/>
    <w:link w:val="Heading6Char"/>
    <w:uiPriority w:val="9"/>
    <w:qFormat/>
    <w:rsid w:val="00247707"/>
    <w:pPr>
      <w:keepNext/>
      <w:ind w:left="578"/>
      <w:outlineLvl w:val="5"/>
    </w:pPr>
    <w:rPr>
      <w:b/>
      <w:bCs/>
    </w:rPr>
  </w:style>
  <w:style w:type="paragraph" w:styleId="Heading7">
    <w:name w:val="heading 7"/>
    <w:basedOn w:val="Normal"/>
    <w:next w:val="Normal"/>
    <w:link w:val="Heading7Char"/>
    <w:uiPriority w:val="9"/>
    <w:qFormat/>
    <w:rsid w:val="00247707"/>
    <w:pPr>
      <w:keepNext/>
      <w:widowControl w:val="0"/>
      <w:jc w:val="center"/>
      <w:outlineLvl w:val="6"/>
    </w:pPr>
    <w:rPr>
      <w:snapToGrid w:val="0"/>
      <w:u w:val="single"/>
    </w:rPr>
  </w:style>
  <w:style w:type="paragraph" w:styleId="Heading8">
    <w:name w:val="heading 8"/>
    <w:basedOn w:val="Normal"/>
    <w:next w:val="Normal"/>
    <w:link w:val="Heading8Char"/>
    <w:uiPriority w:val="9"/>
    <w:qFormat/>
    <w:rsid w:val="00247707"/>
    <w:pPr>
      <w:keepNext/>
      <w:widowControl w:val="0"/>
      <w:numPr>
        <w:numId w:val="1"/>
      </w:numPr>
      <w:tabs>
        <w:tab w:val="left" w:pos="-1440"/>
        <w:tab w:val="left" w:pos="-720"/>
      </w:tabs>
      <w:suppressAutoHyphens/>
      <w:ind w:hanging="360"/>
      <w:jc w:val="center"/>
      <w:outlineLvl w:val="7"/>
    </w:pPr>
    <w:rPr>
      <w:snapToGrid w:val="0"/>
      <w:u w:val="single"/>
    </w:rPr>
  </w:style>
  <w:style w:type="paragraph" w:styleId="Heading9">
    <w:name w:val="heading 9"/>
    <w:basedOn w:val="Normal"/>
    <w:next w:val="Normal"/>
    <w:link w:val="Heading9Char"/>
    <w:uiPriority w:val="9"/>
    <w:qFormat/>
    <w:rsid w:val="00247707"/>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2C2C3E"/>
    <w:pPr>
      <w:ind w:left="1000"/>
    </w:pPr>
    <w:rPr>
      <w:sz w:val="18"/>
      <w:szCs w:val="18"/>
    </w:rPr>
  </w:style>
  <w:style w:type="paragraph" w:styleId="TOC7">
    <w:name w:val="toc 7"/>
    <w:basedOn w:val="Normal"/>
    <w:next w:val="Normal"/>
    <w:autoRedefine/>
    <w:uiPriority w:val="39"/>
    <w:rsid w:val="002C2C3E"/>
    <w:pPr>
      <w:ind w:left="1200"/>
    </w:pPr>
    <w:rPr>
      <w:sz w:val="18"/>
      <w:szCs w:val="18"/>
    </w:rPr>
  </w:style>
  <w:style w:type="paragraph" w:styleId="TOC8">
    <w:name w:val="toc 8"/>
    <w:basedOn w:val="Normal"/>
    <w:next w:val="Normal"/>
    <w:autoRedefine/>
    <w:uiPriority w:val="39"/>
    <w:rsid w:val="002C2C3E"/>
    <w:pPr>
      <w:ind w:left="1400"/>
    </w:pPr>
    <w:rPr>
      <w:sz w:val="18"/>
      <w:szCs w:val="18"/>
    </w:rPr>
  </w:style>
  <w:style w:type="paragraph" w:styleId="TOC9">
    <w:name w:val="toc 9"/>
    <w:basedOn w:val="Normal"/>
    <w:next w:val="Normal"/>
    <w:autoRedefine/>
    <w:uiPriority w:val="39"/>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uiPriority w:val="35"/>
    <w:qFormat/>
    <w:rsid w:val="00F17288"/>
    <w:pPr>
      <w:widowControl w:val="0"/>
    </w:pPr>
    <w:rPr>
      <w:snapToGrid w:val="0"/>
    </w:rPr>
  </w:style>
  <w:style w:type="paragraph" w:customStyle="1" w:styleId="main">
    <w:name w:val="main"/>
    <w:basedOn w:val="Normal"/>
    <w:autoRedefine/>
    <w:rsid w:val="00F17288"/>
    <w:rPr>
      <w:b/>
      <w:sz w:val="20"/>
    </w:rPr>
  </w:style>
  <w:style w:type="paragraph" w:styleId="Title">
    <w:name w:val="Title"/>
    <w:basedOn w:val="Normal"/>
    <w:link w:val="TitleChar"/>
    <w:autoRedefine/>
    <w:uiPriority w:val="10"/>
    <w:qFormat/>
    <w:rsid w:val="00863656"/>
    <w:pPr>
      <w:spacing w:before="360" w:after="240"/>
      <w:ind w:left="1247"/>
      <w:jc w:val="center"/>
      <w:outlineLvl w:val="0"/>
    </w:pPr>
    <w:rPr>
      <w:b/>
      <w:bCs/>
      <w:kern w:val="28"/>
      <w:sz w:val="28"/>
      <w:szCs w:val="28"/>
    </w:rPr>
  </w:style>
  <w:style w:type="paragraph" w:customStyle="1" w:styleId="Paralevel1">
    <w:name w:val="Para level1"/>
    <w:basedOn w:val="Normal"/>
    <w:link w:val="Paralevel1Char"/>
    <w:autoRedefine/>
    <w:rsid w:val="00936C3B"/>
    <w:pPr>
      <w:numPr>
        <w:numId w:val="5"/>
      </w:numPr>
      <w:tabs>
        <w:tab w:val="clear" w:pos="360"/>
      </w:tabs>
      <w:suppressAutoHyphens/>
      <w:spacing w:after="120"/>
      <w:ind w:left="1247"/>
    </w:pPr>
    <w:rPr>
      <w:sz w:val="20"/>
    </w:rPr>
  </w:style>
  <w:style w:type="character" w:customStyle="1" w:styleId="FootnoteTextChar">
    <w:name w:val="Footnote Text Char"/>
    <w:aliases w:val="Geneva 9 Char,Font: Geneva 9 Char,Boston 10 Char,f Char,DNV-FT Char,footnote3 Char,Geneva Char,92 Char,Font: Char,Boston Char,10 Char,FOOTNOTES Char,fn Char,single space Char,Footnote Text Rail EIS Char,ft Char,Footnotes Char,93 Char"/>
    <w:link w:val="FootnoteText"/>
    <w:locked/>
    <w:rsid w:val="00936C3B"/>
    <w:rPr>
      <w:sz w:val="18"/>
      <w:lang w:val="en-GB" w:eastAsia="en-US" w:bidi="ar-SA"/>
    </w:rPr>
  </w:style>
  <w:style w:type="character" w:customStyle="1" w:styleId="Paralevel1Char">
    <w:name w:val="Para level1 Char"/>
    <w:link w:val="Paralevel1"/>
    <w:rsid w:val="00936C3B"/>
    <w:rPr>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9B4A0F"/>
    <w:rPr>
      <w:rFonts w:ascii="Times New Roman" w:hAnsi="Times New Roman"/>
      <w:color w:val="auto"/>
      <w:sz w:val="20"/>
      <w:szCs w:val="18"/>
      <w:vertAlign w:val="superscript"/>
    </w:rPr>
  </w:style>
  <w:style w:type="paragraph" w:styleId="FootnoteText">
    <w:name w:val="footnote text"/>
    <w:aliases w:val="Geneva 9,Font: Geneva 9,Boston 10,f,DNV-FT,footnote3,Geneva,92,Font:,Boston,10,FOOTNOTES,fn,single space,Footnote Text Rail EIS,ft,Footnotes,Footnote ak,fn cafc,Footnotes Char Char,Footnote Text Char Char,fn Char Char,footnote text,text,93"/>
    <w:basedOn w:val="Normal"/>
    <w:link w:val="FootnoteTextChar"/>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BalloonText">
    <w:name w:val="Balloon Text"/>
    <w:basedOn w:val="Normal"/>
    <w:link w:val="BalloonTextChar"/>
    <w:uiPriority w:val="99"/>
    <w:semiHidden/>
    <w:rsid w:val="00FA66B1"/>
    <w:rPr>
      <w:rFonts w:ascii="Tahoma" w:hAnsi="Tahoma"/>
      <w:sz w:val="16"/>
      <w:szCs w:val="16"/>
    </w:rPr>
  </w:style>
  <w:style w:type="character" w:styleId="CommentReference">
    <w:name w:val="annotation reference"/>
    <w:uiPriority w:val="99"/>
    <w:rsid w:val="00F27EFD"/>
    <w:rPr>
      <w:sz w:val="16"/>
      <w:szCs w:val="16"/>
    </w:rPr>
  </w:style>
  <w:style w:type="paragraph" w:styleId="CommentText">
    <w:name w:val="annotation text"/>
    <w:basedOn w:val="Normal"/>
    <w:link w:val="CommentTextChar"/>
    <w:uiPriority w:val="99"/>
    <w:rsid w:val="00F27EFD"/>
    <w:rPr>
      <w:sz w:val="20"/>
    </w:rPr>
  </w:style>
  <w:style w:type="paragraph" w:styleId="CommentSubject">
    <w:name w:val="annotation subject"/>
    <w:basedOn w:val="CommentText"/>
    <w:next w:val="CommentText"/>
    <w:link w:val="CommentSubjectChar"/>
    <w:uiPriority w:val="99"/>
    <w:semiHidden/>
    <w:rsid w:val="00F27EFD"/>
    <w:rPr>
      <w:b/>
      <w:bCs/>
    </w:rPr>
  </w:style>
  <w:style w:type="paragraph" w:customStyle="1" w:styleId="INC6A">
    <w:name w:val="INC6A"/>
    <w:basedOn w:val="Normal"/>
    <w:rsid w:val="00EF01AE"/>
    <w:rPr>
      <w:caps/>
      <w:sz w:val="22"/>
    </w:rPr>
  </w:style>
  <w:style w:type="paragraph" w:customStyle="1" w:styleId="Anxhead">
    <w:name w:val="Anx head"/>
    <w:basedOn w:val="Normal"/>
    <w:rsid w:val="009E1274"/>
    <w:rPr>
      <w:b/>
      <w:bCs/>
      <w:sz w:val="28"/>
      <w:szCs w:val="22"/>
    </w:rPr>
  </w:style>
  <w:style w:type="paragraph" w:customStyle="1" w:styleId="Paralevel2">
    <w:name w:val="Para level2"/>
    <w:basedOn w:val="Paralevel1"/>
    <w:link w:val="Paralevel2Char"/>
    <w:autoRedefine/>
    <w:rsid w:val="00A137C0"/>
    <w:pPr>
      <w:numPr>
        <w:numId w:val="6"/>
      </w:numPr>
    </w:pPr>
  </w:style>
  <w:style w:type="character" w:customStyle="1" w:styleId="Paralevel2Char">
    <w:name w:val="Para level2 Char"/>
    <w:basedOn w:val="Paralevel1Char"/>
    <w:link w:val="Paralevel2"/>
    <w:rsid w:val="00A137C0"/>
  </w:style>
  <w:style w:type="paragraph" w:customStyle="1" w:styleId="StyleParalevel1Left22cm">
    <w:name w:val="Style Para level1 + Left:  2.2 cm"/>
    <w:basedOn w:val="Normal"/>
    <w:rsid w:val="009E1274"/>
    <w:pPr>
      <w:numPr>
        <w:numId w:val="7"/>
      </w:numPr>
    </w:pPr>
  </w:style>
  <w:style w:type="character" w:customStyle="1" w:styleId="BBTitleChar">
    <w:name w:val="BB_Title Char"/>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012CC4"/>
    <w:rPr>
      <w:lang w:val="en-GB" w:eastAsia="en-US" w:bidi="ar-SA"/>
    </w:rPr>
  </w:style>
  <w:style w:type="character" w:customStyle="1" w:styleId="HeaderChar">
    <w:name w:val="Header Char"/>
    <w:link w:val="Header"/>
    <w:uiPriority w:val="99"/>
    <w:rsid w:val="00012CC4"/>
    <w:rPr>
      <w:b/>
      <w:sz w:val="18"/>
      <w:lang w:val="en-GB" w:eastAsia="en-US"/>
    </w:rPr>
  </w:style>
  <w:style w:type="character" w:customStyle="1" w:styleId="Heading1Char">
    <w:name w:val="Heading 1 Char"/>
    <w:link w:val="Heading1"/>
    <w:uiPriority w:val="9"/>
    <w:rsid w:val="00FB6DAF"/>
    <w:rPr>
      <w:b/>
      <w:sz w:val="28"/>
      <w:lang w:val="en-GB" w:eastAsia="en-US"/>
    </w:rPr>
  </w:style>
  <w:style w:type="character" w:customStyle="1" w:styleId="Heading2Char">
    <w:name w:val="Heading 2 Char"/>
    <w:link w:val="Heading2"/>
    <w:uiPriority w:val="9"/>
    <w:rsid w:val="00FB6DAF"/>
    <w:rPr>
      <w:b/>
      <w:sz w:val="24"/>
      <w:szCs w:val="24"/>
      <w:lang w:val="en-GB" w:eastAsia="en-US"/>
    </w:rPr>
  </w:style>
  <w:style w:type="character" w:customStyle="1" w:styleId="TitleChar">
    <w:name w:val="Title Char"/>
    <w:link w:val="Title"/>
    <w:uiPriority w:val="10"/>
    <w:rsid w:val="00863656"/>
    <w:rPr>
      <w:rFonts w:cs="Arial"/>
      <w:b/>
      <w:bCs/>
      <w:kern w:val="28"/>
      <w:sz w:val="28"/>
      <w:szCs w:val="28"/>
      <w:lang w:val="en-GB" w:eastAsia="en-US"/>
    </w:rPr>
  </w:style>
  <w:style w:type="character" w:styleId="Strong">
    <w:name w:val="Strong"/>
    <w:qFormat/>
    <w:rsid w:val="00FB6DAF"/>
    <w:rPr>
      <w:b/>
      <w:bCs/>
      <w:color w:val="0075A2"/>
      <w:spacing w:val="5"/>
    </w:rPr>
  </w:style>
  <w:style w:type="paragraph" w:styleId="ListParagraph">
    <w:name w:val="List Paragraph"/>
    <w:basedOn w:val="Normal"/>
    <w:uiPriority w:val="34"/>
    <w:qFormat/>
    <w:rsid w:val="00FB6DAF"/>
    <w:pPr>
      <w:spacing w:after="200" w:line="252" w:lineRule="auto"/>
      <w:ind w:left="720"/>
      <w:contextualSpacing/>
    </w:pPr>
    <w:rPr>
      <w:rFonts w:ascii="Cambria" w:hAnsi="Cambria"/>
      <w:sz w:val="22"/>
      <w:szCs w:val="22"/>
      <w:lang w:bidi="en-US"/>
    </w:rPr>
  </w:style>
  <w:style w:type="character" w:styleId="SubtleReference">
    <w:name w:val="Subtle Reference"/>
    <w:uiPriority w:val="31"/>
    <w:qFormat/>
    <w:rsid w:val="00FB6DAF"/>
    <w:rPr>
      <w:rFonts w:ascii="Calibri" w:eastAsia="Times New Roman" w:hAnsi="Calibri" w:cs="Arial"/>
      <w:i/>
      <w:iCs/>
      <w:color w:val="004D6C"/>
    </w:rPr>
  </w:style>
  <w:style w:type="character" w:styleId="IntenseReference">
    <w:name w:val="Intense Reference"/>
    <w:uiPriority w:val="32"/>
    <w:qFormat/>
    <w:rsid w:val="00FB6DAF"/>
    <w:rPr>
      <w:rFonts w:ascii="Calibri" w:eastAsia="Times New Roman" w:hAnsi="Calibri" w:cs="Arial"/>
      <w:b/>
      <w:bCs/>
      <w:i/>
      <w:iCs/>
      <w:color w:val="004D6C"/>
    </w:rPr>
  </w:style>
  <w:style w:type="paragraph" w:styleId="TOCHeading">
    <w:name w:val="TOC Heading"/>
    <w:basedOn w:val="Heading1"/>
    <w:next w:val="Normal"/>
    <w:uiPriority w:val="39"/>
    <w:semiHidden/>
    <w:unhideWhenUsed/>
    <w:qFormat/>
    <w:rsid w:val="00FB6DAF"/>
    <w:pPr>
      <w:keepNext w:val="0"/>
      <w:pBdr>
        <w:bottom w:val="thinThickSmallGap" w:sz="12" w:space="1" w:color="0075A2"/>
      </w:pBdr>
      <w:tabs>
        <w:tab w:val="clear" w:pos="1247"/>
        <w:tab w:val="clear" w:pos="1814"/>
      </w:tabs>
      <w:spacing w:before="400" w:after="200" w:line="252" w:lineRule="auto"/>
      <w:ind w:left="0" w:firstLine="0"/>
      <w:jc w:val="center"/>
      <w:outlineLvl w:val="9"/>
    </w:pPr>
    <w:rPr>
      <w:rFonts w:ascii="Cambria" w:hAnsi="Cambria"/>
      <w:b w:val="0"/>
      <w:caps/>
      <w:color w:val="004E6C"/>
      <w:spacing w:val="20"/>
      <w:szCs w:val="28"/>
      <w:lang w:bidi="en-US"/>
    </w:rPr>
  </w:style>
  <w:style w:type="character" w:customStyle="1" w:styleId="FooterChar">
    <w:name w:val="Footer Char"/>
    <w:link w:val="Footer"/>
    <w:uiPriority w:val="99"/>
    <w:rsid w:val="00FB6DAF"/>
    <w:rPr>
      <w:sz w:val="24"/>
      <w:lang w:val="en-GB" w:eastAsia="en-US"/>
    </w:rPr>
  </w:style>
  <w:style w:type="character" w:customStyle="1" w:styleId="caps">
    <w:name w:val="caps"/>
    <w:basedOn w:val="DefaultParagraphFont"/>
    <w:rsid w:val="00B610E0"/>
  </w:style>
  <w:style w:type="character" w:customStyle="1" w:styleId="apple-converted-space">
    <w:name w:val="apple-converted-space"/>
    <w:basedOn w:val="DefaultParagraphFont"/>
    <w:rsid w:val="00B610E0"/>
  </w:style>
  <w:style w:type="paragraph" w:styleId="NormalWeb">
    <w:name w:val="Normal (Web)"/>
    <w:basedOn w:val="Normal"/>
    <w:uiPriority w:val="99"/>
    <w:unhideWhenUsed/>
    <w:rsid w:val="00B610E0"/>
    <w:pPr>
      <w:spacing w:before="100" w:beforeAutospacing="1" w:after="100" w:afterAutospacing="1"/>
    </w:pPr>
    <w:rPr>
      <w:szCs w:val="24"/>
      <w:lang w:eastAsia="en-GB"/>
    </w:rPr>
  </w:style>
  <w:style w:type="character" w:customStyle="1" w:styleId="BalloonTextChar">
    <w:name w:val="Balloon Text Char"/>
    <w:link w:val="BalloonText"/>
    <w:uiPriority w:val="99"/>
    <w:semiHidden/>
    <w:rsid w:val="00B610E0"/>
    <w:rPr>
      <w:rFonts w:ascii="Tahoma" w:hAnsi="Tahoma" w:cs="Tahoma"/>
      <w:sz w:val="16"/>
      <w:szCs w:val="16"/>
      <w:lang w:val="en-GB" w:eastAsia="en-US"/>
    </w:rPr>
  </w:style>
  <w:style w:type="character" w:customStyle="1" w:styleId="Heading3Char">
    <w:name w:val="Heading 3 Char"/>
    <w:link w:val="Heading3"/>
    <w:uiPriority w:val="9"/>
    <w:rsid w:val="00B610E0"/>
    <w:rPr>
      <w:b/>
      <w:sz w:val="24"/>
      <w:lang w:val="en-GB" w:eastAsia="en-US"/>
    </w:rPr>
  </w:style>
  <w:style w:type="character" w:customStyle="1" w:styleId="Heading4Char">
    <w:name w:val="Heading 4 Char"/>
    <w:link w:val="Heading4"/>
    <w:uiPriority w:val="9"/>
    <w:rsid w:val="00B610E0"/>
    <w:rPr>
      <w:b/>
      <w:sz w:val="24"/>
      <w:lang w:val="en-GB" w:eastAsia="en-US"/>
    </w:rPr>
  </w:style>
  <w:style w:type="paragraph" w:customStyle="1" w:styleId="Default">
    <w:name w:val="Default"/>
    <w:rsid w:val="00B610E0"/>
    <w:pPr>
      <w:autoSpaceDE w:val="0"/>
      <w:autoSpaceDN w:val="0"/>
      <w:adjustRightInd w:val="0"/>
    </w:pPr>
    <w:rPr>
      <w:rFonts w:ascii="Arial" w:eastAsia="Calibri" w:hAnsi="Arial" w:cs="Arial"/>
      <w:color w:val="000000"/>
      <w:sz w:val="24"/>
      <w:szCs w:val="24"/>
      <w:lang w:val="en-GB"/>
    </w:rPr>
  </w:style>
  <w:style w:type="paragraph" w:styleId="NoSpacing">
    <w:name w:val="No Spacing"/>
    <w:link w:val="NoSpacingChar"/>
    <w:uiPriority w:val="1"/>
    <w:qFormat/>
    <w:rsid w:val="00B610E0"/>
    <w:rPr>
      <w:rFonts w:ascii="Calibri" w:eastAsia="Calibri" w:hAnsi="Calibri"/>
      <w:sz w:val="22"/>
      <w:szCs w:val="22"/>
      <w:lang w:val="en-GB"/>
    </w:rPr>
  </w:style>
  <w:style w:type="paragraph" w:styleId="EndnoteText">
    <w:name w:val="endnote text"/>
    <w:basedOn w:val="Normal"/>
    <w:link w:val="EndnoteTextChar"/>
    <w:rsid w:val="005D156F"/>
    <w:pPr>
      <w:spacing w:before="180" w:after="180"/>
    </w:pPr>
    <w:rPr>
      <w:sz w:val="20"/>
      <w:lang w:eastAsia="es-ES"/>
    </w:rPr>
  </w:style>
  <w:style w:type="character" w:customStyle="1" w:styleId="EndnoteTextChar">
    <w:name w:val="Endnote Text Char"/>
    <w:link w:val="EndnoteText"/>
    <w:rsid w:val="005D156F"/>
    <w:rPr>
      <w:lang w:val="en-GB" w:eastAsia="es-ES"/>
    </w:rPr>
  </w:style>
  <w:style w:type="character" w:styleId="EndnoteReference">
    <w:name w:val="endnote reference"/>
    <w:rsid w:val="005D156F"/>
    <w:rPr>
      <w:vertAlign w:val="superscript"/>
    </w:rPr>
  </w:style>
  <w:style w:type="character" w:customStyle="1" w:styleId="st">
    <w:name w:val="st"/>
    <w:rsid w:val="00483276"/>
  </w:style>
  <w:style w:type="character" w:customStyle="1" w:styleId="CommentTextChar">
    <w:name w:val="Comment Text Char"/>
    <w:link w:val="CommentText"/>
    <w:uiPriority w:val="99"/>
    <w:rsid w:val="001C3997"/>
    <w:rPr>
      <w:lang w:val="en-GB" w:eastAsia="en-US"/>
    </w:rPr>
  </w:style>
  <w:style w:type="character" w:customStyle="1" w:styleId="NormalnumberChar">
    <w:name w:val="Normal_number Char"/>
    <w:link w:val="Normalnumber"/>
    <w:rsid w:val="00467D66"/>
    <w:rPr>
      <w:lang w:val="en-GB" w:eastAsia="en-US"/>
    </w:rPr>
  </w:style>
  <w:style w:type="character" w:styleId="FollowedHyperlink">
    <w:name w:val="FollowedHyperlink"/>
    <w:uiPriority w:val="99"/>
    <w:rsid w:val="00B90487"/>
    <w:rPr>
      <w:color w:val="954F72"/>
      <w:sz w:val="20"/>
      <w:u w:val="single"/>
    </w:rPr>
  </w:style>
  <w:style w:type="paragraph" w:styleId="Revision">
    <w:name w:val="Revision"/>
    <w:hidden/>
    <w:uiPriority w:val="99"/>
    <w:semiHidden/>
    <w:rsid w:val="00B76CD3"/>
    <w:rPr>
      <w:sz w:val="24"/>
      <w:lang w:val="en-GB"/>
    </w:rPr>
  </w:style>
  <w:style w:type="table" w:customStyle="1" w:styleId="AATable">
    <w:name w:val="AA_Table"/>
    <w:basedOn w:val="TableNormal"/>
    <w:rsid w:val="00651BF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Helvetica" w:hAnsi="Helvetica"/>
        <w:b/>
        <w:i w:val="0"/>
        <w:caps/>
        <w:smallCaps w:val="0"/>
        <w:color w:val="auto"/>
        <w:sz w:val="27"/>
        <w:szCs w:val="27"/>
      </w:rPr>
    </w:tblStylePr>
    <w:tblStylePr w:type="lastRow">
      <w:pPr>
        <w:wordWrap/>
        <w:ind w:rightChars="0" w:right="567"/>
      </w:pPr>
      <w:rPr>
        <w:rFonts w:ascii="Helvetica" w:hAnsi="Helvetica"/>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Helvetica" w:hAnsi="Helvetica"/>
        <w:b/>
        <w:i w:val="0"/>
        <w:color w:val="auto"/>
        <w:sz w:val="64"/>
        <w:szCs w:val="64"/>
      </w:rPr>
    </w:tblStylePr>
    <w:tblStylePr w:type="nwCell">
      <w:rPr>
        <w:rFonts w:ascii="Helvetica" w:hAnsi="Helvetica"/>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082A0C"/>
    <w:pPr>
      <w:tabs>
        <w:tab w:val="center" w:pos="4320"/>
        <w:tab w:val="right" w:pos="8640"/>
      </w:tabs>
      <w:spacing w:before="60" w:after="120"/>
    </w:pPr>
  </w:style>
  <w:style w:type="paragraph" w:styleId="Header">
    <w:name w:val="header"/>
    <w:basedOn w:val="Normal"/>
    <w:link w:val="HeaderChar"/>
    <w:uiPriority w:val="99"/>
    <w:rsid w:val="00AB5340"/>
    <w:pPr>
      <w:pBdr>
        <w:bottom w:val="single" w:sz="4" w:space="1" w:color="auto"/>
      </w:pBdr>
      <w:tabs>
        <w:tab w:val="center" w:pos="4536"/>
        <w:tab w:val="right" w:pos="9072"/>
      </w:tabs>
      <w:spacing w:after="120"/>
    </w:pPr>
    <w:rPr>
      <w:b/>
      <w:sz w:val="18"/>
    </w:rPr>
  </w:style>
  <w:style w:type="character" w:styleId="Hyperlink">
    <w:name w:val="Hyperlink"/>
    <w:uiPriority w:val="99"/>
    <w:rsid w:val="00BD098B"/>
    <w:rPr>
      <w:rFonts w:ascii="Times New Roman" w:hAnsi="Times New Roman"/>
      <w:color w:val="0070C0"/>
      <w:sz w:val="20"/>
      <w:szCs w:val="20"/>
      <w:u w:val="singl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36C3B"/>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uiPriority w:val="39"/>
    <w:qFormat/>
    <w:rsid w:val="003F0E85"/>
    <w:pPr>
      <w:tabs>
        <w:tab w:val="left" w:pos="1814"/>
        <w:tab w:val="right" w:leader="dot" w:pos="9486"/>
      </w:tabs>
      <w:spacing w:before="120" w:after="120"/>
      <w:ind w:left="1814" w:hanging="567"/>
    </w:pPr>
    <w:rPr>
      <w:bCs/>
    </w:rPr>
  </w:style>
  <w:style w:type="paragraph" w:styleId="TOC2">
    <w:name w:val="toc 2"/>
    <w:basedOn w:val="Normal"/>
    <w:next w:val="Normal"/>
    <w:uiPriority w:val="39"/>
    <w:qFormat/>
    <w:rsid w:val="002C2C3E"/>
    <w:pPr>
      <w:tabs>
        <w:tab w:val="left" w:pos="2381"/>
        <w:tab w:val="right" w:leader="dot" w:pos="9486"/>
      </w:tabs>
      <w:ind w:left="2381" w:hanging="567"/>
    </w:pPr>
  </w:style>
  <w:style w:type="paragraph" w:styleId="TOC3">
    <w:name w:val="toc 3"/>
    <w:basedOn w:val="Normal"/>
    <w:next w:val="Normal"/>
    <w:uiPriority w:val="39"/>
    <w:qFormat/>
    <w:rsid w:val="002929D8"/>
    <w:pPr>
      <w:tabs>
        <w:tab w:val="right" w:leader="dot" w:pos="9486"/>
      </w:tabs>
      <w:ind w:left="2948" w:hanging="567"/>
    </w:pPr>
    <w:rPr>
      <w:iCs/>
    </w:rPr>
  </w:style>
  <w:style w:type="paragraph" w:styleId="TOC4">
    <w:name w:val="toc 4"/>
    <w:basedOn w:val="Normal"/>
    <w:next w:val="Normal"/>
    <w:uiPriority w:val="39"/>
    <w:rsid w:val="002929D8"/>
    <w:pPr>
      <w:tabs>
        <w:tab w:val="left" w:pos="1000"/>
        <w:tab w:val="right" w:leader="dot" w:pos="9486"/>
      </w:tabs>
      <w:ind w:left="3515" w:hanging="567"/>
    </w:pPr>
    <w:rPr>
      <w:szCs w:val="18"/>
    </w:rPr>
  </w:style>
  <w:style w:type="paragraph" w:styleId="TOC5">
    <w:name w:val="toc 5"/>
    <w:basedOn w:val="Normal"/>
    <w:next w:val="Normal"/>
    <w:autoRedefine/>
    <w:uiPriority w:val="39"/>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Heading5Char">
    <w:name w:val="Heading 5 Char"/>
    <w:link w:val="Heading5"/>
    <w:uiPriority w:val="9"/>
    <w:rsid w:val="005B1638"/>
    <w:rPr>
      <w:rFonts w:ascii="Univers" w:hAnsi="Univers"/>
      <w:b/>
      <w:sz w:val="24"/>
      <w:lang w:val="en-GB" w:eastAsia="en-US"/>
    </w:rPr>
  </w:style>
  <w:style w:type="character" w:customStyle="1" w:styleId="Heading6Char">
    <w:name w:val="Heading 6 Char"/>
    <w:link w:val="Heading6"/>
    <w:uiPriority w:val="9"/>
    <w:rsid w:val="005B1638"/>
    <w:rPr>
      <w:b/>
      <w:bCs/>
      <w:sz w:val="24"/>
      <w:lang w:val="en-GB" w:eastAsia="en-US"/>
    </w:rPr>
  </w:style>
  <w:style w:type="character" w:customStyle="1" w:styleId="Heading7Char">
    <w:name w:val="Heading 7 Char"/>
    <w:link w:val="Heading7"/>
    <w:uiPriority w:val="9"/>
    <w:rsid w:val="005B1638"/>
    <w:rPr>
      <w:snapToGrid w:val="0"/>
      <w:sz w:val="24"/>
      <w:u w:val="single"/>
      <w:lang w:eastAsia="en-US"/>
    </w:rPr>
  </w:style>
  <w:style w:type="character" w:customStyle="1" w:styleId="Heading8Char">
    <w:name w:val="Heading 8 Char"/>
    <w:link w:val="Heading8"/>
    <w:uiPriority w:val="9"/>
    <w:rsid w:val="005B1638"/>
    <w:rPr>
      <w:snapToGrid w:val="0"/>
      <w:sz w:val="24"/>
      <w:u w:val="single"/>
      <w:lang w:eastAsia="en-US"/>
    </w:rPr>
  </w:style>
  <w:style w:type="character" w:customStyle="1" w:styleId="Heading9Char">
    <w:name w:val="Heading 9 Char"/>
    <w:link w:val="Heading9"/>
    <w:uiPriority w:val="9"/>
    <w:rsid w:val="005B1638"/>
    <w:rPr>
      <w:snapToGrid w:val="0"/>
      <w:sz w:val="24"/>
      <w:u w:val="single"/>
      <w:lang w:eastAsia="en-US"/>
    </w:rPr>
  </w:style>
  <w:style w:type="paragraph" w:styleId="Subtitle">
    <w:name w:val="Subtitle"/>
    <w:basedOn w:val="Normal"/>
    <w:next w:val="Normal"/>
    <w:link w:val="SubtitleChar"/>
    <w:uiPriority w:val="11"/>
    <w:qFormat/>
    <w:rsid w:val="005B1638"/>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5B1638"/>
    <w:rPr>
      <w:rFonts w:ascii="Cambria" w:hAnsi="Cambria"/>
      <w:caps/>
      <w:spacing w:val="20"/>
      <w:sz w:val="18"/>
      <w:szCs w:val="18"/>
    </w:rPr>
  </w:style>
  <w:style w:type="character" w:styleId="Emphasis">
    <w:name w:val="Emphasis"/>
    <w:uiPriority w:val="20"/>
    <w:qFormat/>
    <w:rsid w:val="005B1638"/>
    <w:rPr>
      <w:caps/>
      <w:spacing w:val="5"/>
      <w:sz w:val="20"/>
      <w:szCs w:val="20"/>
    </w:rPr>
  </w:style>
  <w:style w:type="character" w:customStyle="1" w:styleId="NoSpacingChar">
    <w:name w:val="No Spacing Char"/>
    <w:basedOn w:val="DefaultParagraphFont"/>
    <w:link w:val="NoSpacing"/>
    <w:uiPriority w:val="1"/>
    <w:rsid w:val="005B1638"/>
    <w:rPr>
      <w:rFonts w:ascii="Calibri" w:eastAsia="Calibri" w:hAnsi="Calibri"/>
      <w:sz w:val="22"/>
      <w:szCs w:val="22"/>
      <w:lang w:val="en-GB" w:eastAsia="en-US" w:bidi="ar-SA"/>
    </w:rPr>
  </w:style>
  <w:style w:type="paragraph" w:styleId="Quote">
    <w:name w:val="Quote"/>
    <w:basedOn w:val="Normal"/>
    <w:next w:val="Normal"/>
    <w:link w:val="QuoteChar"/>
    <w:uiPriority w:val="29"/>
    <w:qFormat/>
    <w:rsid w:val="005B1638"/>
    <w:pPr>
      <w:spacing w:after="200" w:line="252" w:lineRule="auto"/>
    </w:pPr>
    <w:rPr>
      <w:rFonts w:ascii="Cambria" w:hAnsi="Cambria"/>
      <w:i/>
      <w:iCs/>
      <w:sz w:val="20"/>
    </w:rPr>
  </w:style>
  <w:style w:type="character" w:customStyle="1" w:styleId="QuoteChar">
    <w:name w:val="Quote Char"/>
    <w:basedOn w:val="DefaultParagraphFont"/>
    <w:link w:val="Quote"/>
    <w:uiPriority w:val="29"/>
    <w:rsid w:val="005B1638"/>
    <w:rPr>
      <w:rFonts w:ascii="Cambria" w:hAnsi="Cambria"/>
      <w:i/>
      <w:iCs/>
    </w:rPr>
  </w:style>
  <w:style w:type="paragraph" w:styleId="IntenseQuote">
    <w:name w:val="Intense Quote"/>
    <w:basedOn w:val="Normal"/>
    <w:next w:val="Normal"/>
    <w:link w:val="IntenseQuoteChar"/>
    <w:uiPriority w:val="30"/>
    <w:qFormat/>
    <w:rsid w:val="005B1638"/>
    <w:pPr>
      <w:pBdr>
        <w:top w:val="dotted" w:sz="2" w:space="10" w:color="004E6C"/>
        <w:bottom w:val="dotted" w:sz="2" w:space="4" w:color="004E6C"/>
      </w:pBdr>
      <w:spacing w:before="160" w:after="200" w:line="300" w:lineRule="auto"/>
      <w:ind w:left="1440" w:right="1440"/>
    </w:pPr>
    <w:rPr>
      <w:rFonts w:ascii="Cambria" w:hAnsi="Cambria"/>
      <w:caps/>
      <w:color w:val="004D6C"/>
      <w:spacing w:val="5"/>
      <w:sz w:val="20"/>
    </w:rPr>
  </w:style>
  <w:style w:type="character" w:customStyle="1" w:styleId="IntenseQuoteChar">
    <w:name w:val="Intense Quote Char"/>
    <w:basedOn w:val="DefaultParagraphFont"/>
    <w:link w:val="IntenseQuote"/>
    <w:uiPriority w:val="30"/>
    <w:rsid w:val="005B1638"/>
    <w:rPr>
      <w:rFonts w:ascii="Cambria" w:hAnsi="Cambria"/>
      <w:caps/>
      <w:color w:val="004D6C"/>
      <w:spacing w:val="5"/>
    </w:rPr>
  </w:style>
  <w:style w:type="character" w:styleId="SubtleEmphasis">
    <w:name w:val="Subtle Emphasis"/>
    <w:uiPriority w:val="19"/>
    <w:qFormat/>
    <w:rsid w:val="005B1638"/>
    <w:rPr>
      <w:i/>
      <w:iCs/>
    </w:rPr>
  </w:style>
  <w:style w:type="character" w:styleId="IntenseEmphasis">
    <w:name w:val="Intense Emphasis"/>
    <w:uiPriority w:val="21"/>
    <w:qFormat/>
    <w:rsid w:val="005B1638"/>
    <w:rPr>
      <w:i/>
      <w:iCs/>
      <w:caps/>
      <w:spacing w:val="10"/>
      <w:sz w:val="20"/>
      <w:szCs w:val="20"/>
    </w:rPr>
  </w:style>
  <w:style w:type="character" w:styleId="BookTitle">
    <w:name w:val="Book Title"/>
    <w:uiPriority w:val="33"/>
    <w:qFormat/>
    <w:rsid w:val="005B1638"/>
    <w:rPr>
      <w:caps/>
      <w:color w:val="004D6C"/>
      <w:spacing w:val="5"/>
      <w:u w:color="004D6C"/>
    </w:rPr>
  </w:style>
  <w:style w:type="table" w:styleId="TableGrid">
    <w:name w:val="Table Grid"/>
    <w:basedOn w:val="TableNormal"/>
    <w:uiPriority w:val="59"/>
    <w:rsid w:val="005B163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link w:val="CommentSubject"/>
    <w:uiPriority w:val="99"/>
    <w:semiHidden/>
    <w:rsid w:val="005B1638"/>
    <w:rPr>
      <w:b/>
      <w:bCs/>
      <w:lang w:val="en-GB" w:eastAsia="en-US"/>
    </w:rPr>
  </w:style>
  <w:style w:type="character" w:customStyle="1" w:styleId="hps">
    <w:name w:val="hps"/>
    <w:rsid w:val="005B1638"/>
  </w:style>
  <w:style w:type="paragraph" w:customStyle="1" w:styleId="ColorfulList-Accent11">
    <w:name w:val="Colorful List - Accent 11"/>
    <w:basedOn w:val="Normal"/>
    <w:rsid w:val="005B1638"/>
    <w:pPr>
      <w:suppressAutoHyphens/>
      <w:ind w:left="720"/>
      <w:contextualSpacing/>
    </w:pPr>
    <w:rPr>
      <w:lang w:eastAsia="zh-CN"/>
    </w:rPr>
  </w:style>
  <w:style w:type="character" w:customStyle="1" w:styleId="CH2Char">
    <w:name w:val="CH2 Char"/>
    <w:link w:val="CH2"/>
    <w:rsid w:val="005B1638"/>
    <w:rPr>
      <w:b/>
      <w:sz w:val="24"/>
      <w:szCs w:val="24"/>
      <w:lang w:val="en-GB" w:eastAsia="en-US"/>
    </w:rPr>
  </w:style>
  <w:style w:type="paragraph" w:customStyle="1" w:styleId="Strong2">
    <w:name w:val="Strong2"/>
    <w:basedOn w:val="NormalWeb"/>
    <w:rsid w:val="005B1638"/>
    <w:pPr>
      <w:keepNext/>
      <w:tabs>
        <w:tab w:val="left" w:pos="720"/>
      </w:tabs>
      <w:spacing w:before="120" w:beforeAutospacing="0" w:after="240" w:afterAutospacing="0"/>
      <w:jc w:val="center"/>
    </w:pPr>
    <w:rPr>
      <w:rFonts w:eastAsia="Arial Unicode MS" w:cs="Arial"/>
      <w:b/>
      <w:sz w:val="18"/>
      <w:szCs w:val="20"/>
      <w:u w:val="single"/>
      <w:lang w:eastAsia="en-US"/>
    </w:rPr>
  </w:style>
  <w:style w:type="character" w:customStyle="1" w:styleId="containertitle">
    <w:name w:val="containertitle"/>
    <w:basedOn w:val="DefaultParagraphFont"/>
    <w:rsid w:val="005B1638"/>
  </w:style>
</w:styles>
</file>

<file path=word/webSettings.xml><?xml version="1.0" encoding="utf-8"?>
<w:webSettings xmlns:r="http://schemas.openxmlformats.org/officeDocument/2006/relationships" xmlns:w="http://schemas.openxmlformats.org/wordprocessingml/2006/main">
  <w:divs>
    <w:div w:id="43331902">
      <w:bodyDiv w:val="1"/>
      <w:marLeft w:val="0"/>
      <w:marRight w:val="0"/>
      <w:marTop w:val="0"/>
      <w:marBottom w:val="0"/>
      <w:divBdr>
        <w:top w:val="none" w:sz="0" w:space="0" w:color="auto"/>
        <w:left w:val="none" w:sz="0" w:space="0" w:color="auto"/>
        <w:bottom w:val="none" w:sz="0" w:space="0" w:color="auto"/>
        <w:right w:val="none" w:sz="0" w:space="0" w:color="auto"/>
      </w:divBdr>
    </w:div>
    <w:div w:id="468713477">
      <w:bodyDiv w:val="1"/>
      <w:marLeft w:val="0"/>
      <w:marRight w:val="0"/>
      <w:marTop w:val="0"/>
      <w:marBottom w:val="0"/>
      <w:divBdr>
        <w:top w:val="none" w:sz="0" w:space="0" w:color="auto"/>
        <w:left w:val="none" w:sz="0" w:space="0" w:color="auto"/>
        <w:bottom w:val="none" w:sz="0" w:space="0" w:color="auto"/>
        <w:right w:val="none" w:sz="0" w:space="0" w:color="auto"/>
      </w:divBdr>
      <w:divsChild>
        <w:div w:id="1007488589">
          <w:marLeft w:val="0"/>
          <w:marRight w:val="0"/>
          <w:marTop w:val="0"/>
          <w:marBottom w:val="0"/>
          <w:divBdr>
            <w:top w:val="none" w:sz="0" w:space="0" w:color="auto"/>
            <w:left w:val="none" w:sz="0" w:space="0" w:color="auto"/>
            <w:bottom w:val="none" w:sz="0" w:space="0" w:color="auto"/>
            <w:right w:val="none" w:sz="0" w:space="0" w:color="auto"/>
          </w:divBdr>
        </w:div>
      </w:divsChild>
    </w:div>
    <w:div w:id="492181185">
      <w:bodyDiv w:val="1"/>
      <w:marLeft w:val="0"/>
      <w:marRight w:val="0"/>
      <w:marTop w:val="0"/>
      <w:marBottom w:val="0"/>
      <w:divBdr>
        <w:top w:val="none" w:sz="0" w:space="0" w:color="auto"/>
        <w:left w:val="none" w:sz="0" w:space="0" w:color="auto"/>
        <w:bottom w:val="none" w:sz="0" w:space="0" w:color="auto"/>
        <w:right w:val="none" w:sz="0" w:space="0" w:color="auto"/>
      </w:divBdr>
      <w:divsChild>
        <w:div w:id="836460955">
          <w:marLeft w:val="0"/>
          <w:marRight w:val="0"/>
          <w:marTop w:val="0"/>
          <w:marBottom w:val="0"/>
          <w:divBdr>
            <w:top w:val="none" w:sz="0" w:space="0" w:color="auto"/>
            <w:left w:val="none" w:sz="0" w:space="0" w:color="auto"/>
            <w:bottom w:val="none" w:sz="0" w:space="0" w:color="auto"/>
            <w:right w:val="none" w:sz="0" w:space="0" w:color="auto"/>
          </w:divBdr>
        </w:div>
      </w:divsChild>
    </w:div>
    <w:div w:id="557937252">
      <w:bodyDiv w:val="1"/>
      <w:marLeft w:val="0"/>
      <w:marRight w:val="0"/>
      <w:marTop w:val="0"/>
      <w:marBottom w:val="0"/>
      <w:divBdr>
        <w:top w:val="none" w:sz="0" w:space="0" w:color="auto"/>
        <w:left w:val="none" w:sz="0" w:space="0" w:color="auto"/>
        <w:bottom w:val="none" w:sz="0" w:space="0" w:color="auto"/>
        <w:right w:val="none" w:sz="0" w:space="0" w:color="auto"/>
      </w:divBdr>
      <w:divsChild>
        <w:div w:id="996962436">
          <w:marLeft w:val="0"/>
          <w:marRight w:val="0"/>
          <w:marTop w:val="0"/>
          <w:marBottom w:val="0"/>
          <w:divBdr>
            <w:top w:val="none" w:sz="0" w:space="0" w:color="auto"/>
            <w:left w:val="none" w:sz="0" w:space="0" w:color="auto"/>
            <w:bottom w:val="none" w:sz="0" w:space="0" w:color="auto"/>
            <w:right w:val="none" w:sz="0" w:space="0" w:color="auto"/>
          </w:divBdr>
        </w:div>
      </w:divsChild>
    </w:div>
    <w:div w:id="727922592">
      <w:bodyDiv w:val="1"/>
      <w:marLeft w:val="0"/>
      <w:marRight w:val="0"/>
      <w:marTop w:val="0"/>
      <w:marBottom w:val="0"/>
      <w:divBdr>
        <w:top w:val="none" w:sz="0" w:space="0" w:color="auto"/>
        <w:left w:val="none" w:sz="0" w:space="0" w:color="auto"/>
        <w:bottom w:val="none" w:sz="0" w:space="0" w:color="auto"/>
        <w:right w:val="none" w:sz="0" w:space="0" w:color="auto"/>
      </w:divBdr>
    </w:div>
    <w:div w:id="731780964">
      <w:bodyDiv w:val="1"/>
      <w:marLeft w:val="0"/>
      <w:marRight w:val="0"/>
      <w:marTop w:val="0"/>
      <w:marBottom w:val="0"/>
      <w:divBdr>
        <w:top w:val="none" w:sz="0" w:space="0" w:color="auto"/>
        <w:left w:val="none" w:sz="0" w:space="0" w:color="auto"/>
        <w:bottom w:val="none" w:sz="0" w:space="0" w:color="auto"/>
        <w:right w:val="none" w:sz="0" w:space="0" w:color="auto"/>
      </w:divBdr>
      <w:divsChild>
        <w:div w:id="1458720658">
          <w:marLeft w:val="0"/>
          <w:marRight w:val="0"/>
          <w:marTop w:val="0"/>
          <w:marBottom w:val="0"/>
          <w:divBdr>
            <w:top w:val="none" w:sz="0" w:space="0" w:color="auto"/>
            <w:left w:val="none" w:sz="0" w:space="0" w:color="auto"/>
            <w:bottom w:val="none" w:sz="0" w:space="0" w:color="auto"/>
            <w:right w:val="none" w:sz="0" w:space="0" w:color="auto"/>
          </w:divBdr>
        </w:div>
      </w:divsChild>
    </w:div>
    <w:div w:id="781611159">
      <w:bodyDiv w:val="1"/>
      <w:marLeft w:val="0"/>
      <w:marRight w:val="0"/>
      <w:marTop w:val="0"/>
      <w:marBottom w:val="0"/>
      <w:divBdr>
        <w:top w:val="none" w:sz="0" w:space="0" w:color="auto"/>
        <w:left w:val="none" w:sz="0" w:space="0" w:color="auto"/>
        <w:bottom w:val="none" w:sz="0" w:space="0" w:color="auto"/>
        <w:right w:val="none" w:sz="0" w:space="0" w:color="auto"/>
      </w:divBdr>
    </w:div>
    <w:div w:id="1117257839">
      <w:bodyDiv w:val="1"/>
      <w:marLeft w:val="0"/>
      <w:marRight w:val="0"/>
      <w:marTop w:val="0"/>
      <w:marBottom w:val="0"/>
      <w:divBdr>
        <w:top w:val="none" w:sz="0" w:space="0" w:color="auto"/>
        <w:left w:val="none" w:sz="0" w:space="0" w:color="auto"/>
        <w:bottom w:val="none" w:sz="0" w:space="0" w:color="auto"/>
        <w:right w:val="none" w:sz="0" w:space="0" w:color="auto"/>
      </w:divBdr>
    </w:div>
    <w:div w:id="1532112143">
      <w:bodyDiv w:val="1"/>
      <w:marLeft w:val="0"/>
      <w:marRight w:val="0"/>
      <w:marTop w:val="0"/>
      <w:marBottom w:val="0"/>
      <w:divBdr>
        <w:top w:val="none" w:sz="0" w:space="0" w:color="auto"/>
        <w:left w:val="none" w:sz="0" w:space="0" w:color="auto"/>
        <w:bottom w:val="none" w:sz="0" w:space="0" w:color="auto"/>
        <w:right w:val="none" w:sz="0" w:space="0" w:color="auto"/>
      </w:divBdr>
      <w:divsChild>
        <w:div w:id="275674836">
          <w:marLeft w:val="0"/>
          <w:marRight w:val="0"/>
          <w:marTop w:val="0"/>
          <w:marBottom w:val="0"/>
          <w:divBdr>
            <w:top w:val="none" w:sz="0" w:space="0" w:color="auto"/>
            <w:left w:val="none" w:sz="0" w:space="0" w:color="auto"/>
            <w:bottom w:val="none" w:sz="0" w:space="0" w:color="auto"/>
            <w:right w:val="none" w:sz="0" w:space="0" w:color="auto"/>
          </w:divBdr>
        </w:div>
      </w:divsChild>
    </w:div>
    <w:div w:id="1560172007">
      <w:bodyDiv w:val="1"/>
      <w:marLeft w:val="0"/>
      <w:marRight w:val="0"/>
      <w:marTop w:val="0"/>
      <w:marBottom w:val="0"/>
      <w:divBdr>
        <w:top w:val="none" w:sz="0" w:space="0" w:color="auto"/>
        <w:left w:val="none" w:sz="0" w:space="0" w:color="auto"/>
        <w:bottom w:val="none" w:sz="0" w:space="0" w:color="auto"/>
        <w:right w:val="none" w:sz="0" w:space="0" w:color="auto"/>
      </w:divBdr>
    </w:div>
    <w:div w:id="1567649272">
      <w:bodyDiv w:val="1"/>
      <w:marLeft w:val="0"/>
      <w:marRight w:val="0"/>
      <w:marTop w:val="0"/>
      <w:marBottom w:val="0"/>
      <w:divBdr>
        <w:top w:val="none" w:sz="0" w:space="0" w:color="auto"/>
        <w:left w:val="none" w:sz="0" w:space="0" w:color="auto"/>
        <w:bottom w:val="none" w:sz="0" w:space="0" w:color="auto"/>
        <w:right w:val="none" w:sz="0" w:space="0" w:color="auto"/>
      </w:divBdr>
    </w:div>
    <w:div w:id="1692995294">
      <w:bodyDiv w:val="1"/>
      <w:marLeft w:val="0"/>
      <w:marRight w:val="0"/>
      <w:marTop w:val="0"/>
      <w:marBottom w:val="0"/>
      <w:divBdr>
        <w:top w:val="none" w:sz="0" w:space="0" w:color="auto"/>
        <w:left w:val="none" w:sz="0" w:space="0" w:color="auto"/>
        <w:bottom w:val="none" w:sz="0" w:space="0" w:color="auto"/>
        <w:right w:val="none" w:sz="0" w:space="0" w:color="auto"/>
      </w:divBdr>
      <w:divsChild>
        <w:div w:id="722558164">
          <w:marLeft w:val="0"/>
          <w:marRight w:val="0"/>
          <w:marTop w:val="0"/>
          <w:marBottom w:val="0"/>
          <w:divBdr>
            <w:top w:val="none" w:sz="0" w:space="0" w:color="auto"/>
            <w:left w:val="none" w:sz="0" w:space="0" w:color="auto"/>
            <w:bottom w:val="none" w:sz="0" w:space="0" w:color="auto"/>
            <w:right w:val="none" w:sz="0" w:space="0" w:color="auto"/>
          </w:divBdr>
        </w:div>
      </w:divsChild>
    </w:div>
    <w:div w:id="1762026854">
      <w:bodyDiv w:val="1"/>
      <w:marLeft w:val="0"/>
      <w:marRight w:val="0"/>
      <w:marTop w:val="0"/>
      <w:marBottom w:val="0"/>
      <w:divBdr>
        <w:top w:val="none" w:sz="0" w:space="0" w:color="auto"/>
        <w:left w:val="none" w:sz="0" w:space="0" w:color="auto"/>
        <w:bottom w:val="none" w:sz="0" w:space="0" w:color="auto"/>
        <w:right w:val="none" w:sz="0" w:space="0" w:color="auto"/>
      </w:divBdr>
    </w:div>
    <w:div w:id="18676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1787/9789264189867-en" TargetMode="External"/><Relationship Id="rId18" Type="http://schemas.openxmlformats.org/officeDocument/2006/relationships/hyperlink" Target="http://ec.europa.eu/regional_policy/sources/docgener/evaluation/pdf/projects/valorsul_lisbon.pdf" TargetMode="External"/><Relationship Id="rId26" Type="http://schemas.openxmlformats.org/officeDocument/2006/relationships/hyperlink" Target="http://www.basel.int/Implementation/TechnicalMatters/DevelopmentofTechnicalGuidelines/AdoptedTechnicalGuidelines/tabid/2376/Default.aspx" TargetMode="External"/><Relationship Id="rId39" Type="http://schemas.openxmlformats.org/officeDocument/2006/relationships/hyperlink" Target="http://www.basel.int/Implementation/TechnicalMatters/DevelopmentofTechnicalGuidelines/AdoptedTechnicalGuidelines/tabid/2376/Default.aspx" TargetMode="External"/><Relationship Id="rId21" Type="http://schemas.openxmlformats.org/officeDocument/2006/relationships/hyperlink" Target="http://biac.org/wp-content/uploads/2014/12/141216-BIAC-at-DAC-HLM1.pdf" TargetMode="External"/><Relationship Id="rId34" Type="http://schemas.openxmlformats.org/officeDocument/2006/relationships/hyperlink" Target="http://www.basel.int/Implementation/TechnicalMatters/DevelopmentofTechnicalGuidelines/AdoptedTechnicalGuidelines/tabid/2376/Default.aspx" TargetMode="External"/><Relationship Id="rId42" Type="http://schemas.openxmlformats.org/officeDocument/2006/relationships/hyperlink" Target="http://www.basel.int/Implementation/TechnicalMatters/DevelopmentofTechnicalGuidelines/AdoptedTechnicalGuidelines/tabid/2376/Default.aspx" TargetMode="External"/><Relationship Id="rId47" Type="http://schemas.openxmlformats.org/officeDocument/2006/relationships/hyperlink" Target="http://www.basel.int/Implementation/TechnicalMatters/DevelopmentofTechnicalGuidelines/AdoptedTechnicalGuidelines/tabid/2376/Default.aspx" TargetMode="External"/><Relationship Id="rId50" Type="http://schemas.openxmlformats.org/officeDocument/2006/relationships/hyperlink" Target="http://www.basel.int/Implementation/TechnicalMatters/DevelopmentofTechnicalGuidelines/AdoptedTechnicalGuidelines/tabid/2376/Default.aspx" TargetMode="External"/><Relationship Id="rId55" Type="http://schemas.openxmlformats.org/officeDocument/2006/relationships/hyperlink" Target="http://www.basel.int/Implementation/TechnicalMatters/DevelopmentofTechnicalGuidelines/AdoptedTechnicalGuidelines/tabid/2376/Default.asp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environment/emas/index_en.htm" TargetMode="External"/><Relationship Id="rId20" Type="http://schemas.openxmlformats.org/officeDocument/2006/relationships/hyperlink" Target="http://biac.org/major-publications/" TargetMode="External"/><Relationship Id="rId29" Type="http://schemas.openxmlformats.org/officeDocument/2006/relationships/hyperlink" Target="http://www.basel.int/Implementation/Publications/TechnicalGuidelines/tabid/2362/Default.aspx" TargetMode="External"/><Relationship Id="rId41" Type="http://schemas.openxmlformats.org/officeDocument/2006/relationships/hyperlink" Target="http://www.basel.int/Implementation/TechnicalMatters/DevelopmentofTechnicalGuidelines/AdoptedTechnicalGuidelines/tabid/2376/Default.aspx" TargetMode="External"/><Relationship Id="rId54" Type="http://schemas.openxmlformats.org/officeDocument/2006/relationships/hyperlink" Target="http://www.basel.int/Implementation/TechnicalMatters/DevelopmentofTechnicalGuidelines/AdoptedTechnicalGuidelines/tabid/2376/Default.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asel.int/Implementation/TechnicalMatters/DevelopmentofTechnicalGuidelines/AdoptedTechnicalGuidelines" TargetMode="External"/><Relationship Id="rId32" Type="http://schemas.openxmlformats.org/officeDocument/2006/relationships/hyperlink" Target="http://www.basel.int/Implementation/Publications/TechnicalGuidelines/tabid/2362/Default.aspx" TargetMode="External"/><Relationship Id="rId37" Type="http://schemas.openxmlformats.org/officeDocument/2006/relationships/hyperlink" Target="http://www.basel.int/Implementation/TechnicalMatters/DevelopmentofTechnicalGuidelines/AdoptedTechnicalGuidelines/tabid/2376/Default.aspx" TargetMode="External"/><Relationship Id="rId40" Type="http://schemas.openxmlformats.org/officeDocument/2006/relationships/hyperlink" Target="http://www.basel.int/Implementation/TechnicalMatters/DevelopmentofTechnicalGuidelines/AdoptedTechnicalGuidelines/tabid/2376/Default.aspx" TargetMode="External"/><Relationship Id="rId45" Type="http://schemas.openxmlformats.org/officeDocument/2006/relationships/hyperlink" Target="http://www.basel.int/Implementation/TechnicalMatters/DevelopmentofTechnicalGuidelines/AdoptedTechnicalGuidelines/tabid/2376/Default.aspx" TargetMode="External"/><Relationship Id="rId53" Type="http://schemas.openxmlformats.org/officeDocument/2006/relationships/hyperlink" Target="http://www.basel.int/Implementation/TechnicalMatters/DevelopmentofTechnicalGuidelines/AdoptedTechnicalGuidelines/tabid/2376/Default.aspx" TargetMode="External"/><Relationship Id="rId58" Type="http://schemas.openxmlformats.org/officeDocument/2006/relationships/hyperlink" Target="http://www.basel.int/Implementation/TechnicalMatters/DevelopmentofTechnicalGuidelines/AdoptedTechnicalGuidelines/tabid/2376/Default.aspx" TargetMode="External"/><Relationship Id="rId5" Type="http://schemas.openxmlformats.org/officeDocument/2006/relationships/webSettings" Target="webSettings.xml"/><Relationship Id="rId15" Type="http://schemas.openxmlformats.org/officeDocument/2006/relationships/hyperlink" Target="http://www.iso.org/iso/iso14000" TargetMode="External"/><Relationship Id="rId23" Type="http://schemas.openxmlformats.org/officeDocument/2006/relationships/hyperlink" Target="http://www.ide.go.jp/" TargetMode="External"/><Relationship Id="rId28" Type="http://schemas.openxmlformats.org/officeDocument/2006/relationships/hyperlink" Target="http://www.basel.int/Implementation/Publications/TechnicalGuidelines/tabid/2362/Default.aspx" TargetMode="External"/><Relationship Id="rId36" Type="http://schemas.openxmlformats.org/officeDocument/2006/relationships/hyperlink" Target="http://www.basel.int/Implementation/TechnicalMatters/DevelopmentofTechnicalGuidelines/AdoptedTechnicalGuidelines/tabid/2376/Default.aspx" TargetMode="External"/><Relationship Id="rId49" Type="http://schemas.openxmlformats.org/officeDocument/2006/relationships/hyperlink" Target="http://www.basel.int/Implementation/TechnicalMatters/DevelopmentofTechnicalGuidelines/AdoptedTechnicalGuidelines/tabid/2376/Default.aspx" TargetMode="External"/><Relationship Id="rId57" Type="http://schemas.openxmlformats.org/officeDocument/2006/relationships/hyperlink" Target="http://www.basel.int/Implementation/TechnicalMatters/DevelopmentofTechnicalGuidelines/AdoptedTechnicalGuidelines/tabid/2376/Default.aspx" TargetMode="External"/><Relationship Id="rId61"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oecd.org/corporate/mne/48004323.pdf" TargetMode="External"/><Relationship Id="rId31" Type="http://schemas.openxmlformats.org/officeDocument/2006/relationships/hyperlink" Target="http://www.basel.int/Implementation/Publications/TechnicalGuidelines/tabid/2362/Default.aspx" TargetMode="External"/><Relationship Id="rId44" Type="http://schemas.openxmlformats.org/officeDocument/2006/relationships/hyperlink" Target="http://www.basel.int/Implementation/TechnicalMatters/DevelopmentofTechnicalGuidelines/AdoptedTechnicalGuidelines/tabid/2376/Default.aspx" TargetMode="External"/><Relationship Id="rId52" Type="http://schemas.openxmlformats.org/officeDocument/2006/relationships/hyperlink" Target="http://www.basel.int/Implementation/TechnicalMatters/DevelopmentofTechnicalGuidelines/AdoptedTechnicalGuidelines/tabid/2376/Default.aspx" TargetMode="External"/><Relationship Id="rId60" Type="http://schemas.openxmlformats.org/officeDocument/2006/relationships/hyperlink" Target="http://www.basel.int/Implementation/TechnicalMatters/DevelopmentofTechnicalGuidelines/AdoptedTechnicalGuidelines/tabid/2376/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ecd.org/env/waste/smm-makingbetteruseofresources.htm" TargetMode="External"/><Relationship Id="rId22" Type="http://schemas.openxmlformats.org/officeDocument/2006/relationships/hyperlink" Target="http://www.unep.ch/etu/publications/UNEP_Econ_Inst.PDF" TargetMode="External"/><Relationship Id="rId27" Type="http://schemas.openxmlformats.org/officeDocument/2006/relationships/hyperlink" Target="http://www.basel.int/Implementation/Publications/TechnicalGuidelines/tabid/2362/Default.aspx" TargetMode="External"/><Relationship Id="rId30" Type="http://schemas.openxmlformats.org/officeDocument/2006/relationships/hyperlink" Target="http://www.basel.int/Implementation/Publications/TechnicalGuidelines/tabid/2362/Default.aspx" TargetMode="External"/><Relationship Id="rId35" Type="http://schemas.openxmlformats.org/officeDocument/2006/relationships/hyperlink" Target="http://www.basel.int/Implementation/TechnicalMatters/DevelopmentofTechnicalGuidelines/AdoptedTechnicalGuidelines/tabid/2376/Default.aspx" TargetMode="External"/><Relationship Id="rId43" Type="http://schemas.openxmlformats.org/officeDocument/2006/relationships/hyperlink" Target="http://www.basel.int/Implementation/TechnicalMatters/DevelopmentofTechnicalGuidelines/AdoptedTechnicalGuidelines/tabid/2376/Default.aspx" TargetMode="External"/><Relationship Id="rId48" Type="http://schemas.openxmlformats.org/officeDocument/2006/relationships/hyperlink" Target="http://www.basel.int/Implementation/TechnicalMatters/DevelopmentofTechnicalGuidelines/AdoptedTechnicalGuidelines/tabid/2376/Default.aspx" TargetMode="External"/><Relationship Id="rId56" Type="http://schemas.openxmlformats.org/officeDocument/2006/relationships/hyperlink" Target="http://www.basel.int/Implementation/TechnicalMatters/DevelopmentofTechnicalGuidelines/AdoptedTechnicalGuidelines/tabid/2376/Default.aspx" TargetMode="External"/><Relationship Id="rId8" Type="http://schemas.openxmlformats.org/officeDocument/2006/relationships/image" Target="media/image1.jpeg"/><Relationship Id="rId51" Type="http://schemas.openxmlformats.org/officeDocument/2006/relationships/hyperlink" Target="http://www.basel.int/Implementation/TechnicalMatters/DevelopmentofTechnicalGuidelines/AdoptedTechnicalGuidelines/tabid/2376/Default.aspx" TargetMode="External"/><Relationship Id="rId3" Type="http://schemas.openxmlformats.org/officeDocument/2006/relationships/styles" Target="styles.xml"/><Relationship Id="rId12" Type="http://schemas.openxmlformats.org/officeDocument/2006/relationships/hyperlink" Target="http://www.basel.int/Portals/4/Download.aspx?d=UNEP-CHW.11-3-Add.1-Rev.1.English.pdf" TargetMode="External"/><Relationship Id="rId17" Type="http://schemas.openxmlformats.org/officeDocument/2006/relationships/hyperlink" Target="http://ec.europa.eu/environment/emas/pdf/news/costs_and_benefits_of_emas.pdf" TargetMode="External"/><Relationship Id="rId25" Type="http://schemas.openxmlformats.org/officeDocument/2006/relationships/hyperlink" Target="http://www.basel.int/Implementation/TechnicalMatters/DevelopmentofTechnicalGuidelines/AdoptedTechnicalGuidelines/tabid/2376/Default.aspx" TargetMode="External"/><Relationship Id="rId33" Type="http://schemas.openxmlformats.org/officeDocument/2006/relationships/hyperlink" Target="http://www.basel.int/Implementation/Publications/TechnicalGuidelines/tabid/2362/Default.aspx" TargetMode="External"/><Relationship Id="rId38" Type="http://schemas.openxmlformats.org/officeDocument/2006/relationships/hyperlink" Target="http://www.basel.int/Implementation/TechnicalMatters/DevelopmentofTechnicalGuidelines/AdoptedTechnicalGuidelines/tabid/2376/Default.aspx" TargetMode="External"/><Relationship Id="rId46" Type="http://schemas.openxmlformats.org/officeDocument/2006/relationships/hyperlink" Target="http://www.basel.int/Implementation/TechnicalMatters/DevelopmentofTechnicalGuidelines/AdoptedTechnicalGuidelines/tabid/2376/Default.aspx" TargetMode="External"/><Relationship Id="rId59" Type="http://schemas.openxmlformats.org/officeDocument/2006/relationships/hyperlink" Target="http://www.basel.int/Implementation/TechnicalMatters/DevelopmentofTechnicalGuidelines/AdoptedTechnicalGuidelines/tabid/2376/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iges.or.jp/pub/policy-fostering-sound-recycling-industries" TargetMode="External"/><Relationship Id="rId13" Type="http://schemas.openxmlformats.org/officeDocument/2006/relationships/hyperlink" Target="http://www.env.go.jp/policy/j-hiroba/ea21/guideline2009_en.pdf" TargetMode="External"/><Relationship Id="rId3" Type="http://schemas.openxmlformats.org/officeDocument/2006/relationships/hyperlink" Target="http://www.basel.int/Implementation/TechnicalAssistance/Partnerships/MPPI/Overview/tabid/3268/Default.aspx" TargetMode="External"/><Relationship Id="rId7" Type="http://schemas.openxmlformats.org/officeDocument/2006/relationships/hyperlink" Target="http://www.basel.int/Implementation/CountryLedInitiative/EnvironmentallySoundManagement/ESMFramework/tabid/3616/Default.aspx" TargetMode="External"/><Relationship Id="rId12" Type="http://schemas.openxmlformats.org/officeDocument/2006/relationships/hyperlink" Target="http://www.hazwastehelp.org/BHW/voucher.aspx" TargetMode="External"/><Relationship Id="rId17" Type="http://schemas.openxmlformats.org/officeDocument/2006/relationships/hyperlink" Target="http://www.basel.int/Partners/RegionalCentres/Overview/tabid/2334/Default.aspx" TargetMode="External"/><Relationship Id="rId2" Type="http://schemas.openxmlformats.org/officeDocument/2006/relationships/hyperlink" Target="http://www.basel.int/Implementation/Publications/TechnicalGuidelines/tabid/2362/Default.aspx" TargetMode="External"/><Relationship Id="rId16" Type="http://schemas.openxmlformats.org/officeDocument/2006/relationships/hyperlink" Target="http://www.step-initiative.org/china-administrative-measures-for-waste-electrical-and-electronic-equipment-treatment-fund-notice-no-34-2012-855.html" TargetMode="External"/><Relationship Id="rId1" Type="http://schemas.openxmlformats.org/officeDocument/2006/relationships/hyperlink" Target="http://www.basel.int/Implementation/CountryLedInitiative/EnvironmentallySoundManagement/ESMFramework/tabid/3616/Default.aspx" TargetMode="External"/><Relationship Id="rId6" Type="http://schemas.openxmlformats.org/officeDocument/2006/relationships/hyperlink" Target="http://acts.oecd.org/Instruments/ShowInstrumentView.aspx?InstrumentID=51&amp;InstrumentPID=48&amp;Lang=en&amp;Book" TargetMode="External"/><Relationship Id="rId11" Type="http://schemas.openxmlformats.org/officeDocument/2006/relationships/hyperlink" Target="http://www.ilmc.org/Basel%20Project/Guatemala/Acumuladores%20Iberia/Assessment/ESM%20Site%20Assessment%20-%20Acumaladores%20Iberia%20Nov%202008.pdf" TargetMode="External"/><Relationship Id="rId5" Type="http://schemas.openxmlformats.org/officeDocument/2006/relationships/hyperlink" Target="http://archive.basel.int/meetings/cop/cop5/ministerfinal.pdf" TargetMode="External"/><Relationship Id="rId15" Type="http://schemas.openxmlformats.org/officeDocument/2006/relationships/hyperlink" Target="http://www.oecd.org/env/tools-evaluation/extendedproducerresponsibility.htm" TargetMode="External"/><Relationship Id="rId10" Type="http://schemas.openxmlformats.org/officeDocument/2006/relationships/hyperlink" Target="http://www.ilmc.org/pub.html" TargetMode="External"/><Relationship Id="rId4" Type="http://schemas.openxmlformats.org/officeDocument/2006/relationships/hyperlink" Target="http://www.basel.int/Implementation/TechnicalAssistance/Partnerships/PACE/Overview/tabid/3243/Default.aspx" TargetMode="External"/><Relationship Id="rId9" Type="http://schemas.openxmlformats.org/officeDocument/2006/relationships/hyperlink" Target="http://www.oecd.org/env/waste/environmentallysoundmanagementofwaste.htm" TargetMode="External"/><Relationship Id="rId14" Type="http://schemas.openxmlformats.org/officeDocument/2006/relationships/hyperlink" Target="http://www.oecd.org/development/extended-producer-responsibility-9789264256385-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ZZ_ENG_NEW_TEMPLATES\POPS_TEMPLATES\POPS-COP-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0B9B-7678-4E5A-9E0F-0E4CADD9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POPS-COP-5</Template>
  <TotalTime>232</TotalTime>
  <Pages>25</Pages>
  <Words>11509</Words>
  <Characters>65606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76962</CharactersWithSpaces>
  <SharedDoc>false</SharedDoc>
  <HLinks>
    <vt:vector size="270" baseType="variant">
      <vt:variant>
        <vt:i4>6160407</vt:i4>
      </vt:variant>
      <vt:variant>
        <vt:i4>216</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213</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210</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207</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204</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201</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198</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195</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192</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189</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186</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183</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180</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177</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174</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171</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168</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165</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162</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159</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156</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153</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150</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147</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144</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141</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138</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135</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132</vt:i4>
      </vt:variant>
      <vt:variant>
        <vt:i4>0</vt:i4>
      </vt:variant>
      <vt:variant>
        <vt:i4>5</vt:i4>
      </vt:variant>
      <vt:variant>
        <vt:lpwstr>http://www.basel.int/Implementation/TechnicalMatters/DevelopmentofTechnicalGuidelines/AdoptedTechnicalGuidelines/tabid/2376/Default.aspx</vt:lpwstr>
      </vt:variant>
      <vt:variant>
        <vt:lpwstr/>
      </vt:variant>
      <vt:variant>
        <vt:i4>6160407</vt:i4>
      </vt:variant>
      <vt:variant>
        <vt:i4>129</vt:i4>
      </vt:variant>
      <vt:variant>
        <vt:i4>0</vt:i4>
      </vt:variant>
      <vt:variant>
        <vt:i4>5</vt:i4>
      </vt:variant>
      <vt:variant>
        <vt:lpwstr>http://www.basel.int/Implementation/TechnicalMatters/DevelopmentofTechnicalGuidelines/AdoptedTechnicalGuidelines/tabid/2376/Default.aspx</vt:lpwstr>
      </vt:variant>
      <vt:variant>
        <vt:lpwstr/>
      </vt:variant>
      <vt:variant>
        <vt:i4>4915208</vt:i4>
      </vt:variant>
      <vt:variant>
        <vt:i4>126</vt:i4>
      </vt:variant>
      <vt:variant>
        <vt:i4>0</vt:i4>
      </vt:variant>
      <vt:variant>
        <vt:i4>5</vt:i4>
      </vt:variant>
      <vt:variant>
        <vt:lpwstr>http://www.basel.int/Implementation/TechnicalMatters/DevelopmentofTechnicalGuidelines/AdoptedTechnicalGuidelines</vt:lpwstr>
      </vt:variant>
      <vt:variant>
        <vt:lpwstr/>
      </vt:variant>
      <vt:variant>
        <vt:i4>1966111</vt:i4>
      </vt:variant>
      <vt:variant>
        <vt:i4>123</vt:i4>
      </vt:variant>
      <vt:variant>
        <vt:i4>0</vt:i4>
      </vt:variant>
      <vt:variant>
        <vt:i4>5</vt:i4>
      </vt:variant>
      <vt:variant>
        <vt:lpwstr>http://www.ide.go.jp/</vt:lpwstr>
      </vt:variant>
      <vt:variant>
        <vt:lpwstr/>
      </vt:variant>
      <vt:variant>
        <vt:i4>1572953</vt:i4>
      </vt:variant>
      <vt:variant>
        <vt:i4>120</vt:i4>
      </vt:variant>
      <vt:variant>
        <vt:i4>0</vt:i4>
      </vt:variant>
      <vt:variant>
        <vt:i4>5</vt:i4>
      </vt:variant>
      <vt:variant>
        <vt:lpwstr>http://www.unep.ch/etu/publications/UNEP_Econ_Inst.PDF</vt:lpwstr>
      </vt:variant>
      <vt:variant>
        <vt:lpwstr/>
      </vt:variant>
      <vt:variant>
        <vt:i4>8323175</vt:i4>
      </vt:variant>
      <vt:variant>
        <vt:i4>117</vt:i4>
      </vt:variant>
      <vt:variant>
        <vt:i4>0</vt:i4>
      </vt:variant>
      <vt:variant>
        <vt:i4>5</vt:i4>
      </vt:variant>
      <vt:variant>
        <vt:lpwstr>http://biac.org/wp-content/uploads/2014/12/141216-BIAC-at-DAC-HLM1.pdf</vt:lpwstr>
      </vt:variant>
      <vt:variant>
        <vt:lpwstr/>
      </vt:variant>
      <vt:variant>
        <vt:i4>6946915</vt:i4>
      </vt:variant>
      <vt:variant>
        <vt:i4>114</vt:i4>
      </vt:variant>
      <vt:variant>
        <vt:i4>0</vt:i4>
      </vt:variant>
      <vt:variant>
        <vt:i4>5</vt:i4>
      </vt:variant>
      <vt:variant>
        <vt:lpwstr>http://biac.org/major-publications/</vt:lpwstr>
      </vt:variant>
      <vt:variant>
        <vt:lpwstr/>
      </vt:variant>
      <vt:variant>
        <vt:i4>3997795</vt:i4>
      </vt:variant>
      <vt:variant>
        <vt:i4>111</vt:i4>
      </vt:variant>
      <vt:variant>
        <vt:i4>0</vt:i4>
      </vt:variant>
      <vt:variant>
        <vt:i4>5</vt:i4>
      </vt:variant>
      <vt:variant>
        <vt:lpwstr>http://www.oecd.org/corporate/mne/48004323.pdf</vt:lpwstr>
      </vt:variant>
      <vt:variant>
        <vt:lpwstr/>
      </vt:variant>
      <vt:variant>
        <vt:i4>8060979</vt:i4>
      </vt:variant>
      <vt:variant>
        <vt:i4>108</vt:i4>
      </vt:variant>
      <vt:variant>
        <vt:i4>0</vt:i4>
      </vt:variant>
      <vt:variant>
        <vt:i4>5</vt:i4>
      </vt:variant>
      <vt:variant>
        <vt:lpwstr>http://ec.europa.eu/regional_policy/sources/docgener/evaluation/pdf/projects/valorsul_lisbon.pdf</vt:lpwstr>
      </vt:variant>
      <vt:variant>
        <vt:lpwstr/>
      </vt:variant>
      <vt:variant>
        <vt:i4>8126513</vt:i4>
      </vt:variant>
      <vt:variant>
        <vt:i4>105</vt:i4>
      </vt:variant>
      <vt:variant>
        <vt:i4>0</vt:i4>
      </vt:variant>
      <vt:variant>
        <vt:i4>5</vt:i4>
      </vt:variant>
      <vt:variant>
        <vt:lpwstr>http://ec.europa.eu/environment/emas/pdf/news/costs_and_benefits_of_emas.pdf</vt:lpwstr>
      </vt:variant>
      <vt:variant>
        <vt:lpwstr/>
      </vt:variant>
      <vt:variant>
        <vt:i4>4259889</vt:i4>
      </vt:variant>
      <vt:variant>
        <vt:i4>102</vt:i4>
      </vt:variant>
      <vt:variant>
        <vt:i4>0</vt:i4>
      </vt:variant>
      <vt:variant>
        <vt:i4>5</vt:i4>
      </vt:variant>
      <vt:variant>
        <vt:lpwstr>http://ec.europa.eu/environment/emas/index_en.htm</vt:lpwstr>
      </vt:variant>
      <vt:variant>
        <vt:lpwstr/>
      </vt:variant>
      <vt:variant>
        <vt:i4>2162814</vt:i4>
      </vt:variant>
      <vt:variant>
        <vt:i4>99</vt:i4>
      </vt:variant>
      <vt:variant>
        <vt:i4>0</vt:i4>
      </vt:variant>
      <vt:variant>
        <vt:i4>5</vt:i4>
      </vt:variant>
      <vt:variant>
        <vt:lpwstr>http://www.iso.org/iso/iso14000</vt:lpwstr>
      </vt:variant>
      <vt:variant>
        <vt:lpwstr/>
      </vt:variant>
      <vt:variant>
        <vt:i4>1966111</vt:i4>
      </vt:variant>
      <vt:variant>
        <vt:i4>96</vt:i4>
      </vt:variant>
      <vt:variant>
        <vt:i4>0</vt:i4>
      </vt:variant>
      <vt:variant>
        <vt:i4>5</vt:i4>
      </vt:variant>
      <vt:variant>
        <vt:lpwstr>http://www.oecd.org/env/waste/smm-makingbetteruseofresources.htm</vt:lpwstr>
      </vt:variant>
      <vt:variant>
        <vt:lpwstr/>
      </vt:variant>
      <vt:variant>
        <vt:i4>3014718</vt:i4>
      </vt:variant>
      <vt:variant>
        <vt:i4>93</vt:i4>
      </vt:variant>
      <vt:variant>
        <vt:i4>0</vt:i4>
      </vt:variant>
      <vt:variant>
        <vt:i4>5</vt:i4>
      </vt:variant>
      <vt:variant>
        <vt:lpwstr>http://dx.doi.org/10.1787/9789264189867-en</vt:lpwstr>
      </vt:variant>
      <vt:variant>
        <vt:lpwstr/>
      </vt:variant>
      <vt:variant>
        <vt:i4>6094935</vt:i4>
      </vt:variant>
      <vt:variant>
        <vt:i4>90</vt:i4>
      </vt:variant>
      <vt:variant>
        <vt:i4>0</vt:i4>
      </vt:variant>
      <vt:variant>
        <vt:i4>5</vt:i4>
      </vt:variant>
      <vt:variant>
        <vt:lpwstr>http://www.basel.int/Portals/4/Download.aspx?d=UNEP-CHW.11-3-Add.1-Rev.1.English.pdf</vt:lpwstr>
      </vt:variant>
      <vt:variant>
        <vt:lpwstr/>
      </vt:variant>
      <vt:variant>
        <vt:i4>2359339</vt:i4>
      </vt:variant>
      <vt:variant>
        <vt:i4>3</vt:i4>
      </vt:variant>
      <vt:variant>
        <vt:i4>0</vt:i4>
      </vt:variant>
      <vt:variant>
        <vt:i4>5</vt:i4>
      </vt:variant>
      <vt:variant>
        <vt:lpwstr>http://www.basel.int/Partners/RegionalCentres/Overview/tabid/2334/Default.aspx</vt:lpwstr>
      </vt:variant>
      <vt:variant>
        <vt:lpwstr/>
      </vt:variant>
      <vt:variant>
        <vt:i4>6094935</vt:i4>
      </vt:variant>
      <vt:variant>
        <vt:i4>0</vt:i4>
      </vt:variant>
      <vt:variant>
        <vt:i4>0</vt:i4>
      </vt:variant>
      <vt:variant>
        <vt:i4>5</vt:i4>
      </vt:variant>
      <vt:variant>
        <vt:lpwstr>http://www.basel.int/Portals/4/Download.aspx?d=UNEP-CHW.11-3-Add.1-Rev.1.English.pdf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SWingfield</dc:creator>
  <cp:lastModifiedBy>swingfield</cp:lastModifiedBy>
  <cp:revision>30</cp:revision>
  <cp:lastPrinted>2016-07-08T08:58:00Z</cp:lastPrinted>
  <dcterms:created xsi:type="dcterms:W3CDTF">2017-03-23T11:01:00Z</dcterms:created>
  <dcterms:modified xsi:type="dcterms:W3CDTF">2017-03-28T11:16:00Z</dcterms:modified>
</cp:coreProperties>
</file>