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79" w:rsidRPr="003A0645" w:rsidRDefault="00455579" w:rsidP="00455579">
      <w:pPr>
        <w:pStyle w:val="CH1"/>
        <w:rPr>
          <w:lang w:val="es-ES_tradnl"/>
        </w:rPr>
      </w:pPr>
      <w:r>
        <w:rPr>
          <w:lang w:val="es-ES_tradnl"/>
        </w:rPr>
        <w:tab/>
      </w:r>
      <w:r>
        <w:rPr>
          <w:lang w:val="es-ES_tradnl"/>
        </w:rPr>
        <w:tab/>
      </w:r>
      <w:r w:rsidRPr="003A0645">
        <w:rPr>
          <w:lang w:val="es-ES_tradnl"/>
        </w:rPr>
        <w:t>OEWG</w:t>
      </w:r>
      <w:r>
        <w:rPr>
          <w:lang w:val="es-ES_tradnl"/>
        </w:rPr>
        <w:noBreakHyphen/>
      </w:r>
      <w:r w:rsidRPr="003A0645">
        <w:rPr>
          <w:lang w:val="es-ES_tradnl"/>
        </w:rPr>
        <w:t>10/3: Declaración de Cartagena sobre Prevención, Minimización y Valorización de l</w:t>
      </w:r>
      <w:r>
        <w:rPr>
          <w:lang w:val="es-ES_tradnl"/>
        </w:rPr>
        <w:t>os Desechos Peligrosos y Otros </w:t>
      </w:r>
      <w:r w:rsidRPr="003A0645">
        <w:rPr>
          <w:lang w:val="es-ES_tradnl"/>
        </w:rPr>
        <w:t>Desechos</w:t>
      </w:r>
    </w:p>
    <w:p w:rsidR="00455579" w:rsidRPr="003A0645" w:rsidRDefault="00455579" w:rsidP="00455579">
      <w:pPr>
        <w:keepNext/>
        <w:widowControl w:val="0"/>
        <w:tabs>
          <w:tab w:val="left" w:pos="624"/>
        </w:tabs>
        <w:autoSpaceDE w:val="0"/>
        <w:autoSpaceDN w:val="0"/>
        <w:adjustRightInd w:val="0"/>
        <w:spacing w:after="120"/>
        <w:ind w:left="1247" w:firstLine="624"/>
        <w:rPr>
          <w:i/>
          <w:iCs/>
          <w:color w:val="000000"/>
          <w:lang w:val="es-ES_tradnl"/>
        </w:rPr>
      </w:pPr>
      <w:r w:rsidRPr="003A0645">
        <w:rPr>
          <w:i/>
          <w:lang w:val="es-ES_tradnl"/>
        </w:rPr>
        <w:t>El Grupo de Trabajo de composición abierta</w:t>
      </w:r>
    </w:p>
    <w:p w:rsidR="00455579" w:rsidRPr="003A0645" w:rsidRDefault="00455579" w:rsidP="00455579">
      <w:pPr>
        <w:widowControl w:val="0"/>
        <w:tabs>
          <w:tab w:val="left" w:pos="624"/>
        </w:tabs>
        <w:autoSpaceDE w:val="0"/>
        <w:autoSpaceDN w:val="0"/>
        <w:adjustRightInd w:val="0"/>
        <w:spacing w:after="120"/>
        <w:ind w:left="1247" w:firstLine="624"/>
        <w:rPr>
          <w:iCs/>
          <w:color w:val="000000"/>
          <w:lang w:val="es-ES_tradnl"/>
        </w:rPr>
      </w:pPr>
      <w:r w:rsidRPr="0048537C">
        <w:rPr>
          <w:i/>
          <w:lang w:val="es-ES_tradnl"/>
        </w:rPr>
        <w:t>Habiendo</w:t>
      </w:r>
      <w:r w:rsidRPr="003A0645">
        <w:rPr>
          <w:lang w:val="es-ES_tradnl"/>
        </w:rPr>
        <w:t xml:space="preserve"> examinado el progreso que las Partes y otras e</w:t>
      </w:r>
      <w:bookmarkStart w:id="0" w:name="_GoBack"/>
      <w:bookmarkEnd w:id="0"/>
      <w:r w:rsidRPr="003A0645">
        <w:rPr>
          <w:lang w:val="es-ES_tradnl"/>
        </w:rPr>
        <w:t>ntidades han realizado en la implementación de la hoja de ruta para la adopción de medidas respecto de la aplicación de la Declaración de Cartagena sobre prevención, minimización y valorización de los dese</w:t>
      </w:r>
      <w:r>
        <w:rPr>
          <w:lang w:val="es-ES_tradnl"/>
        </w:rPr>
        <w:t>chos peligrosos y </w:t>
      </w:r>
      <w:r w:rsidRPr="003A0645">
        <w:rPr>
          <w:lang w:val="es-ES_tradnl"/>
        </w:rPr>
        <w:t>otros desechos</w:t>
      </w:r>
      <w:r w:rsidRPr="003A0645">
        <w:rPr>
          <w:rStyle w:val="FootnoteReference"/>
          <w:iCs/>
          <w:lang w:val="es-ES_tradnl"/>
        </w:rPr>
        <w:footnoteReference w:id="1"/>
      </w:r>
      <w:r>
        <w:rPr>
          <w:lang w:val="es-ES_tradnl"/>
        </w:rPr>
        <w:t>,</w:t>
      </w:r>
    </w:p>
    <w:p w:rsidR="00455579" w:rsidRPr="00455579" w:rsidRDefault="00455579" w:rsidP="00455579">
      <w:pPr>
        <w:pStyle w:val="Normalnumber"/>
        <w:numPr>
          <w:ilvl w:val="0"/>
          <w:numId w:val="6"/>
        </w:numPr>
        <w:tabs>
          <w:tab w:val="clear" w:pos="1247"/>
          <w:tab w:val="clear" w:pos="1814"/>
          <w:tab w:val="clear" w:pos="2381"/>
          <w:tab w:val="clear" w:pos="2948"/>
          <w:tab w:val="clear" w:pos="3515"/>
        </w:tabs>
        <w:ind w:firstLine="624"/>
        <w:rPr>
          <w:rFonts w:ascii="Times New Roman" w:eastAsia="Times New Roman" w:hAnsi="Times New Roman" w:cs="Times New Roman"/>
          <w:sz w:val="20"/>
          <w:szCs w:val="20"/>
          <w:lang w:val="es-ES_tradnl" w:eastAsia="en-US"/>
        </w:rPr>
      </w:pPr>
      <w:r w:rsidRPr="00455579">
        <w:rPr>
          <w:rFonts w:ascii="Times New Roman" w:eastAsia="Times New Roman" w:hAnsi="Times New Roman" w:cs="Times New Roman"/>
          <w:i/>
          <w:sz w:val="20"/>
          <w:szCs w:val="20"/>
          <w:lang w:val="es-ES_tradnl" w:eastAsia="en-US"/>
        </w:rPr>
        <w:t>Invita</w:t>
      </w:r>
      <w:r w:rsidRPr="00455579">
        <w:rPr>
          <w:rFonts w:ascii="Times New Roman" w:eastAsia="Times New Roman" w:hAnsi="Times New Roman" w:cs="Times New Roman"/>
          <w:sz w:val="20"/>
          <w:szCs w:val="20"/>
          <w:lang w:val="es-ES_tradnl" w:eastAsia="en-US"/>
        </w:rPr>
        <w:t xml:space="preserve"> a la Conferencia de las Partes, en su 13ª reunión, a que examine los resultados del segundo período de sesiones de la Asamblea de las Naciones Unidas sobre el Medio Ambiente, en particular las resoluciones sobre la gestión racional de los productos químicos y los desechos, el consumo y la producción sostenibles, los residuos plásticos marinos y los </w:t>
      </w:r>
      <w:proofErr w:type="spellStart"/>
      <w:r w:rsidRPr="00455579">
        <w:rPr>
          <w:rFonts w:ascii="Times New Roman" w:eastAsia="Times New Roman" w:hAnsi="Times New Roman" w:cs="Times New Roman"/>
          <w:sz w:val="20"/>
          <w:szCs w:val="20"/>
          <w:lang w:val="es-ES_tradnl" w:eastAsia="en-US"/>
        </w:rPr>
        <w:t>microplásticos</w:t>
      </w:r>
      <w:proofErr w:type="spellEnd"/>
      <w:r w:rsidRPr="00455579">
        <w:rPr>
          <w:rFonts w:ascii="Times New Roman" w:eastAsia="Times New Roman" w:hAnsi="Times New Roman" w:cs="Times New Roman"/>
          <w:sz w:val="20"/>
          <w:szCs w:val="20"/>
          <w:lang w:val="es-ES_tradnl" w:eastAsia="en-US"/>
        </w:rPr>
        <w:t xml:space="preserve">, y la ejecución de la Agenda 2030 sobre el Desarrollo Sostenible, en la medida en que son pertinentes para la prevención, minimización y valorización de los desechos peligrosos y otros desechos; </w:t>
      </w:r>
    </w:p>
    <w:p w:rsidR="00455579" w:rsidRPr="00455579" w:rsidRDefault="00455579" w:rsidP="00455579">
      <w:pPr>
        <w:pStyle w:val="Normalnumber"/>
        <w:numPr>
          <w:ilvl w:val="0"/>
          <w:numId w:val="6"/>
        </w:numPr>
        <w:tabs>
          <w:tab w:val="clear" w:pos="1247"/>
          <w:tab w:val="clear" w:pos="1814"/>
          <w:tab w:val="clear" w:pos="2381"/>
          <w:tab w:val="clear" w:pos="2948"/>
          <w:tab w:val="clear" w:pos="3515"/>
        </w:tabs>
        <w:ind w:firstLine="624"/>
        <w:rPr>
          <w:rFonts w:ascii="Times New Roman" w:eastAsia="Times New Roman" w:hAnsi="Times New Roman" w:cs="Times New Roman"/>
          <w:sz w:val="20"/>
          <w:szCs w:val="20"/>
          <w:lang w:val="es-ES_tradnl" w:eastAsia="en-US"/>
        </w:rPr>
      </w:pPr>
      <w:r w:rsidRPr="00455579">
        <w:rPr>
          <w:rFonts w:ascii="Times New Roman" w:eastAsia="Times New Roman" w:hAnsi="Times New Roman" w:cs="Times New Roman"/>
          <w:i/>
          <w:sz w:val="20"/>
          <w:szCs w:val="20"/>
          <w:lang w:val="es-ES_tradnl" w:eastAsia="en-US"/>
        </w:rPr>
        <w:t>Recuerda</w:t>
      </w:r>
      <w:r w:rsidRPr="00455579">
        <w:rPr>
          <w:rFonts w:ascii="Times New Roman" w:eastAsia="Times New Roman" w:hAnsi="Times New Roman" w:cs="Times New Roman"/>
          <w:sz w:val="20"/>
          <w:szCs w:val="20"/>
          <w:lang w:val="es-ES_tradnl" w:eastAsia="en-US"/>
        </w:rPr>
        <w:t xml:space="preserve"> el artículo 10 del Convenio de Basilea sobre cooperación internacional; </w:t>
      </w:r>
    </w:p>
    <w:p w:rsidR="00455579" w:rsidRPr="00455579" w:rsidRDefault="00455579" w:rsidP="00455579">
      <w:pPr>
        <w:pStyle w:val="Normalnumber"/>
        <w:numPr>
          <w:ilvl w:val="0"/>
          <w:numId w:val="6"/>
        </w:numPr>
        <w:tabs>
          <w:tab w:val="clear" w:pos="1247"/>
          <w:tab w:val="clear" w:pos="1814"/>
          <w:tab w:val="clear" w:pos="2381"/>
          <w:tab w:val="clear" w:pos="2948"/>
          <w:tab w:val="clear" w:pos="3515"/>
        </w:tabs>
        <w:ind w:firstLine="624"/>
        <w:rPr>
          <w:rFonts w:ascii="Times New Roman" w:hAnsi="Times New Roman" w:cs="Times New Roman"/>
          <w:sz w:val="20"/>
          <w:szCs w:val="20"/>
          <w:lang w:val="es-ES_tradnl"/>
        </w:rPr>
      </w:pPr>
      <w:r w:rsidRPr="00455579">
        <w:rPr>
          <w:rFonts w:ascii="Times New Roman" w:hAnsi="Times New Roman" w:cs="Times New Roman"/>
          <w:i/>
          <w:sz w:val="20"/>
          <w:szCs w:val="20"/>
          <w:lang w:val="es-ES_tradnl"/>
        </w:rPr>
        <w:t>Recuerda también</w:t>
      </w:r>
      <w:r w:rsidRPr="00455579">
        <w:rPr>
          <w:rFonts w:ascii="Times New Roman" w:hAnsi="Times New Roman" w:cs="Times New Roman"/>
          <w:sz w:val="20"/>
          <w:szCs w:val="20"/>
          <w:lang w:val="es-ES_tradnl"/>
        </w:rPr>
        <w:t xml:space="preserve"> el párrafo 12 de la Declaración de Cartagena, que alienta a las Partes, los signatarios y otras entidades que estén en condiciones de hacerlo, a que presten asistencia en la creación de capacidad y la transferencia de tecnología para la prevención y la minimización de los desechos en las regiones que necesitan esa asistencia; </w:t>
      </w:r>
    </w:p>
    <w:p w:rsidR="00455579" w:rsidRPr="00455579" w:rsidRDefault="00455579" w:rsidP="00455579">
      <w:pPr>
        <w:pStyle w:val="Normalnumber"/>
        <w:numPr>
          <w:ilvl w:val="0"/>
          <w:numId w:val="6"/>
        </w:numPr>
        <w:tabs>
          <w:tab w:val="clear" w:pos="1247"/>
          <w:tab w:val="clear" w:pos="1814"/>
          <w:tab w:val="clear" w:pos="2381"/>
          <w:tab w:val="clear" w:pos="2948"/>
          <w:tab w:val="clear" w:pos="3515"/>
        </w:tabs>
        <w:ind w:firstLine="624"/>
        <w:rPr>
          <w:rFonts w:ascii="Times New Roman" w:eastAsia="Calibri" w:hAnsi="Times New Roman" w:cs="Times New Roman"/>
          <w:sz w:val="20"/>
          <w:szCs w:val="20"/>
          <w:lang w:val="es-ES_tradnl"/>
        </w:rPr>
      </w:pPr>
      <w:r w:rsidRPr="00455579">
        <w:rPr>
          <w:rFonts w:ascii="Times New Roman" w:hAnsi="Times New Roman" w:cs="Times New Roman"/>
          <w:i/>
          <w:sz w:val="20"/>
          <w:szCs w:val="20"/>
          <w:lang w:val="es-ES_tradnl"/>
        </w:rPr>
        <w:t>Alienta</w:t>
      </w:r>
      <w:r w:rsidRPr="00455579">
        <w:rPr>
          <w:rFonts w:ascii="Times New Roman" w:hAnsi="Times New Roman" w:cs="Times New Roman"/>
          <w:sz w:val="20"/>
          <w:szCs w:val="20"/>
          <w:lang w:val="es-ES_tradnl"/>
        </w:rPr>
        <w:t xml:space="preserve"> a las Partes y otros interesados a que sigan emprendiendo actividades encaminadas a aplicar la hoja de ruta para la adopción de medidas respecto de la aplicación de la Declaración de Cartagena y a facilitar a la Secretaría información sobre esas actividades;</w:t>
      </w:r>
    </w:p>
    <w:p w:rsidR="00455579" w:rsidRPr="00455579" w:rsidRDefault="00455579" w:rsidP="00455579">
      <w:pPr>
        <w:pStyle w:val="Normalnumber"/>
        <w:numPr>
          <w:ilvl w:val="0"/>
          <w:numId w:val="6"/>
        </w:numPr>
        <w:tabs>
          <w:tab w:val="clear" w:pos="1247"/>
          <w:tab w:val="clear" w:pos="1814"/>
          <w:tab w:val="clear" w:pos="2381"/>
          <w:tab w:val="clear" w:pos="2948"/>
          <w:tab w:val="clear" w:pos="3515"/>
        </w:tabs>
        <w:ind w:firstLine="624"/>
        <w:rPr>
          <w:rFonts w:ascii="Times New Roman" w:eastAsia="Calibri" w:hAnsi="Times New Roman" w:cs="Times New Roman"/>
          <w:sz w:val="20"/>
          <w:szCs w:val="20"/>
          <w:lang w:val="es-ES_tradnl"/>
        </w:rPr>
      </w:pPr>
      <w:r w:rsidRPr="00455579">
        <w:rPr>
          <w:rFonts w:ascii="Times New Roman" w:hAnsi="Times New Roman" w:cs="Times New Roman"/>
          <w:i/>
          <w:sz w:val="20"/>
          <w:szCs w:val="20"/>
          <w:lang w:val="es-ES_tradnl"/>
        </w:rPr>
        <w:t>Acoge</w:t>
      </w:r>
      <w:r w:rsidRPr="00455579">
        <w:rPr>
          <w:rFonts w:ascii="Times New Roman" w:hAnsi="Times New Roman" w:cs="Times New Roman"/>
          <w:sz w:val="20"/>
          <w:szCs w:val="20"/>
          <w:lang w:val="es-ES_tradnl"/>
        </w:rPr>
        <w:t xml:space="preserve"> con beneplácito la labor realizada por el grupo de trabajo de expertos sobre gestión ambientalmente racional para elaborar un proyecto de orientaciones generales para ayudar a las Partes a preparar estrategias eficientes con el fin de prevenir y minimizar la generación de desechos peligrosos y otros desechos y su eliminación</w:t>
      </w:r>
      <w:r w:rsidRPr="00455579">
        <w:rPr>
          <w:rStyle w:val="FootnoteReference"/>
          <w:rFonts w:eastAsia="Calibri" w:cs="Times New Roman"/>
          <w:szCs w:val="20"/>
          <w:lang w:val="es-ES_tradnl"/>
        </w:rPr>
        <w:footnoteReference w:id="2"/>
      </w:r>
      <w:r w:rsidRPr="00455579">
        <w:rPr>
          <w:rFonts w:ascii="Times New Roman" w:hAnsi="Times New Roman" w:cs="Times New Roman"/>
          <w:sz w:val="20"/>
          <w:szCs w:val="20"/>
          <w:lang w:val="es-ES_tradnl"/>
        </w:rPr>
        <w:t>;</w:t>
      </w:r>
    </w:p>
    <w:p w:rsidR="00455579" w:rsidRPr="00455579" w:rsidRDefault="00455579" w:rsidP="00455579">
      <w:pPr>
        <w:pStyle w:val="Normalnumber"/>
        <w:numPr>
          <w:ilvl w:val="0"/>
          <w:numId w:val="6"/>
        </w:numPr>
        <w:tabs>
          <w:tab w:val="clear" w:pos="1247"/>
          <w:tab w:val="clear" w:pos="1814"/>
          <w:tab w:val="clear" w:pos="2381"/>
          <w:tab w:val="clear" w:pos="2948"/>
          <w:tab w:val="clear" w:pos="3515"/>
        </w:tabs>
        <w:ind w:firstLine="624"/>
        <w:rPr>
          <w:rFonts w:ascii="Times New Roman" w:eastAsia="Calibri" w:hAnsi="Times New Roman" w:cs="Times New Roman"/>
          <w:sz w:val="20"/>
          <w:szCs w:val="20"/>
          <w:lang w:val="es-ES_tradnl"/>
        </w:rPr>
      </w:pPr>
      <w:r w:rsidRPr="00455579">
        <w:rPr>
          <w:rFonts w:ascii="Times New Roman" w:hAnsi="Times New Roman" w:cs="Times New Roman"/>
          <w:i/>
          <w:sz w:val="20"/>
          <w:szCs w:val="20"/>
          <w:lang w:val="es-ES_tradnl"/>
        </w:rPr>
        <w:t>Pide</w:t>
      </w:r>
      <w:r w:rsidRPr="00455579">
        <w:rPr>
          <w:rFonts w:ascii="Times New Roman" w:hAnsi="Times New Roman" w:cs="Times New Roman"/>
          <w:sz w:val="20"/>
          <w:szCs w:val="20"/>
          <w:lang w:val="es-ES_tradnl"/>
        </w:rPr>
        <w:t xml:space="preserve"> al grupo de trabajo de expertos que prosiga su labor a fin de elaborar el proyecto de orientaciones generales mencionado en el párrafo 5 sobre la base del proyecto de esquema que figura en el anexo de la presente decisión, y lo publique antes del 31 de octubre de 2016 para que las Partes y otras entidades puedan formular observaciones;</w:t>
      </w:r>
    </w:p>
    <w:p w:rsidR="00455579" w:rsidRPr="00455579" w:rsidRDefault="00455579" w:rsidP="00455579">
      <w:pPr>
        <w:pStyle w:val="Normalnumber"/>
        <w:numPr>
          <w:ilvl w:val="0"/>
          <w:numId w:val="6"/>
        </w:numPr>
        <w:tabs>
          <w:tab w:val="clear" w:pos="1247"/>
          <w:tab w:val="clear" w:pos="1814"/>
          <w:tab w:val="clear" w:pos="2381"/>
          <w:tab w:val="clear" w:pos="2948"/>
          <w:tab w:val="clear" w:pos="3515"/>
        </w:tabs>
        <w:ind w:firstLine="624"/>
        <w:rPr>
          <w:rFonts w:ascii="Times New Roman" w:eastAsia="Calibri" w:hAnsi="Times New Roman" w:cs="Times New Roman"/>
          <w:sz w:val="20"/>
          <w:szCs w:val="20"/>
          <w:lang w:val="es-ES_tradnl"/>
        </w:rPr>
      </w:pPr>
      <w:r w:rsidRPr="00455579">
        <w:rPr>
          <w:rFonts w:ascii="Times New Roman" w:hAnsi="Times New Roman" w:cs="Times New Roman"/>
          <w:i/>
          <w:sz w:val="20"/>
          <w:szCs w:val="20"/>
          <w:lang w:val="es-ES_tradnl"/>
        </w:rPr>
        <w:t>Invita</w:t>
      </w:r>
      <w:r w:rsidRPr="00455579">
        <w:rPr>
          <w:rFonts w:ascii="Times New Roman" w:hAnsi="Times New Roman" w:cs="Times New Roman"/>
          <w:sz w:val="20"/>
          <w:szCs w:val="20"/>
          <w:lang w:val="es-ES_tradnl"/>
        </w:rPr>
        <w:t xml:space="preserve"> a las Partes y otras entidades a que, antes del 15 de diciembre de 2016, formulen a la Secretaría observaciones sobre el proyecto de directrices mencionado en el párrafo 6;</w:t>
      </w:r>
    </w:p>
    <w:p w:rsidR="00455579" w:rsidRPr="00455579" w:rsidRDefault="00455579" w:rsidP="00455579">
      <w:pPr>
        <w:pStyle w:val="Normalnumber"/>
        <w:numPr>
          <w:ilvl w:val="0"/>
          <w:numId w:val="6"/>
        </w:numPr>
        <w:tabs>
          <w:tab w:val="clear" w:pos="1247"/>
          <w:tab w:val="clear" w:pos="1814"/>
          <w:tab w:val="clear" w:pos="2381"/>
          <w:tab w:val="clear" w:pos="2948"/>
          <w:tab w:val="clear" w:pos="3515"/>
        </w:tabs>
        <w:ind w:firstLine="624"/>
        <w:rPr>
          <w:rFonts w:ascii="Times New Roman" w:hAnsi="Times New Roman" w:cs="Times New Roman"/>
          <w:sz w:val="20"/>
          <w:szCs w:val="20"/>
          <w:lang w:val="es-ES_tradnl"/>
        </w:rPr>
      </w:pPr>
      <w:r w:rsidRPr="00455579">
        <w:rPr>
          <w:rFonts w:ascii="Times New Roman" w:hAnsi="Times New Roman" w:cs="Times New Roman"/>
          <w:i/>
          <w:sz w:val="20"/>
          <w:szCs w:val="20"/>
          <w:lang w:val="es-ES_tradnl"/>
        </w:rPr>
        <w:t>Pide</w:t>
      </w:r>
      <w:r w:rsidRPr="00455579">
        <w:rPr>
          <w:rFonts w:ascii="Times New Roman" w:hAnsi="Times New Roman" w:cs="Times New Roman"/>
          <w:sz w:val="20"/>
          <w:szCs w:val="20"/>
          <w:lang w:val="es-ES_tradnl"/>
        </w:rPr>
        <w:t xml:space="preserve"> al grupo de trabajo de expertos que revise el proyecto de directrices mencionado en el párrafo 6, teniendo en cuenta las observaciones recibidas en atención al párrafo 7, para que la Conferencia de las Partes lo examine en su 13ª reunión.</w:t>
      </w:r>
    </w:p>
    <w:p w:rsidR="00455579" w:rsidRPr="003A0645" w:rsidRDefault="00455579" w:rsidP="00455579">
      <w:pPr>
        <w:pStyle w:val="CH1"/>
        <w:rPr>
          <w:lang w:val="es-ES_tradnl"/>
        </w:rPr>
      </w:pPr>
      <w:r w:rsidRPr="003A0645">
        <w:rPr>
          <w:lang w:val="es-ES_tradnl"/>
        </w:rPr>
        <w:lastRenderedPageBreak/>
        <w:tab/>
      </w:r>
      <w:r w:rsidRPr="003A0645">
        <w:rPr>
          <w:lang w:val="es-ES_tradnl"/>
        </w:rPr>
        <w:tab/>
        <w:t>Anexo de la decisión OEWG</w:t>
      </w:r>
      <w:r>
        <w:rPr>
          <w:lang w:val="es-ES_tradnl"/>
        </w:rPr>
        <w:noBreakHyphen/>
      </w:r>
      <w:r w:rsidRPr="003A0645">
        <w:rPr>
          <w:lang w:val="es-ES_tradnl"/>
        </w:rPr>
        <w:t>10/3</w:t>
      </w:r>
    </w:p>
    <w:p w:rsidR="00455579" w:rsidRPr="003A0645" w:rsidRDefault="00455579" w:rsidP="00455579">
      <w:pPr>
        <w:pStyle w:val="CH2"/>
        <w:ind w:firstLine="0"/>
        <w:rPr>
          <w:lang w:val="es-ES_tradnl"/>
        </w:rPr>
      </w:pPr>
      <w:r w:rsidRPr="003A0645">
        <w:rPr>
          <w:lang w:val="es-ES_tradnl"/>
        </w:rPr>
        <w:t xml:space="preserve">Orientaciones generales para ayudar a las Partes a preparar estrategias eficientes con el fin de prevenir y minimizar la generación de desechos peligrosos y otros desechos y su eliminación </w:t>
      </w: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5328"/>
      </w:tblGrid>
      <w:tr w:rsidR="00455579" w:rsidRPr="003A0645" w:rsidTr="00E952D3">
        <w:trPr>
          <w:trHeight w:val="323"/>
          <w:tblHeader/>
        </w:trPr>
        <w:tc>
          <w:tcPr>
            <w:tcW w:w="2904" w:type="dxa"/>
            <w:shd w:val="clear" w:color="auto" w:fill="C4BC96" w:themeFill="background2" w:themeFillShade="BF"/>
          </w:tcPr>
          <w:p w:rsidR="00455579" w:rsidRPr="003A0645" w:rsidRDefault="00455579" w:rsidP="00E952D3">
            <w:pPr>
              <w:pStyle w:val="ListParagraph"/>
              <w:keepNext/>
              <w:keepLines/>
              <w:snapToGrid w:val="0"/>
              <w:spacing w:before="80" w:after="80" w:line="240" w:lineRule="auto"/>
              <w:ind w:left="0"/>
              <w:contextualSpacing w:val="0"/>
              <w:rPr>
                <w:rFonts w:ascii="Times New Roman" w:eastAsia="Times New Roman" w:hAnsi="Times New Roman" w:cs="Times New Roman"/>
                <w:b/>
                <w:bCs/>
                <w:sz w:val="18"/>
                <w:szCs w:val="18"/>
                <w:lang w:val="es-ES_tradnl"/>
              </w:rPr>
            </w:pPr>
            <w:r w:rsidRPr="003A0645">
              <w:rPr>
                <w:rFonts w:ascii="Times New Roman" w:hAnsi="Times New Roman" w:cs="Times New Roman"/>
                <w:b/>
                <w:sz w:val="18"/>
                <w:szCs w:val="18"/>
                <w:lang w:val="es-ES_tradnl"/>
              </w:rPr>
              <w:t>Capítulo</w:t>
            </w:r>
          </w:p>
        </w:tc>
        <w:tc>
          <w:tcPr>
            <w:tcW w:w="5328" w:type="dxa"/>
            <w:shd w:val="clear" w:color="auto" w:fill="C4BC96" w:themeFill="background2" w:themeFillShade="BF"/>
          </w:tcPr>
          <w:p w:rsidR="00455579" w:rsidRPr="003A0645" w:rsidRDefault="00455579" w:rsidP="00E952D3">
            <w:pPr>
              <w:pStyle w:val="ListParagraph"/>
              <w:keepNext/>
              <w:keepLines/>
              <w:snapToGrid w:val="0"/>
              <w:spacing w:before="80" w:after="80" w:line="240" w:lineRule="auto"/>
              <w:ind w:left="0"/>
              <w:contextualSpacing w:val="0"/>
              <w:rPr>
                <w:rFonts w:ascii="Times New Roman" w:eastAsia="Times New Roman" w:hAnsi="Times New Roman" w:cs="Times New Roman"/>
                <w:b/>
                <w:sz w:val="18"/>
                <w:szCs w:val="18"/>
                <w:lang w:val="es-ES_tradnl"/>
              </w:rPr>
            </w:pPr>
            <w:r w:rsidRPr="003A0645">
              <w:rPr>
                <w:rFonts w:ascii="Times New Roman" w:hAnsi="Times New Roman" w:cs="Times New Roman"/>
                <w:b/>
                <w:sz w:val="18"/>
                <w:szCs w:val="18"/>
                <w:lang w:val="es-ES_tradnl"/>
              </w:rPr>
              <w:t>Notas</w:t>
            </w:r>
          </w:p>
        </w:tc>
      </w:tr>
      <w:tr w:rsidR="00455579" w:rsidRPr="003A0645" w:rsidTr="00E952D3">
        <w:trPr>
          <w:tblHeader/>
        </w:trPr>
        <w:tc>
          <w:tcPr>
            <w:tcW w:w="2904" w:type="dxa"/>
          </w:tcPr>
          <w:p w:rsidR="00455579" w:rsidRPr="003A0645" w:rsidRDefault="00455579" w:rsidP="00455579">
            <w:pPr>
              <w:pStyle w:val="Normalpool"/>
              <w:keepNext/>
              <w:keepLines/>
              <w:numPr>
                <w:ilvl w:val="0"/>
                <w:numId w:val="8"/>
              </w:numPr>
              <w:tabs>
                <w:tab w:val="clear" w:pos="1247"/>
                <w:tab w:val="clear" w:pos="1814"/>
                <w:tab w:val="clear" w:pos="2381"/>
                <w:tab w:val="clear" w:pos="2948"/>
                <w:tab w:val="clear" w:pos="3515"/>
                <w:tab w:val="clear" w:pos="4082"/>
              </w:tabs>
              <w:spacing w:before="60" w:after="60"/>
              <w:ind w:left="641" w:hanging="641"/>
              <w:rPr>
                <w:b/>
                <w:bCs/>
                <w:sz w:val="18"/>
                <w:szCs w:val="18"/>
                <w:lang w:val="es-ES_tradnl"/>
              </w:rPr>
            </w:pPr>
            <w:r w:rsidRPr="003A0645">
              <w:rPr>
                <w:b/>
                <w:sz w:val="18"/>
                <w:szCs w:val="18"/>
                <w:lang w:val="es-ES_tradnl"/>
              </w:rPr>
              <w:t>Introducción</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spacing w:before="60" w:after="60"/>
              <w:ind w:left="624" w:hanging="624"/>
              <w:rPr>
                <w:sz w:val="18"/>
                <w:szCs w:val="18"/>
                <w:lang w:val="es-ES_tradnl"/>
              </w:rPr>
            </w:pPr>
            <w:r w:rsidRPr="003A0645">
              <w:rPr>
                <w:sz w:val="18"/>
                <w:szCs w:val="18"/>
                <w:lang w:val="es-ES_tradnl"/>
              </w:rPr>
              <w:t>Contexto conducente a la elaboración de las directrices</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 xml:space="preserve">Por ejemplo, los Objetivos de Desarrollo Sostenible, las resoluciones pertinentes del segundo período de sesiones de la Asamblea de las </w:t>
            </w:r>
            <w:r>
              <w:rPr>
                <w:rFonts w:ascii="Times New Roman" w:hAnsi="Times New Roman" w:cs="Times New Roman"/>
                <w:sz w:val="18"/>
                <w:szCs w:val="18"/>
                <w:lang w:val="es-ES_tradnl"/>
              </w:rPr>
              <w:t>Naciones Unidas</w:t>
            </w:r>
            <w:r w:rsidRPr="003A0645">
              <w:rPr>
                <w:rFonts w:ascii="Times New Roman" w:hAnsi="Times New Roman" w:cs="Times New Roman"/>
                <w:sz w:val="18"/>
                <w:szCs w:val="18"/>
                <w:lang w:val="es-ES_tradnl"/>
              </w:rPr>
              <w:t xml:space="preserve"> sobre el Medio Ambiente; la iniciativa patrocinada por Indonesia y Suiza para mejorar la eficacia del Convenio de Basilea; la Declaración de Cartagena sobre prevención, minimización y valorización de los desechos peligrosos y otros desechos; las metas y los objetivos del Marco Estratégico</w:t>
            </w:r>
            <w:r>
              <w:rPr>
                <w:rFonts w:ascii="Times New Roman" w:hAnsi="Times New Roman" w:cs="Times New Roman"/>
                <w:sz w:val="18"/>
                <w:szCs w:val="18"/>
                <w:lang w:val="es-ES_tradnl"/>
              </w:rPr>
              <w:t>.</w:t>
            </w: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spacing w:before="60" w:after="60"/>
              <w:ind w:left="624" w:hanging="624"/>
              <w:rPr>
                <w:sz w:val="18"/>
                <w:szCs w:val="18"/>
                <w:lang w:val="es-ES_tradnl"/>
              </w:rPr>
            </w:pPr>
            <w:r w:rsidRPr="003A0645">
              <w:rPr>
                <w:sz w:val="18"/>
                <w:szCs w:val="18"/>
                <w:lang w:val="es-ES_tradnl"/>
              </w:rPr>
              <w:t>Objetivos relativos a la prevención de los desechos</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 xml:space="preserve">Introducción general sobre posibles objetivos. Los programas o las medidas sobre prevención de los desechos podrían estar dirigidos al objetivo general de disociar la generación de desechos respecto del crecimiento económico. Otros objetivos podrían incluir mejorar el uso eficiente de materiales y la eficiencia en la utilización de los recursos, disociar el uso de los recursos respecto del crecimiento económico, prevenir el uso de materias primas y transitar hacia una economía circular. La prevención de los desechos también podría estar dirigida a reducir las sustancias peligrosas como parte de sus objetivos generales. Entre otros posibles objetivos figuran la creación de puestos de trabajo, la elaboración de nuevos modelos empresariales, y el cambio de comportamiento. </w:t>
            </w:r>
          </w:p>
        </w:tc>
      </w:tr>
      <w:tr w:rsidR="00455579" w:rsidRPr="003A0645" w:rsidTr="00E952D3">
        <w:trPr>
          <w:tblHeader/>
        </w:trPr>
        <w:tc>
          <w:tcPr>
            <w:tcW w:w="2904" w:type="dxa"/>
          </w:tcPr>
          <w:p w:rsidR="00455579" w:rsidRPr="003A0645" w:rsidRDefault="00455579" w:rsidP="00455579">
            <w:pPr>
              <w:pStyle w:val="Normalpool"/>
              <w:keepNext/>
              <w:keepLines/>
              <w:numPr>
                <w:ilvl w:val="1"/>
                <w:numId w:val="8"/>
              </w:numPr>
              <w:spacing w:before="60" w:after="60"/>
              <w:ind w:left="624" w:hanging="624"/>
              <w:rPr>
                <w:sz w:val="18"/>
                <w:szCs w:val="18"/>
                <w:lang w:val="es-ES_tradnl"/>
              </w:rPr>
            </w:pPr>
            <w:r w:rsidRPr="003A0645">
              <w:rPr>
                <w:sz w:val="18"/>
                <w:szCs w:val="18"/>
                <w:lang w:val="es-ES_tradnl"/>
              </w:rPr>
              <w:t>Enfoques</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Breve explicación de posibles enfoques. Propuesta: enfoques sectoriales/por grupo destinatario y específicos para cada corriente de desechos. Otras posibles opciones: programas o medidas dirigidos específicamente a la prevención de los desechos; medidas incorporadas en la legislación o los programas normativos sobre desechos. Enfoques estructurales y en materia de asociación.</w:t>
            </w: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spacing w:before="60" w:after="60"/>
              <w:ind w:left="624" w:hanging="624"/>
              <w:rPr>
                <w:sz w:val="18"/>
                <w:szCs w:val="18"/>
                <w:lang w:val="es-ES_tradnl"/>
              </w:rPr>
            </w:pPr>
            <w:r w:rsidRPr="003A0645">
              <w:rPr>
                <w:sz w:val="18"/>
                <w:szCs w:val="18"/>
                <w:lang w:val="es-ES_tradnl"/>
              </w:rPr>
              <w:t>Definiciones o terminología</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Examen de los manuales de prevención de los desechos elaborados por el Grupo de Trabajo de Expertos</w:t>
            </w:r>
            <w:r w:rsidRPr="003A0645">
              <w:rPr>
                <w:rStyle w:val="FootnoteReference"/>
                <w:rFonts w:cs="Times New Roman"/>
                <w:sz w:val="18"/>
                <w:lang w:val="es-ES_tradnl"/>
              </w:rPr>
              <w:footnoteReference w:id="3"/>
            </w:r>
            <w:r w:rsidRPr="003A0645">
              <w:rPr>
                <w:rFonts w:ascii="Times New Roman" w:hAnsi="Times New Roman" w:cs="Times New Roman"/>
                <w:sz w:val="18"/>
                <w:szCs w:val="18"/>
                <w:lang w:val="es-ES_tradnl"/>
              </w:rPr>
              <w:t xml:space="preserve"> o referencia a ellos y, cuando proceda, del glosario de términos elaborados por el pequeño grupo de trabajo entre reuniones en relación con la claridad jurídica</w:t>
            </w:r>
            <w:r w:rsidRPr="003A0645">
              <w:rPr>
                <w:rStyle w:val="FootnoteReference"/>
                <w:rFonts w:eastAsia="Times New Roman" w:cs="Times New Roman"/>
                <w:sz w:val="18"/>
                <w:lang w:val="es-ES_tradnl"/>
              </w:rPr>
              <w:footnoteReference w:id="4"/>
            </w:r>
            <w:r w:rsidRPr="003A0645">
              <w:rPr>
                <w:rFonts w:ascii="Times New Roman" w:hAnsi="Times New Roman" w:cs="Times New Roman"/>
                <w:sz w:val="18"/>
                <w:szCs w:val="18"/>
                <w:lang w:val="es-ES_tradnl"/>
              </w:rPr>
              <w:t>, de ser necesario.</w:t>
            </w:r>
          </w:p>
        </w:tc>
      </w:tr>
      <w:tr w:rsidR="00455579" w:rsidRPr="003A0645" w:rsidTr="00E952D3">
        <w:trPr>
          <w:tblHeader/>
        </w:trPr>
        <w:tc>
          <w:tcPr>
            <w:tcW w:w="2904" w:type="dxa"/>
          </w:tcPr>
          <w:p w:rsidR="00455579" w:rsidRPr="003A0645" w:rsidRDefault="00455579" w:rsidP="00455579">
            <w:pPr>
              <w:pStyle w:val="Normalpool"/>
              <w:keepNext/>
              <w:keepLines/>
              <w:numPr>
                <w:ilvl w:val="1"/>
                <w:numId w:val="8"/>
              </w:numPr>
              <w:spacing w:before="60" w:after="60"/>
              <w:ind w:left="624" w:hanging="624"/>
              <w:rPr>
                <w:sz w:val="18"/>
                <w:szCs w:val="18"/>
                <w:lang w:val="es-ES_tradnl"/>
              </w:rPr>
            </w:pPr>
            <w:r w:rsidRPr="003A0645">
              <w:rPr>
                <w:sz w:val="18"/>
                <w:szCs w:val="18"/>
                <w:lang w:val="es-ES_tradnl"/>
              </w:rPr>
              <w:t>Reseña de los posibles beneficios que la prevención y la minimización de los desechos podrían generar</w:t>
            </w:r>
          </w:p>
        </w:tc>
        <w:tc>
          <w:tcPr>
            <w:tcW w:w="5328" w:type="dxa"/>
          </w:tcPr>
          <w:p w:rsidR="00455579" w:rsidRPr="003A0645" w:rsidRDefault="00455579" w:rsidP="00E952D3">
            <w:pPr>
              <w:pStyle w:val="ListParagraph"/>
              <w:keepNext/>
              <w:keepLines/>
              <w:shd w:val="clear" w:color="auto" w:fill="FFFFFF"/>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Incluir el examen de los beneficios socioeconómicos y ambientales y su repercusión en:</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6"/>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La protección del medio ambiente;</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6"/>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Las prácticas eficientes de producción;</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6"/>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El rendimiento económico;</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6"/>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 xml:space="preserve">El perfil y las relaciones públicas; </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6"/>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La calidad de los produ</w:t>
            </w:r>
            <w:r>
              <w:rPr>
                <w:rFonts w:ascii="Times New Roman" w:hAnsi="Times New Roman" w:cs="Times New Roman"/>
                <w:sz w:val="18"/>
                <w:szCs w:val="18"/>
                <w:lang w:val="es-ES_tradnl"/>
              </w:rPr>
              <w:t>ctos elaborados y los servicios </w:t>
            </w:r>
            <w:r w:rsidRPr="003A0645">
              <w:rPr>
                <w:rFonts w:ascii="Times New Roman" w:hAnsi="Times New Roman" w:cs="Times New Roman"/>
                <w:sz w:val="18"/>
                <w:szCs w:val="18"/>
                <w:lang w:val="es-ES_tradnl"/>
              </w:rPr>
              <w:t>prestados;</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12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La salud pública.</w:t>
            </w:r>
          </w:p>
        </w:tc>
      </w:tr>
      <w:tr w:rsidR="00455579" w:rsidRPr="00455579" w:rsidTr="00E952D3">
        <w:trPr>
          <w:tblHeader/>
        </w:trPr>
        <w:tc>
          <w:tcPr>
            <w:tcW w:w="2904" w:type="dxa"/>
          </w:tcPr>
          <w:p w:rsidR="00455579" w:rsidRPr="003A0645" w:rsidRDefault="00455579" w:rsidP="00455579">
            <w:pPr>
              <w:pStyle w:val="Normalpool"/>
              <w:keepNext/>
              <w:keepLines/>
              <w:numPr>
                <w:ilvl w:val="0"/>
                <w:numId w:val="8"/>
              </w:numPr>
              <w:tabs>
                <w:tab w:val="clear" w:pos="1247"/>
                <w:tab w:val="clear" w:pos="1814"/>
                <w:tab w:val="clear" w:pos="2381"/>
                <w:tab w:val="clear" w:pos="2948"/>
                <w:tab w:val="clear" w:pos="3515"/>
                <w:tab w:val="clear" w:pos="4082"/>
              </w:tabs>
              <w:spacing w:before="60" w:after="60"/>
              <w:ind w:left="641" w:hanging="641"/>
              <w:rPr>
                <w:b/>
                <w:bCs/>
                <w:sz w:val="18"/>
                <w:szCs w:val="18"/>
                <w:lang w:val="es-ES_tradnl"/>
              </w:rPr>
            </w:pPr>
            <w:r w:rsidRPr="003A0645">
              <w:rPr>
                <w:b/>
                <w:sz w:val="18"/>
                <w:szCs w:val="18"/>
                <w:lang w:val="es-ES_tradnl"/>
              </w:rPr>
              <w:lastRenderedPageBreak/>
              <w:t>Estrategias de planificación para lograr la prevención y la minimización de los desechos</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bl>
    <w:p w:rsidR="00455579" w:rsidRPr="00C43A3D" w:rsidRDefault="00455579" w:rsidP="00455579">
      <w:pPr>
        <w:rPr>
          <w:lang w:val="es-ES"/>
        </w:rPr>
      </w:pPr>
      <w:r w:rsidRPr="00C43A3D">
        <w:rPr>
          <w:lang w:val="es-ES"/>
        </w:rPr>
        <w:br w:type="page"/>
      </w: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5328"/>
      </w:tblGrid>
      <w:tr w:rsidR="00455579" w:rsidRPr="003A0645" w:rsidTr="00E952D3">
        <w:trPr>
          <w:tblHeader/>
        </w:trPr>
        <w:tc>
          <w:tcPr>
            <w:tcW w:w="2904" w:type="dxa"/>
            <w:shd w:val="clear" w:color="auto" w:fill="C4BC96" w:themeFill="background2" w:themeFillShade="BF"/>
          </w:tcPr>
          <w:p w:rsidR="00455579" w:rsidRPr="00D33040" w:rsidRDefault="00455579" w:rsidP="00E952D3">
            <w:pPr>
              <w:pStyle w:val="ListParagraph"/>
              <w:keepNext/>
              <w:keepLines/>
              <w:snapToGrid w:val="0"/>
              <w:spacing w:before="80" w:after="80" w:line="240" w:lineRule="auto"/>
              <w:ind w:left="0"/>
              <w:contextualSpacing w:val="0"/>
              <w:rPr>
                <w:rFonts w:ascii="Times New Roman" w:eastAsia="Times New Roman" w:hAnsi="Times New Roman" w:cs="Times New Roman"/>
                <w:b/>
                <w:bCs/>
                <w:sz w:val="18"/>
                <w:szCs w:val="18"/>
                <w:lang w:val="es-ES_tradnl"/>
              </w:rPr>
            </w:pPr>
            <w:r w:rsidRPr="00D33040">
              <w:rPr>
                <w:rFonts w:ascii="Times New Roman" w:eastAsia="Times New Roman" w:hAnsi="Times New Roman" w:cs="Times New Roman"/>
                <w:b/>
                <w:bCs/>
                <w:sz w:val="18"/>
                <w:szCs w:val="18"/>
                <w:lang w:val="es-ES_tradnl"/>
              </w:rPr>
              <w:lastRenderedPageBreak/>
              <w:t>Capítulo</w:t>
            </w:r>
          </w:p>
        </w:tc>
        <w:tc>
          <w:tcPr>
            <w:tcW w:w="5328" w:type="dxa"/>
            <w:shd w:val="clear" w:color="auto" w:fill="C4BC96" w:themeFill="background2" w:themeFillShade="BF"/>
          </w:tcPr>
          <w:p w:rsidR="00455579" w:rsidRPr="00D33040" w:rsidRDefault="00455579" w:rsidP="00E952D3">
            <w:pPr>
              <w:pStyle w:val="ListParagraph"/>
              <w:keepNext/>
              <w:keepLines/>
              <w:snapToGrid w:val="0"/>
              <w:spacing w:before="80" w:after="80" w:line="240" w:lineRule="auto"/>
              <w:ind w:left="0"/>
              <w:contextualSpacing w:val="0"/>
              <w:rPr>
                <w:rFonts w:ascii="Times New Roman" w:eastAsia="Times New Roman" w:hAnsi="Times New Roman" w:cs="Times New Roman"/>
                <w:b/>
                <w:bCs/>
                <w:sz w:val="18"/>
                <w:szCs w:val="18"/>
                <w:lang w:val="es-ES_tradnl"/>
              </w:rPr>
            </w:pPr>
            <w:r w:rsidRPr="00D33040">
              <w:rPr>
                <w:rFonts w:ascii="Times New Roman" w:eastAsia="Times New Roman" w:hAnsi="Times New Roman" w:cs="Times New Roman"/>
                <w:b/>
                <w:bCs/>
                <w:sz w:val="18"/>
                <w:szCs w:val="18"/>
                <w:lang w:val="es-ES_tradnl"/>
              </w:rPr>
              <w:t>Notas</w:t>
            </w: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bCs/>
                <w:sz w:val="18"/>
                <w:szCs w:val="18"/>
                <w:lang w:val="es-ES_tradnl"/>
              </w:rPr>
            </w:pPr>
            <w:r w:rsidRPr="003A0645">
              <w:rPr>
                <w:sz w:val="18"/>
                <w:szCs w:val="18"/>
                <w:lang w:val="es-ES_tradnl"/>
              </w:rPr>
              <w:t>Preparación/iniciación</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 xml:space="preserve">Establecimiento de una base </w:t>
            </w:r>
            <w:r>
              <w:rPr>
                <w:rFonts w:ascii="Times New Roman" w:hAnsi="Times New Roman" w:cs="Times New Roman"/>
                <w:sz w:val="18"/>
                <w:szCs w:val="18"/>
                <w:lang w:val="es-ES_tradnl"/>
              </w:rPr>
              <w:t>de conocimientos y un equipo de </w:t>
            </w:r>
            <w:r w:rsidRPr="003A0645">
              <w:rPr>
                <w:rFonts w:ascii="Times New Roman" w:hAnsi="Times New Roman" w:cs="Times New Roman"/>
                <w:sz w:val="18"/>
                <w:szCs w:val="18"/>
                <w:lang w:val="es-ES_tradnl"/>
              </w:rPr>
              <w:t>proyectos</w:t>
            </w:r>
          </w:p>
        </w:tc>
      </w:tr>
      <w:tr w:rsidR="00455579" w:rsidRPr="00455579" w:rsidTr="00E952D3">
        <w:trPr>
          <w:tblHeader/>
        </w:trPr>
        <w:tc>
          <w:tcPr>
            <w:tcW w:w="2904" w:type="dxa"/>
          </w:tcPr>
          <w:p w:rsidR="00455579" w:rsidRPr="003A0645" w:rsidRDefault="00455579" w:rsidP="00E952D3">
            <w:pPr>
              <w:pStyle w:val="Normalpool"/>
              <w:keepNext/>
              <w:keepLines/>
              <w:tabs>
                <w:tab w:val="clear" w:pos="1247"/>
                <w:tab w:val="clear" w:pos="1814"/>
                <w:tab w:val="clear" w:pos="2381"/>
                <w:tab w:val="clear" w:pos="2948"/>
                <w:tab w:val="clear" w:pos="3515"/>
                <w:tab w:val="clear" w:pos="4082"/>
              </w:tabs>
              <w:spacing w:before="60" w:after="60"/>
              <w:rPr>
                <w:sz w:val="18"/>
                <w:szCs w:val="18"/>
                <w:lang w:val="es-ES_tradnl"/>
              </w:rPr>
            </w:pP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hAnsi="Times New Roman" w:cs="Times New Roman"/>
                <w:sz w:val="18"/>
                <w:szCs w:val="18"/>
                <w:lang w:val="es-ES_tradnl"/>
              </w:rPr>
            </w:pPr>
          </w:p>
        </w:tc>
      </w:tr>
      <w:tr w:rsidR="00455579" w:rsidRPr="00822ABB"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bCs/>
                <w:sz w:val="18"/>
                <w:szCs w:val="18"/>
                <w:lang w:val="es-ES_tradnl"/>
              </w:rPr>
            </w:pPr>
            <w:r w:rsidRPr="003A0645">
              <w:rPr>
                <w:sz w:val="18"/>
                <w:szCs w:val="18"/>
                <w:lang w:val="es-ES_tradnl"/>
              </w:rPr>
              <w:t>Evaluación de la situación</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Evaluación inicial mediante datos disponibles</w:t>
            </w:r>
          </w:p>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Determinación de las deficiencias/necesidades</w:t>
            </w: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bCs/>
                <w:sz w:val="18"/>
                <w:szCs w:val="18"/>
                <w:lang w:val="es-ES_tradnl"/>
              </w:rPr>
            </w:pPr>
            <w:r w:rsidRPr="003A0645">
              <w:rPr>
                <w:sz w:val="18"/>
                <w:szCs w:val="18"/>
                <w:lang w:val="es-ES_tradnl"/>
              </w:rPr>
              <w:t>Establecimiento de prioridades</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b/>
                <w:sz w:val="18"/>
                <w:szCs w:val="18"/>
                <w:lang w:val="es-ES_tradnl"/>
              </w:rPr>
            </w:pPr>
            <w:r w:rsidRPr="003A0645">
              <w:rPr>
                <w:rFonts w:ascii="Times New Roman" w:hAnsi="Times New Roman" w:cs="Times New Roman"/>
                <w:sz w:val="18"/>
                <w:szCs w:val="18"/>
                <w:lang w:val="es-ES_tradnl"/>
              </w:rPr>
              <w:t>Fase preliminar de la elaboración –por ejemplo, si una estrategia para lograr la prevención y la minimización de los desechos debería ser un documento independiente o integrado en otras estrategias, y sobre la fijación de objetivos</w:t>
            </w:r>
          </w:p>
        </w:tc>
      </w:tr>
      <w:tr w:rsidR="00455579" w:rsidRPr="00822ABB"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b/>
                <w:bCs/>
                <w:sz w:val="18"/>
                <w:szCs w:val="18"/>
                <w:lang w:val="es-ES_tradnl"/>
              </w:rPr>
            </w:pPr>
            <w:r w:rsidRPr="003A0645">
              <w:rPr>
                <w:sz w:val="18"/>
                <w:szCs w:val="18"/>
                <w:lang w:val="es-ES_tradnl"/>
              </w:rPr>
              <w:t>Determinación de los medios de implementación</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Recursos necesarios; mecanismos para movilizar recursos</w:t>
            </w: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bCs/>
                <w:sz w:val="18"/>
                <w:szCs w:val="18"/>
                <w:lang w:val="es-ES_tradnl"/>
              </w:rPr>
            </w:pPr>
            <w:r w:rsidRPr="003A0645">
              <w:rPr>
                <w:sz w:val="18"/>
                <w:szCs w:val="18"/>
                <w:lang w:val="es-ES_tradnl"/>
              </w:rPr>
              <w:t>Elaboración de una estrategia</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Manera de pasar de un primer proyecto a una decisión sobre una estrategia, incluida la relativa a la duración de la estrategia y cuándo actualizarla</w:t>
            </w: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bCs/>
                <w:sz w:val="18"/>
                <w:szCs w:val="18"/>
                <w:lang w:val="es-ES_tradnl"/>
              </w:rPr>
            </w:pPr>
            <w:r w:rsidRPr="003A0645">
              <w:rPr>
                <w:sz w:val="18"/>
                <w:szCs w:val="18"/>
                <w:lang w:val="es-ES_tradnl"/>
              </w:rPr>
              <w:t>Implementación de la estrategia</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Directrices generales sobre la manera de implementar la estrategia</w:t>
            </w: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bCs/>
                <w:sz w:val="18"/>
                <w:szCs w:val="18"/>
                <w:lang w:val="es-ES_tradnl"/>
              </w:rPr>
            </w:pPr>
            <w:r w:rsidRPr="003A0645">
              <w:rPr>
                <w:sz w:val="18"/>
                <w:szCs w:val="18"/>
                <w:lang w:val="es-ES_tradnl"/>
              </w:rPr>
              <w:t>Progreso de la monitorización</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b/>
                <w:sz w:val="18"/>
                <w:szCs w:val="18"/>
                <w:lang w:val="es-ES_tradnl"/>
              </w:rPr>
            </w:pPr>
            <w:r w:rsidRPr="003A0645">
              <w:rPr>
                <w:rFonts w:ascii="Times New Roman" w:hAnsi="Times New Roman" w:cs="Times New Roman"/>
                <w:sz w:val="18"/>
                <w:szCs w:val="18"/>
                <w:lang w:val="es-ES_tradnl"/>
              </w:rPr>
              <w:t>Tratar de manera general los indicadores y la evaluación – por ejemplo, principios para los indicadores eficaces, y una metodología para establecer los indicadores</w:t>
            </w:r>
          </w:p>
        </w:tc>
      </w:tr>
      <w:tr w:rsidR="00455579" w:rsidRPr="00455579" w:rsidTr="00E952D3">
        <w:trPr>
          <w:tblHeader/>
        </w:trPr>
        <w:tc>
          <w:tcPr>
            <w:tcW w:w="2904" w:type="dxa"/>
          </w:tcPr>
          <w:p w:rsidR="00455579" w:rsidRPr="003A0645" w:rsidRDefault="00455579" w:rsidP="00455579">
            <w:pPr>
              <w:pStyle w:val="Normalpool"/>
              <w:keepNext/>
              <w:keepLines/>
              <w:widowControl w:val="0"/>
              <w:numPr>
                <w:ilvl w:val="0"/>
                <w:numId w:val="8"/>
              </w:numPr>
              <w:tabs>
                <w:tab w:val="clear" w:pos="1247"/>
                <w:tab w:val="clear" w:pos="1814"/>
                <w:tab w:val="clear" w:pos="2381"/>
                <w:tab w:val="clear" w:pos="2948"/>
                <w:tab w:val="clear" w:pos="3515"/>
                <w:tab w:val="clear" w:pos="4082"/>
              </w:tabs>
              <w:spacing w:before="60" w:after="60"/>
              <w:ind w:left="641" w:hanging="641"/>
              <w:rPr>
                <w:b/>
                <w:bCs/>
                <w:sz w:val="18"/>
                <w:szCs w:val="18"/>
                <w:lang w:val="es-ES_tradnl"/>
              </w:rPr>
            </w:pPr>
            <w:r w:rsidRPr="003A0645">
              <w:rPr>
                <w:b/>
                <w:sz w:val="18"/>
                <w:szCs w:val="18"/>
                <w:lang w:val="es-ES_tradnl"/>
              </w:rPr>
              <w:t xml:space="preserve">Panorama general de las buenas prácticas en la prevención de los desechos </w:t>
            </w:r>
          </w:p>
        </w:tc>
        <w:tc>
          <w:tcPr>
            <w:tcW w:w="5328" w:type="dxa"/>
          </w:tcPr>
          <w:p w:rsidR="00455579" w:rsidRPr="003A0645" w:rsidRDefault="00455579" w:rsidP="00E952D3">
            <w:pPr>
              <w:pStyle w:val="ListParagraph"/>
              <w:keepNext/>
              <w:keepLines/>
              <w:widowControl w:val="0"/>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sz w:val="18"/>
                <w:szCs w:val="18"/>
                <w:lang w:val="es-ES_tradnl"/>
              </w:rPr>
            </w:pPr>
            <w:r w:rsidRPr="003A0645">
              <w:rPr>
                <w:sz w:val="18"/>
                <w:szCs w:val="18"/>
                <w:lang w:val="es-ES_tradnl"/>
              </w:rPr>
              <w:t>Reseña para presentar las prácticas y los ejemplos</w:t>
            </w:r>
          </w:p>
        </w:tc>
        <w:tc>
          <w:tcPr>
            <w:tcW w:w="5328" w:type="dxa"/>
          </w:tcPr>
          <w:p w:rsidR="00455579" w:rsidRPr="003A0645" w:rsidRDefault="00455579" w:rsidP="00E952D3">
            <w:pPr>
              <w:pStyle w:val="ListParagraph"/>
              <w:keepNext/>
              <w:keepLines/>
              <w:snapToGrid w:val="0"/>
              <w:spacing w:after="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En esta sección se reseñan las características de los programas o las medidas sobre prevención de los desechos que deberían tratarse en cada una de las subsecciones siguientes.</w:t>
            </w:r>
          </w:p>
          <w:p w:rsidR="00455579" w:rsidRPr="003A0645" w:rsidRDefault="00455579" w:rsidP="00E952D3">
            <w:pPr>
              <w:pStyle w:val="ListParagraph"/>
              <w:keepNext/>
              <w:keepLines/>
              <w:snapToGrid w:val="0"/>
              <w:spacing w:after="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Cada caso debe abordar los aspectos siguientes:</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Condición de las medidas o el programa: iniciativa jurídicamente vinculante, voluntaria, pública, privada, etc. Incluir: legislación conexa si procede</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 xml:space="preserve">Duración: ilimitada, vinculada a otras planificaciones de políticas, duración específica, </w:t>
            </w:r>
            <w:proofErr w:type="spellStart"/>
            <w:r w:rsidRPr="003A0645">
              <w:rPr>
                <w:rFonts w:ascii="Times New Roman" w:hAnsi="Times New Roman" w:cs="Times New Roman"/>
                <w:sz w:val="18"/>
                <w:szCs w:val="18"/>
                <w:lang w:val="es-ES_tradnl"/>
              </w:rPr>
              <w:t>etc</w:t>
            </w:r>
            <w:proofErr w:type="spellEnd"/>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Corriente(s) de desechos incluida(s), en caso de enfoque sectorial/por grupo destinatario; también especificación sobre el (los) sector(es) o grupo(s) destinatario(s) tratados.</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Objetivos: ¿Se han establecido objetivos? ¿Son cuantitativos? ¿Cualitativos? ¿Ambos?</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Interesados participantes /carácter de su participación</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Medios de implementación</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Aspectos relativos a la creación de capacidad, el desarrollo de competencias y la asistencia técnica</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Tratamiento de los problemas (participación de los diferentes ministerios vinculados con el desarrollo socioeconómico y la calidad del medio ambiente), incentivos</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color w:val="404040" w:themeColor="text1" w:themeTint="BF"/>
                <w:sz w:val="18"/>
                <w:szCs w:val="18"/>
                <w:lang w:val="es-ES_tradnl"/>
              </w:rPr>
            </w:pPr>
            <w:r w:rsidRPr="003A0645">
              <w:rPr>
                <w:rFonts w:ascii="Times New Roman" w:hAnsi="Times New Roman" w:cs="Times New Roman"/>
                <w:sz w:val="18"/>
                <w:szCs w:val="18"/>
                <w:lang w:val="es-ES_tradnl"/>
              </w:rPr>
              <w:t>Indicadores del cumplimiento</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Monitorización de la implementación y el cumplimiento</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Evaluación</w:t>
            </w:r>
          </w:p>
          <w:p w:rsidR="00455579" w:rsidRPr="003A0645" w:rsidRDefault="00455579" w:rsidP="00455579">
            <w:pPr>
              <w:pStyle w:val="ListParagraph"/>
              <w:keepNext/>
              <w:keepLines/>
              <w:numPr>
                <w:ilvl w:val="0"/>
                <w:numId w:val="7"/>
              </w:numPr>
              <w:shd w:val="clear" w:color="auto" w:fill="FFFFFF"/>
              <w:tabs>
                <w:tab w:val="left" w:pos="714"/>
              </w:tabs>
              <w:snapToGrid w:val="0"/>
              <w:spacing w:before="60" w:after="120" w:line="240" w:lineRule="auto"/>
              <w:ind w:left="714" w:hanging="425"/>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Información disponible (informes, documentos normativos, etc., incluidos hiperenlaces a materiales en línea)</w:t>
            </w: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sz w:val="18"/>
                <w:szCs w:val="18"/>
                <w:lang w:val="es-ES_tradnl"/>
              </w:rPr>
            </w:pPr>
            <w:r w:rsidRPr="003A0645">
              <w:rPr>
                <w:sz w:val="18"/>
                <w:szCs w:val="18"/>
                <w:lang w:val="es-ES_tradnl"/>
              </w:rPr>
              <w:lastRenderedPageBreak/>
              <w:t>Enfoque sectorial o</w:t>
            </w:r>
            <w:r>
              <w:rPr>
                <w:sz w:val="18"/>
                <w:szCs w:val="18"/>
                <w:lang w:val="es-ES_tradnl"/>
              </w:rPr>
              <w:t xml:space="preserve"> por grupo destinatario: buenas </w:t>
            </w:r>
            <w:r w:rsidRPr="003A0645">
              <w:rPr>
                <w:sz w:val="18"/>
                <w:szCs w:val="18"/>
                <w:lang w:val="es-ES_tradnl"/>
              </w:rPr>
              <w:t>prácticas</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2"/>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2"/>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shd w:val="clear" w:color="auto" w:fill="C4BC96" w:themeFill="background2" w:themeFillShade="BF"/>
          </w:tcPr>
          <w:p w:rsidR="00455579" w:rsidRPr="00D33040" w:rsidRDefault="00455579" w:rsidP="00E952D3">
            <w:pPr>
              <w:pStyle w:val="ListParagraph"/>
              <w:keepNext/>
              <w:keepLines/>
              <w:snapToGrid w:val="0"/>
              <w:spacing w:before="80" w:after="80" w:line="240" w:lineRule="auto"/>
              <w:ind w:left="0"/>
              <w:contextualSpacing w:val="0"/>
              <w:rPr>
                <w:rFonts w:ascii="Times New Roman" w:eastAsia="Times New Roman" w:hAnsi="Times New Roman" w:cs="Times New Roman"/>
                <w:b/>
                <w:bCs/>
                <w:sz w:val="18"/>
                <w:szCs w:val="18"/>
                <w:lang w:val="es-ES_tradnl"/>
              </w:rPr>
            </w:pPr>
            <w:r w:rsidRPr="00D33040">
              <w:rPr>
                <w:rFonts w:ascii="Times New Roman" w:eastAsia="Times New Roman" w:hAnsi="Times New Roman" w:cs="Times New Roman"/>
                <w:b/>
                <w:bCs/>
                <w:sz w:val="18"/>
                <w:szCs w:val="18"/>
                <w:lang w:val="es-ES_tradnl"/>
              </w:rPr>
              <w:t>Capítulo</w:t>
            </w:r>
          </w:p>
        </w:tc>
        <w:tc>
          <w:tcPr>
            <w:tcW w:w="5328" w:type="dxa"/>
            <w:shd w:val="clear" w:color="auto" w:fill="C4BC96" w:themeFill="background2" w:themeFillShade="BF"/>
          </w:tcPr>
          <w:p w:rsidR="00455579" w:rsidRPr="00D33040" w:rsidRDefault="00455579" w:rsidP="00E952D3">
            <w:pPr>
              <w:pStyle w:val="ListParagraph"/>
              <w:keepNext/>
              <w:keepLines/>
              <w:snapToGrid w:val="0"/>
              <w:spacing w:before="80" w:after="80" w:line="240" w:lineRule="auto"/>
              <w:ind w:left="0"/>
              <w:contextualSpacing w:val="0"/>
              <w:rPr>
                <w:rFonts w:ascii="Times New Roman" w:eastAsia="Times New Roman" w:hAnsi="Times New Roman" w:cs="Times New Roman"/>
                <w:b/>
                <w:bCs/>
                <w:sz w:val="18"/>
                <w:szCs w:val="18"/>
                <w:lang w:val="es-ES_tradnl"/>
              </w:rPr>
            </w:pPr>
            <w:r w:rsidRPr="00D33040">
              <w:rPr>
                <w:rFonts w:ascii="Times New Roman" w:eastAsia="Times New Roman" w:hAnsi="Times New Roman" w:cs="Times New Roman"/>
                <w:b/>
                <w:bCs/>
                <w:sz w:val="18"/>
                <w:szCs w:val="18"/>
                <w:lang w:val="es-ES_tradnl"/>
              </w:rPr>
              <w:t>Notas</w:t>
            </w:r>
          </w:p>
        </w:tc>
      </w:tr>
      <w:tr w:rsidR="00455579" w:rsidRPr="003A0645" w:rsidTr="00E952D3">
        <w:trPr>
          <w:tblHeader/>
        </w:trPr>
        <w:tc>
          <w:tcPr>
            <w:tcW w:w="2904" w:type="dxa"/>
          </w:tcPr>
          <w:p w:rsidR="00455579" w:rsidRPr="003A0645" w:rsidRDefault="00455579" w:rsidP="00455579">
            <w:pPr>
              <w:pStyle w:val="Normalpool"/>
              <w:keepNext/>
              <w:keepLines/>
              <w:numPr>
                <w:ilvl w:val="2"/>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455579" w:rsidTr="00E952D3">
        <w:trPr>
          <w:tblHeader/>
        </w:trPr>
        <w:tc>
          <w:tcPr>
            <w:tcW w:w="2904" w:type="dxa"/>
          </w:tcPr>
          <w:p w:rsidR="00455579" w:rsidRPr="003A0645" w:rsidRDefault="00455579" w:rsidP="00455579">
            <w:pPr>
              <w:pStyle w:val="Normalpool"/>
              <w:keepNext/>
              <w:keepLines/>
              <w:numPr>
                <w:ilvl w:val="1"/>
                <w:numId w:val="8"/>
              </w:numPr>
              <w:tabs>
                <w:tab w:val="clear" w:pos="1247"/>
                <w:tab w:val="clear" w:pos="1814"/>
                <w:tab w:val="clear" w:pos="2381"/>
                <w:tab w:val="clear" w:pos="2948"/>
                <w:tab w:val="clear" w:pos="3515"/>
                <w:tab w:val="clear" w:pos="4082"/>
              </w:tabs>
              <w:spacing w:before="60" w:after="60"/>
              <w:ind w:left="624" w:hanging="624"/>
              <w:rPr>
                <w:sz w:val="18"/>
                <w:szCs w:val="18"/>
                <w:lang w:val="es-ES_tradnl"/>
              </w:rPr>
            </w:pPr>
            <w:r w:rsidRPr="003A0645">
              <w:rPr>
                <w:sz w:val="18"/>
                <w:szCs w:val="18"/>
                <w:lang w:val="es-ES_tradnl"/>
              </w:rPr>
              <w:t>Enfoque basado en la corriente de desechos: buenas prácticas</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2"/>
                <w:numId w:val="8"/>
              </w:numPr>
              <w:tabs>
                <w:tab w:val="clear" w:pos="1247"/>
                <w:tab w:val="clear" w:pos="1814"/>
                <w:tab w:val="clear" w:pos="2381"/>
                <w:tab w:val="clear" w:pos="2948"/>
                <w:tab w:val="clear" w:pos="3515"/>
                <w:tab w:val="clear" w:pos="4082"/>
              </w:tabs>
              <w:spacing w:before="60" w:after="60"/>
              <w:ind w:left="624" w:hanging="624"/>
              <w:rPr>
                <w:sz w:val="18"/>
                <w:szCs w:val="18"/>
                <w:lang w:val="es-ES_tradnl"/>
              </w:rPr>
            </w:pPr>
            <w:r w:rsidRPr="003A0645">
              <w:rPr>
                <w:sz w:val="18"/>
                <w:szCs w:val="18"/>
                <w:lang w:val="es-ES_tradnl"/>
              </w:rPr>
              <w:t>Corriente de desechos 1</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3"/>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Práctica 1</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3"/>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Práctica 2</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3"/>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2"/>
                <w:numId w:val="8"/>
              </w:numPr>
              <w:tabs>
                <w:tab w:val="clear" w:pos="1247"/>
                <w:tab w:val="clear" w:pos="1814"/>
                <w:tab w:val="clear" w:pos="2381"/>
                <w:tab w:val="clear" w:pos="2948"/>
                <w:tab w:val="clear" w:pos="3515"/>
                <w:tab w:val="clear" w:pos="4082"/>
              </w:tabs>
              <w:spacing w:before="60" w:after="60"/>
              <w:ind w:left="624" w:hanging="624"/>
              <w:rPr>
                <w:sz w:val="18"/>
                <w:szCs w:val="18"/>
                <w:lang w:val="es-ES_tradnl"/>
              </w:rPr>
            </w:pPr>
            <w:r w:rsidRPr="003A0645">
              <w:rPr>
                <w:sz w:val="18"/>
                <w:szCs w:val="18"/>
                <w:lang w:val="es-ES_tradnl"/>
              </w:rPr>
              <w:t>Corriente de desechos 2</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3"/>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Práctica 1</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3"/>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Práctica 2</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3"/>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2"/>
                <w:numId w:val="8"/>
              </w:numPr>
              <w:tabs>
                <w:tab w:val="clear" w:pos="1247"/>
                <w:tab w:val="clear" w:pos="1814"/>
                <w:tab w:val="clear" w:pos="2381"/>
                <w:tab w:val="clear" w:pos="2948"/>
                <w:tab w:val="clear" w:pos="3515"/>
                <w:tab w:val="clear" w:pos="4082"/>
              </w:tabs>
              <w:spacing w:before="60" w:after="60"/>
              <w:ind w:left="624" w:hanging="624"/>
              <w:rPr>
                <w:sz w:val="18"/>
                <w:szCs w:val="18"/>
                <w:lang w:val="es-ES_tradnl"/>
              </w:rPr>
            </w:pPr>
            <w:r w:rsidRPr="003A0645">
              <w:rPr>
                <w:sz w:val="18"/>
                <w:szCs w:val="18"/>
                <w:lang w:val="es-ES_tradnl"/>
              </w:rPr>
              <w:t>Corriente de desechos 3</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3A0645" w:rsidTr="00E952D3">
        <w:trPr>
          <w:tblHeader/>
        </w:trPr>
        <w:tc>
          <w:tcPr>
            <w:tcW w:w="2904" w:type="dxa"/>
          </w:tcPr>
          <w:p w:rsidR="00455579" w:rsidRPr="003A0645" w:rsidRDefault="00455579" w:rsidP="00455579">
            <w:pPr>
              <w:pStyle w:val="Normalpool"/>
              <w:keepNext/>
              <w:keepLines/>
              <w:numPr>
                <w:ilvl w:val="3"/>
                <w:numId w:val="8"/>
              </w:numPr>
              <w:tabs>
                <w:tab w:val="clear" w:pos="1247"/>
                <w:tab w:val="clear" w:pos="1814"/>
                <w:tab w:val="clear" w:pos="2381"/>
                <w:tab w:val="clear" w:pos="2948"/>
                <w:tab w:val="clear" w:pos="3515"/>
                <w:tab w:val="clear" w:pos="4082"/>
              </w:tabs>
              <w:spacing w:before="60" w:after="60"/>
              <w:ind w:left="1248" w:hanging="624"/>
              <w:rPr>
                <w:sz w:val="18"/>
                <w:szCs w:val="18"/>
                <w:lang w:val="es-ES_tradnl"/>
              </w:rPr>
            </w:pPr>
            <w:r w:rsidRPr="003A0645">
              <w:rPr>
                <w:sz w:val="18"/>
                <w:szCs w:val="18"/>
                <w:lang w:val="es-ES_tradnl"/>
              </w:rPr>
              <w:t>…</w:t>
            </w:r>
          </w:p>
        </w:tc>
        <w:tc>
          <w:tcPr>
            <w:tcW w:w="5328" w:type="dxa"/>
          </w:tcPr>
          <w:p w:rsidR="00455579" w:rsidRPr="003A0645" w:rsidRDefault="00455579" w:rsidP="00E952D3">
            <w:pPr>
              <w:pStyle w:val="ListParagraph"/>
              <w:keepNext/>
              <w:keepLines/>
              <w:snapToGrid w:val="0"/>
              <w:spacing w:before="60" w:after="60" w:line="240" w:lineRule="auto"/>
              <w:ind w:left="0"/>
              <w:contextualSpacing w:val="0"/>
              <w:rPr>
                <w:rFonts w:ascii="Times New Roman" w:eastAsia="Times New Roman" w:hAnsi="Times New Roman" w:cs="Times New Roman"/>
                <w:sz w:val="18"/>
                <w:szCs w:val="18"/>
                <w:lang w:val="es-ES_tradnl"/>
              </w:rPr>
            </w:pPr>
          </w:p>
        </w:tc>
      </w:tr>
      <w:tr w:rsidR="00455579" w:rsidRPr="00455579" w:rsidTr="00E952D3">
        <w:trPr>
          <w:tblHeader/>
        </w:trPr>
        <w:tc>
          <w:tcPr>
            <w:tcW w:w="2904" w:type="dxa"/>
          </w:tcPr>
          <w:p w:rsidR="00455579" w:rsidRPr="003A0645" w:rsidRDefault="00455579" w:rsidP="00455579">
            <w:pPr>
              <w:pStyle w:val="Normalpool"/>
              <w:keepNext/>
              <w:keepLines/>
              <w:numPr>
                <w:ilvl w:val="0"/>
                <w:numId w:val="8"/>
              </w:numPr>
              <w:tabs>
                <w:tab w:val="clear" w:pos="1247"/>
                <w:tab w:val="clear" w:pos="1814"/>
                <w:tab w:val="clear" w:pos="2381"/>
                <w:tab w:val="clear" w:pos="2948"/>
                <w:tab w:val="clear" w:pos="3515"/>
                <w:tab w:val="clear" w:pos="4082"/>
              </w:tabs>
              <w:spacing w:before="60" w:after="60"/>
              <w:ind w:left="641" w:hanging="641"/>
              <w:rPr>
                <w:b/>
                <w:sz w:val="18"/>
                <w:szCs w:val="18"/>
                <w:lang w:val="es-ES_tradnl"/>
              </w:rPr>
            </w:pPr>
            <w:r w:rsidRPr="003A0645">
              <w:rPr>
                <w:b/>
                <w:sz w:val="18"/>
                <w:szCs w:val="18"/>
                <w:lang w:val="es-ES_tradnl"/>
              </w:rPr>
              <w:t>Referencias adicionales</w:t>
            </w:r>
          </w:p>
        </w:tc>
        <w:tc>
          <w:tcPr>
            <w:tcW w:w="5328" w:type="dxa"/>
          </w:tcPr>
          <w:p w:rsidR="00455579" w:rsidRPr="003A0645" w:rsidRDefault="00455579" w:rsidP="00E952D3">
            <w:pPr>
              <w:pStyle w:val="ListParagraph"/>
              <w:keepNext/>
              <w:keepLines/>
              <w:snapToGrid w:val="0"/>
              <w:spacing w:before="60" w:after="120" w:line="240" w:lineRule="auto"/>
              <w:ind w:left="0"/>
              <w:contextualSpacing w:val="0"/>
              <w:rPr>
                <w:rFonts w:ascii="Times New Roman" w:eastAsia="Times New Roman" w:hAnsi="Times New Roman" w:cs="Times New Roman"/>
                <w:sz w:val="18"/>
                <w:szCs w:val="18"/>
                <w:lang w:val="es-ES_tradnl"/>
              </w:rPr>
            </w:pPr>
            <w:r w:rsidRPr="003A0645">
              <w:rPr>
                <w:rFonts w:ascii="Times New Roman" w:hAnsi="Times New Roman" w:cs="Times New Roman"/>
                <w:sz w:val="18"/>
                <w:szCs w:val="18"/>
                <w:lang w:val="es-ES_tradnl"/>
              </w:rPr>
              <w:t xml:space="preserve">Lista de documentos estratégicos y de referencia, como </w:t>
            </w:r>
            <w:r>
              <w:rPr>
                <w:rFonts w:ascii="Times New Roman" w:hAnsi="Times New Roman" w:cs="Times New Roman"/>
                <w:sz w:val="18"/>
                <w:szCs w:val="18"/>
                <w:lang w:val="es-ES_tradnl"/>
              </w:rPr>
              <w:t>“El futuro que queremos”</w:t>
            </w:r>
            <w:r w:rsidRPr="003A0645">
              <w:rPr>
                <w:rFonts w:ascii="Times New Roman" w:hAnsi="Times New Roman" w:cs="Times New Roman"/>
                <w:sz w:val="18"/>
                <w:szCs w:val="18"/>
                <w:lang w:val="es-ES_tradnl"/>
              </w:rPr>
              <w:t xml:space="preserve">, Resoluciones de la Asamblea de las </w:t>
            </w:r>
            <w:r>
              <w:rPr>
                <w:rFonts w:ascii="Times New Roman" w:hAnsi="Times New Roman" w:cs="Times New Roman"/>
                <w:sz w:val="18"/>
                <w:szCs w:val="18"/>
                <w:lang w:val="es-ES_tradnl"/>
              </w:rPr>
              <w:t>Naciones Unidas</w:t>
            </w:r>
            <w:r w:rsidRPr="003A0645">
              <w:rPr>
                <w:rFonts w:ascii="Times New Roman" w:hAnsi="Times New Roman" w:cs="Times New Roman"/>
                <w:sz w:val="18"/>
                <w:szCs w:val="18"/>
                <w:lang w:val="es-ES_tradnl"/>
              </w:rPr>
              <w:t xml:space="preserve"> sobre el Medio Ambiente y decisiones del Consejo de Administración del Programa de las </w:t>
            </w:r>
            <w:r>
              <w:rPr>
                <w:rFonts w:ascii="Times New Roman" w:hAnsi="Times New Roman" w:cs="Times New Roman"/>
                <w:sz w:val="18"/>
                <w:szCs w:val="18"/>
                <w:lang w:val="es-ES_tradnl"/>
              </w:rPr>
              <w:t>Naciones Unidas</w:t>
            </w:r>
            <w:r w:rsidRPr="003A0645">
              <w:rPr>
                <w:rFonts w:ascii="Times New Roman" w:hAnsi="Times New Roman" w:cs="Times New Roman"/>
                <w:sz w:val="18"/>
                <w:szCs w:val="18"/>
                <w:lang w:val="es-ES_tradnl"/>
              </w:rPr>
              <w:t xml:space="preserve"> para el Medio Ambiente, documentos regionales pertinentes, Marco Decenal de Programas sobre Modalidades de Consumo y Prod</w:t>
            </w:r>
            <w:r>
              <w:rPr>
                <w:rFonts w:ascii="Times New Roman" w:hAnsi="Times New Roman" w:cs="Times New Roman"/>
                <w:sz w:val="18"/>
                <w:szCs w:val="18"/>
                <w:lang w:val="es-ES_tradnl"/>
              </w:rPr>
              <w:t>ucción Sostenibles, la Agenda </w:t>
            </w:r>
            <w:r w:rsidRPr="003A0645">
              <w:rPr>
                <w:rFonts w:ascii="Times New Roman" w:hAnsi="Times New Roman" w:cs="Times New Roman"/>
                <w:sz w:val="18"/>
                <w:szCs w:val="18"/>
                <w:lang w:val="es-ES_tradnl"/>
              </w:rPr>
              <w:t xml:space="preserve">2030 de las </w:t>
            </w:r>
            <w:r>
              <w:rPr>
                <w:rFonts w:ascii="Times New Roman" w:hAnsi="Times New Roman" w:cs="Times New Roman"/>
                <w:sz w:val="18"/>
                <w:szCs w:val="18"/>
                <w:lang w:val="es-ES_tradnl"/>
              </w:rPr>
              <w:t>Naciones Unidas</w:t>
            </w:r>
            <w:r w:rsidRPr="003A0645">
              <w:rPr>
                <w:rFonts w:ascii="Times New Roman" w:hAnsi="Times New Roman" w:cs="Times New Roman"/>
                <w:sz w:val="18"/>
                <w:szCs w:val="18"/>
                <w:lang w:val="es-ES_tradnl"/>
              </w:rPr>
              <w:t xml:space="preserve"> para el Desarrollo Sostenible y sus Objetivos de Desarrollo Sostenible y metas conexas, ejemplos de estrategias de prevención y minimización de los desechos</w:t>
            </w:r>
          </w:p>
        </w:tc>
      </w:tr>
    </w:tbl>
    <w:p w:rsidR="00CD0FBE" w:rsidRPr="00455579" w:rsidRDefault="00455579" w:rsidP="00455579">
      <w:pPr>
        <w:rPr>
          <w:lang w:val="fr-CH"/>
        </w:rPr>
      </w:pPr>
      <w:r w:rsidRPr="003A0645">
        <w:rPr>
          <w:lang w:val="es-ES_tradnl"/>
        </w:rPr>
        <w:tab/>
      </w:r>
      <w:r w:rsidRPr="003A0645">
        <w:rPr>
          <w:lang w:val="es-ES_tradnl"/>
        </w:rPr>
        <w:tab/>
      </w:r>
    </w:p>
    <w:sectPr w:rsidR="00CD0FBE" w:rsidRPr="004555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E3" w:rsidRDefault="008110E3" w:rsidP="002007C9">
      <w:r>
        <w:separator/>
      </w:r>
    </w:p>
  </w:endnote>
  <w:endnote w:type="continuationSeparator" w:id="0">
    <w:p w:rsidR="008110E3" w:rsidRDefault="008110E3" w:rsidP="0020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E3" w:rsidRDefault="008110E3" w:rsidP="002007C9">
      <w:r>
        <w:separator/>
      </w:r>
    </w:p>
  </w:footnote>
  <w:footnote w:type="continuationSeparator" w:id="0">
    <w:p w:rsidR="008110E3" w:rsidRDefault="008110E3" w:rsidP="002007C9">
      <w:r>
        <w:continuationSeparator/>
      </w:r>
    </w:p>
  </w:footnote>
  <w:footnote w:id="1">
    <w:p w:rsidR="00455579" w:rsidRPr="00C43A3D" w:rsidRDefault="00455579" w:rsidP="00455579">
      <w:pPr>
        <w:pStyle w:val="FootnoteText"/>
        <w:rPr>
          <w:szCs w:val="18"/>
          <w:lang w:val="en-US"/>
        </w:rPr>
      </w:pPr>
      <w:r w:rsidRPr="00724654">
        <w:rPr>
          <w:rStyle w:val="FootnoteReference"/>
          <w:lang w:val="es-ES"/>
        </w:rPr>
        <w:footnoteRef/>
      </w:r>
      <w:r w:rsidRPr="00C43A3D">
        <w:rPr>
          <w:lang w:val="en-US"/>
        </w:rPr>
        <w:t xml:space="preserve"> </w:t>
      </w:r>
      <w:proofErr w:type="spellStart"/>
      <w:r w:rsidRPr="00C43A3D">
        <w:rPr>
          <w:lang w:val="en-US"/>
        </w:rPr>
        <w:t>Decisión</w:t>
      </w:r>
      <w:proofErr w:type="spellEnd"/>
      <w:r w:rsidRPr="00C43A3D">
        <w:rPr>
          <w:lang w:val="en-US"/>
        </w:rPr>
        <w:t xml:space="preserve"> BC</w:t>
      </w:r>
      <w:r w:rsidRPr="00C43A3D">
        <w:rPr>
          <w:lang w:val="en-US"/>
        </w:rPr>
        <w:noBreakHyphen/>
        <w:t xml:space="preserve">12/2, </w:t>
      </w:r>
      <w:proofErr w:type="spellStart"/>
      <w:r w:rsidRPr="00C43A3D">
        <w:rPr>
          <w:lang w:val="en-US"/>
        </w:rPr>
        <w:t>anexo</w:t>
      </w:r>
      <w:proofErr w:type="spellEnd"/>
      <w:r w:rsidRPr="00C43A3D">
        <w:rPr>
          <w:lang w:val="en-US"/>
        </w:rPr>
        <w:t>.</w:t>
      </w:r>
    </w:p>
  </w:footnote>
  <w:footnote w:id="2">
    <w:p w:rsidR="00455579" w:rsidRPr="00C43A3D" w:rsidRDefault="00455579" w:rsidP="00455579">
      <w:pPr>
        <w:pStyle w:val="FootnoteText"/>
        <w:rPr>
          <w:szCs w:val="18"/>
          <w:lang w:val="en-US"/>
        </w:rPr>
      </w:pPr>
      <w:r w:rsidRPr="00724654">
        <w:rPr>
          <w:rStyle w:val="FootnoteReference"/>
          <w:lang w:val="es-ES"/>
        </w:rPr>
        <w:footnoteRef/>
      </w:r>
      <w:r w:rsidRPr="00C43A3D">
        <w:rPr>
          <w:lang w:val="en-US"/>
        </w:rPr>
        <w:t xml:space="preserve"> UNEP/CHW/OEWG.10/INF/5.</w:t>
      </w:r>
    </w:p>
  </w:footnote>
  <w:footnote w:id="3">
    <w:p w:rsidR="00455579" w:rsidRPr="00C43A3D" w:rsidRDefault="00455579" w:rsidP="00455579">
      <w:pPr>
        <w:pStyle w:val="FootnoteText"/>
        <w:tabs>
          <w:tab w:val="clear" w:pos="1247"/>
          <w:tab w:val="clear" w:pos="1814"/>
          <w:tab w:val="clear" w:pos="2381"/>
          <w:tab w:val="clear" w:pos="2948"/>
          <w:tab w:val="clear" w:pos="3515"/>
        </w:tabs>
        <w:rPr>
          <w:szCs w:val="18"/>
          <w:lang w:val="en-US"/>
        </w:rPr>
      </w:pPr>
      <w:r w:rsidRPr="00724654">
        <w:rPr>
          <w:rStyle w:val="FootnoteReference"/>
          <w:lang w:val="es-ES"/>
        </w:rPr>
        <w:footnoteRef/>
      </w:r>
      <w:r w:rsidRPr="00C43A3D">
        <w:rPr>
          <w:lang w:val="en-US"/>
        </w:rPr>
        <w:t xml:space="preserve"> UNEP/CHW/OEWG.10/INF/3.</w:t>
      </w:r>
    </w:p>
  </w:footnote>
  <w:footnote w:id="4">
    <w:p w:rsidR="00455579" w:rsidRPr="00C43A3D" w:rsidRDefault="00455579" w:rsidP="00455579">
      <w:pPr>
        <w:pStyle w:val="FootnoteText"/>
        <w:tabs>
          <w:tab w:val="clear" w:pos="1247"/>
          <w:tab w:val="clear" w:pos="1814"/>
          <w:tab w:val="clear" w:pos="2381"/>
          <w:tab w:val="clear" w:pos="2948"/>
          <w:tab w:val="clear" w:pos="3515"/>
        </w:tabs>
        <w:rPr>
          <w:szCs w:val="18"/>
          <w:lang w:val="en-US"/>
        </w:rPr>
      </w:pPr>
      <w:r w:rsidRPr="00724654">
        <w:rPr>
          <w:rStyle w:val="FootnoteReference"/>
          <w:lang w:val="es-ES"/>
        </w:rPr>
        <w:footnoteRef/>
      </w:r>
      <w:r w:rsidRPr="00C43A3D">
        <w:rPr>
          <w:lang w:val="en-US"/>
        </w:rPr>
        <w:t xml:space="preserve"> UNEP/CHW/OEWG.10/INF/10.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0DAE"/>
    <w:multiLevelType w:val="hybridMultilevel"/>
    <w:tmpl w:val="F1864324"/>
    <w:lvl w:ilvl="0" w:tplc="04090001">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8A4B40"/>
    <w:multiLevelType w:val="hybridMultilevel"/>
    <w:tmpl w:val="22B272FC"/>
    <w:lvl w:ilvl="0" w:tplc="04090017">
      <w:start w:val="1"/>
      <w:numFmt w:val="lowerLetter"/>
      <w:lvlText w:val="%1)"/>
      <w:lvlJc w:val="left"/>
      <w:pPr>
        <w:ind w:left="720" w:hanging="360"/>
      </w:pPr>
      <w:rPr>
        <w:rFonts w:hint="default"/>
      </w:rPr>
    </w:lvl>
    <w:lvl w:ilvl="1" w:tplc="5F84B85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4626654D"/>
    <w:multiLevelType w:val="hybridMultilevel"/>
    <w:tmpl w:val="60A2A998"/>
    <w:lvl w:ilvl="0" w:tplc="FF0407EE">
      <w:start w:val="1"/>
      <w:numFmt w:val="lowerRoman"/>
      <w:lvlText w:val="%1."/>
      <w:lvlJc w:val="left"/>
      <w:pPr>
        <w:ind w:left="3215" w:hanging="360"/>
      </w:pPr>
      <w:rPr>
        <w:rFonts w:hint="default"/>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9E0212C">
      <w:start w:val="1"/>
      <w:numFmt w:val="lowerRoman"/>
      <w:lvlText w:val="%2)"/>
      <w:lvlJc w:val="right"/>
      <w:pPr>
        <w:ind w:left="3935" w:hanging="360"/>
      </w:pPr>
      <w:rPr>
        <w:rFonts w:hint="default"/>
        <w:b w:val="0"/>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3">
    <w:nsid w:val="4FEF3A81"/>
    <w:multiLevelType w:val="multilevel"/>
    <w:tmpl w:val="995CEA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641C5254"/>
    <w:multiLevelType w:val="hybridMultilevel"/>
    <w:tmpl w:val="AB0EE486"/>
    <w:lvl w:ilvl="0" w:tplc="09E0212C">
      <w:start w:val="1"/>
      <w:numFmt w:val="lowerRoman"/>
      <w:lvlText w:val="%1)"/>
      <w:lvlJc w:val="right"/>
      <w:pPr>
        <w:ind w:left="3935" w:hanging="360"/>
      </w:pPr>
      <w:rPr>
        <w:rFonts w:hint="default"/>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655" w:hanging="360"/>
      </w:pPr>
    </w:lvl>
    <w:lvl w:ilvl="2" w:tplc="0409001B" w:tentative="1">
      <w:start w:val="1"/>
      <w:numFmt w:val="lowerRoman"/>
      <w:lvlText w:val="%3."/>
      <w:lvlJc w:val="right"/>
      <w:pPr>
        <w:ind w:left="5375" w:hanging="180"/>
      </w:pPr>
    </w:lvl>
    <w:lvl w:ilvl="3" w:tplc="0409000F" w:tentative="1">
      <w:start w:val="1"/>
      <w:numFmt w:val="decimal"/>
      <w:lvlText w:val="%4."/>
      <w:lvlJc w:val="left"/>
      <w:pPr>
        <w:ind w:left="6095" w:hanging="360"/>
      </w:pPr>
    </w:lvl>
    <w:lvl w:ilvl="4" w:tplc="04090019" w:tentative="1">
      <w:start w:val="1"/>
      <w:numFmt w:val="lowerLetter"/>
      <w:lvlText w:val="%5."/>
      <w:lvlJc w:val="left"/>
      <w:pPr>
        <w:ind w:left="6815" w:hanging="360"/>
      </w:pPr>
    </w:lvl>
    <w:lvl w:ilvl="5" w:tplc="0409001B" w:tentative="1">
      <w:start w:val="1"/>
      <w:numFmt w:val="lowerRoman"/>
      <w:lvlText w:val="%6."/>
      <w:lvlJc w:val="right"/>
      <w:pPr>
        <w:ind w:left="7535" w:hanging="180"/>
      </w:pPr>
    </w:lvl>
    <w:lvl w:ilvl="6" w:tplc="0409000F" w:tentative="1">
      <w:start w:val="1"/>
      <w:numFmt w:val="decimal"/>
      <w:lvlText w:val="%7."/>
      <w:lvlJc w:val="left"/>
      <w:pPr>
        <w:ind w:left="8255" w:hanging="360"/>
      </w:pPr>
    </w:lvl>
    <w:lvl w:ilvl="7" w:tplc="04090019" w:tentative="1">
      <w:start w:val="1"/>
      <w:numFmt w:val="lowerLetter"/>
      <w:lvlText w:val="%8."/>
      <w:lvlJc w:val="left"/>
      <w:pPr>
        <w:ind w:left="8975" w:hanging="360"/>
      </w:pPr>
    </w:lvl>
    <w:lvl w:ilvl="8" w:tplc="0409001B" w:tentative="1">
      <w:start w:val="1"/>
      <w:numFmt w:val="lowerRoman"/>
      <w:lvlText w:val="%9."/>
      <w:lvlJc w:val="right"/>
      <w:pPr>
        <w:ind w:left="9695" w:hanging="180"/>
      </w:pPr>
    </w:lvl>
  </w:abstractNum>
  <w:abstractNum w:abstractNumId="6">
    <w:nsid w:val="7671179B"/>
    <w:multiLevelType w:val="hybridMultilevel"/>
    <w:tmpl w:val="137A9E56"/>
    <w:lvl w:ilvl="0" w:tplc="FF0407EE">
      <w:start w:val="1"/>
      <w:numFmt w:val="lowerRoman"/>
      <w:lvlText w:val="%1."/>
      <w:lvlJc w:val="left"/>
      <w:pPr>
        <w:ind w:left="3215" w:hanging="360"/>
      </w:pPr>
      <w:rPr>
        <w:rFonts w:hint="default"/>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9E0212C">
      <w:start w:val="1"/>
      <w:numFmt w:val="lowerRoman"/>
      <w:lvlText w:val="%2)"/>
      <w:lvlJc w:val="right"/>
      <w:pPr>
        <w:ind w:left="3935" w:hanging="360"/>
      </w:pPr>
      <w:rPr>
        <w:rFonts w:hint="default"/>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7">
    <w:nsid w:val="7A766079"/>
    <w:multiLevelType w:val="hybridMultilevel"/>
    <w:tmpl w:val="86DE823C"/>
    <w:lvl w:ilvl="0" w:tplc="FF0407EE">
      <w:start w:val="1"/>
      <w:numFmt w:val="lowerRoman"/>
      <w:lvlText w:val="%1."/>
      <w:lvlJc w:val="left"/>
      <w:pPr>
        <w:ind w:left="3215" w:hanging="360"/>
      </w:pPr>
      <w:rPr>
        <w:rFonts w:hint="default"/>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0407EE">
      <w:start w:val="1"/>
      <w:numFmt w:val="lowerRoman"/>
      <w:lvlText w:val="%2."/>
      <w:lvlJc w:val="left"/>
      <w:pPr>
        <w:ind w:left="3935" w:hanging="360"/>
      </w:pPr>
      <w:rPr>
        <w:rFonts w:hint="default"/>
        <w:b w:val="0"/>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D5"/>
    <w:rsid w:val="002007C9"/>
    <w:rsid w:val="00455579"/>
    <w:rsid w:val="006135F7"/>
    <w:rsid w:val="008110E3"/>
    <w:rsid w:val="009B4C4C"/>
    <w:rsid w:val="00F8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C9"/>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F836D5"/>
    <w:pPr>
      <w:keepNext/>
      <w:keepLines/>
      <w:tabs>
        <w:tab w:val="right" w:pos="851"/>
      </w:tabs>
      <w:suppressAutoHyphens/>
      <w:spacing w:before="240" w:after="120"/>
      <w:ind w:left="1247" w:right="284" w:hanging="1247"/>
    </w:pPr>
    <w:rPr>
      <w:b/>
      <w:sz w:val="28"/>
      <w:szCs w:val="28"/>
    </w:rPr>
  </w:style>
  <w:style w:type="paragraph" w:customStyle="1" w:styleId="Normalpool">
    <w:name w:val="Normal_pool"/>
    <w:link w:val="NormalpoolChar"/>
    <w:rsid w:val="00F836D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character" w:customStyle="1" w:styleId="NormalpoolChar">
    <w:name w:val="Normal_pool Char"/>
    <w:link w:val="Normalpool"/>
    <w:rsid w:val="00F836D5"/>
    <w:rPr>
      <w:rFonts w:ascii="Times New Roman" w:eastAsia="Times New Roman" w:hAnsi="Times New Roman" w:cs="Times New Roman"/>
      <w:sz w:val="20"/>
      <w:szCs w:val="20"/>
      <w:lang w:val="fr-FR" w:eastAsia="en-US"/>
    </w:rPr>
  </w:style>
  <w:style w:type="paragraph" w:customStyle="1" w:styleId="CH2">
    <w:name w:val="CH2"/>
    <w:basedOn w:val="Normal"/>
    <w:next w:val="Normalnumber"/>
    <w:link w:val="CH2Char"/>
    <w:rsid w:val="002007C9"/>
    <w:pPr>
      <w:keepNext/>
      <w:keepLines/>
      <w:tabs>
        <w:tab w:val="right" w:pos="851"/>
      </w:tabs>
      <w:suppressAutoHyphens/>
      <w:spacing w:before="120" w:after="120"/>
      <w:ind w:left="1247" w:right="284" w:hanging="1247"/>
    </w:pPr>
    <w:rPr>
      <w:b/>
      <w:sz w:val="24"/>
      <w:szCs w:val="24"/>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2007C9"/>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2007C9"/>
    <w:pPr>
      <w:spacing w:before="20" w:after="40"/>
      <w:ind w:left="1247"/>
    </w:pPr>
    <w:rPr>
      <w:sz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2007C9"/>
    <w:rPr>
      <w:rFonts w:ascii="Times New Roman" w:eastAsia="Times New Roman" w:hAnsi="Times New Roman" w:cs="Times New Roman"/>
      <w:sz w:val="18"/>
      <w:szCs w:val="20"/>
      <w:lang w:val="en-GB" w:eastAsia="en-US"/>
    </w:rPr>
  </w:style>
  <w:style w:type="character" w:customStyle="1" w:styleId="NormalnumberChar">
    <w:name w:val="Normal_number Char"/>
    <w:link w:val="Normalnumber"/>
    <w:rsid w:val="002007C9"/>
    <w:rPr>
      <w:lang w:val="en-GB"/>
    </w:rPr>
  </w:style>
  <w:style w:type="paragraph" w:customStyle="1" w:styleId="Normalnumber">
    <w:name w:val="Normal_number"/>
    <w:basedOn w:val="Normal"/>
    <w:link w:val="NormalnumberChar"/>
    <w:rsid w:val="002007C9"/>
    <w:pPr>
      <w:spacing w:after="120"/>
    </w:pPr>
    <w:rPr>
      <w:rFonts w:asciiTheme="minorHAnsi" w:eastAsiaTheme="minorEastAsia" w:hAnsiTheme="minorHAnsi" w:cstheme="minorBidi"/>
      <w:sz w:val="22"/>
      <w:szCs w:val="22"/>
      <w:lang w:eastAsia="zh-CN"/>
    </w:rPr>
  </w:style>
  <w:style w:type="character" w:customStyle="1" w:styleId="CH2Char">
    <w:name w:val="CH2 Char"/>
    <w:link w:val="CH2"/>
    <w:rsid w:val="002007C9"/>
    <w:rPr>
      <w:rFonts w:ascii="Times New Roman" w:eastAsia="Times New Roman" w:hAnsi="Times New Roman" w:cs="Times New Roman"/>
      <w:b/>
      <w:sz w:val="24"/>
      <w:szCs w:val="24"/>
      <w:lang w:val="en-GB" w:eastAsia="en-US"/>
    </w:rPr>
  </w:style>
  <w:style w:type="numbering" w:customStyle="1" w:styleId="Normallist">
    <w:name w:val="Normal_list"/>
    <w:basedOn w:val="NoList"/>
    <w:rsid w:val="00455579"/>
    <w:pPr>
      <w:numPr>
        <w:numId w:val="6"/>
      </w:numPr>
    </w:pPr>
  </w:style>
  <w:style w:type="paragraph" w:styleId="ListParagraph">
    <w:name w:val="List Paragraph"/>
    <w:basedOn w:val="Normal"/>
    <w:uiPriority w:val="34"/>
    <w:qFormat/>
    <w:rsid w:val="00455579"/>
    <w:pPr>
      <w:tabs>
        <w:tab w:val="clear" w:pos="1247"/>
        <w:tab w:val="clear" w:pos="1814"/>
        <w:tab w:val="clear" w:pos="2381"/>
        <w:tab w:val="clear" w:pos="2948"/>
        <w:tab w:val="clear" w:pos="3515"/>
      </w:tabs>
      <w:spacing w:after="200" w:line="276" w:lineRule="auto"/>
      <w:ind w:left="720"/>
      <w:contextualSpacing/>
    </w:pPr>
    <w:rPr>
      <w:rFonts w:asciiTheme="minorHAnsi" w:eastAsiaTheme="minorEastAsia" w:hAnsiTheme="minorHAnsi" w:cstheme="minorBid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C9"/>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F836D5"/>
    <w:pPr>
      <w:keepNext/>
      <w:keepLines/>
      <w:tabs>
        <w:tab w:val="right" w:pos="851"/>
      </w:tabs>
      <w:suppressAutoHyphens/>
      <w:spacing w:before="240" w:after="120"/>
      <w:ind w:left="1247" w:right="284" w:hanging="1247"/>
    </w:pPr>
    <w:rPr>
      <w:b/>
      <w:sz w:val="28"/>
      <w:szCs w:val="28"/>
    </w:rPr>
  </w:style>
  <w:style w:type="paragraph" w:customStyle="1" w:styleId="Normalpool">
    <w:name w:val="Normal_pool"/>
    <w:link w:val="NormalpoolChar"/>
    <w:rsid w:val="00F836D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character" w:customStyle="1" w:styleId="NormalpoolChar">
    <w:name w:val="Normal_pool Char"/>
    <w:link w:val="Normalpool"/>
    <w:rsid w:val="00F836D5"/>
    <w:rPr>
      <w:rFonts w:ascii="Times New Roman" w:eastAsia="Times New Roman" w:hAnsi="Times New Roman" w:cs="Times New Roman"/>
      <w:sz w:val="20"/>
      <w:szCs w:val="20"/>
      <w:lang w:val="fr-FR" w:eastAsia="en-US"/>
    </w:rPr>
  </w:style>
  <w:style w:type="paragraph" w:customStyle="1" w:styleId="CH2">
    <w:name w:val="CH2"/>
    <w:basedOn w:val="Normal"/>
    <w:next w:val="Normalnumber"/>
    <w:link w:val="CH2Char"/>
    <w:rsid w:val="002007C9"/>
    <w:pPr>
      <w:keepNext/>
      <w:keepLines/>
      <w:tabs>
        <w:tab w:val="right" w:pos="851"/>
      </w:tabs>
      <w:suppressAutoHyphens/>
      <w:spacing w:before="120" w:after="120"/>
      <w:ind w:left="1247" w:right="284" w:hanging="1247"/>
    </w:pPr>
    <w:rPr>
      <w:b/>
      <w:sz w:val="24"/>
      <w:szCs w:val="24"/>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rsid w:val="002007C9"/>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2007C9"/>
    <w:pPr>
      <w:spacing w:before="20" w:after="40"/>
      <w:ind w:left="1247"/>
    </w:pPr>
    <w:rPr>
      <w:sz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2007C9"/>
    <w:rPr>
      <w:rFonts w:ascii="Times New Roman" w:eastAsia="Times New Roman" w:hAnsi="Times New Roman" w:cs="Times New Roman"/>
      <w:sz w:val="18"/>
      <w:szCs w:val="20"/>
      <w:lang w:val="en-GB" w:eastAsia="en-US"/>
    </w:rPr>
  </w:style>
  <w:style w:type="character" w:customStyle="1" w:styleId="NormalnumberChar">
    <w:name w:val="Normal_number Char"/>
    <w:link w:val="Normalnumber"/>
    <w:rsid w:val="002007C9"/>
    <w:rPr>
      <w:lang w:val="en-GB"/>
    </w:rPr>
  </w:style>
  <w:style w:type="paragraph" w:customStyle="1" w:styleId="Normalnumber">
    <w:name w:val="Normal_number"/>
    <w:basedOn w:val="Normal"/>
    <w:link w:val="NormalnumberChar"/>
    <w:rsid w:val="002007C9"/>
    <w:pPr>
      <w:spacing w:after="120"/>
    </w:pPr>
    <w:rPr>
      <w:rFonts w:asciiTheme="minorHAnsi" w:eastAsiaTheme="minorEastAsia" w:hAnsiTheme="minorHAnsi" w:cstheme="minorBidi"/>
      <w:sz w:val="22"/>
      <w:szCs w:val="22"/>
      <w:lang w:eastAsia="zh-CN"/>
    </w:rPr>
  </w:style>
  <w:style w:type="character" w:customStyle="1" w:styleId="CH2Char">
    <w:name w:val="CH2 Char"/>
    <w:link w:val="CH2"/>
    <w:rsid w:val="002007C9"/>
    <w:rPr>
      <w:rFonts w:ascii="Times New Roman" w:eastAsia="Times New Roman" w:hAnsi="Times New Roman" w:cs="Times New Roman"/>
      <w:b/>
      <w:sz w:val="24"/>
      <w:szCs w:val="24"/>
      <w:lang w:val="en-GB" w:eastAsia="en-US"/>
    </w:rPr>
  </w:style>
  <w:style w:type="numbering" w:customStyle="1" w:styleId="Normallist">
    <w:name w:val="Normal_list"/>
    <w:basedOn w:val="NoList"/>
    <w:rsid w:val="00455579"/>
    <w:pPr>
      <w:numPr>
        <w:numId w:val="6"/>
      </w:numPr>
    </w:pPr>
  </w:style>
  <w:style w:type="paragraph" w:styleId="ListParagraph">
    <w:name w:val="List Paragraph"/>
    <w:basedOn w:val="Normal"/>
    <w:uiPriority w:val="34"/>
    <w:qFormat/>
    <w:rsid w:val="00455579"/>
    <w:pPr>
      <w:tabs>
        <w:tab w:val="clear" w:pos="1247"/>
        <w:tab w:val="clear" w:pos="1814"/>
        <w:tab w:val="clear" w:pos="2381"/>
        <w:tab w:val="clear" w:pos="2948"/>
        <w:tab w:val="clear" w:pos="3515"/>
      </w:tabs>
      <w:spacing w:after="200" w:line="276" w:lineRule="auto"/>
      <w:ind w:left="720"/>
      <w:contextualSpacing/>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Gong</dc:creator>
  <cp:lastModifiedBy>Le Gong</cp:lastModifiedBy>
  <cp:revision>2</cp:revision>
  <dcterms:created xsi:type="dcterms:W3CDTF">2016-10-12T15:46:00Z</dcterms:created>
  <dcterms:modified xsi:type="dcterms:W3CDTF">2016-10-12T15:46:00Z</dcterms:modified>
</cp:coreProperties>
</file>