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82EB0" w14:textId="1497D76F" w:rsidR="005F44BC" w:rsidRPr="00CC3404" w:rsidRDefault="00EE6275" w:rsidP="00AB64DD">
      <w:pPr>
        <w:jc w:val="both"/>
        <w:rPr>
          <w:rFonts w:ascii="Times New Roman" w:hAnsi="Times New Roman" w:cs="Times New Roman"/>
          <w:b/>
          <w:sz w:val="28"/>
          <w:szCs w:val="28"/>
        </w:rPr>
      </w:pPr>
      <w:bookmarkStart w:id="0" w:name="_Hlk520554623"/>
      <w:r w:rsidRPr="00CC3404">
        <w:rPr>
          <w:rFonts w:ascii="Times New Roman" w:hAnsi="Times New Roman" w:cs="Times New Roman"/>
          <w:b/>
          <w:sz w:val="28"/>
          <w:szCs w:val="28"/>
        </w:rPr>
        <w:t xml:space="preserve">Further developing </w:t>
      </w:r>
      <w:r w:rsidR="005F44BC" w:rsidRPr="00CC3404">
        <w:rPr>
          <w:rFonts w:ascii="Times New Roman" w:hAnsi="Times New Roman" w:cs="Times New Roman"/>
          <w:b/>
          <w:sz w:val="28"/>
          <w:szCs w:val="28"/>
        </w:rPr>
        <w:t xml:space="preserve">partnerships </w:t>
      </w:r>
      <w:r w:rsidRPr="00CC3404">
        <w:rPr>
          <w:rFonts w:ascii="Times New Roman" w:hAnsi="Times New Roman" w:cs="Times New Roman"/>
          <w:b/>
          <w:sz w:val="28"/>
          <w:szCs w:val="28"/>
        </w:rPr>
        <w:t>under the Basel Convention</w:t>
      </w:r>
    </w:p>
    <w:p w14:paraId="15D06D4B" w14:textId="2EBD040E" w:rsidR="00357C38" w:rsidRPr="00CC3404" w:rsidRDefault="00473691" w:rsidP="00AB64DD">
      <w:pPr>
        <w:jc w:val="both"/>
        <w:rPr>
          <w:rFonts w:ascii="Times New Roman" w:hAnsi="Times New Roman" w:cs="Times New Roman"/>
          <w:b/>
          <w:sz w:val="28"/>
          <w:szCs w:val="28"/>
        </w:rPr>
      </w:pPr>
      <w:r w:rsidRPr="00CC3404">
        <w:rPr>
          <w:rFonts w:ascii="Times New Roman" w:hAnsi="Times New Roman" w:cs="Times New Roman"/>
          <w:b/>
          <w:sz w:val="28"/>
          <w:szCs w:val="28"/>
        </w:rPr>
        <w:t xml:space="preserve">DRAFT </w:t>
      </w:r>
      <w:r w:rsidR="00BA484E" w:rsidRPr="00CC3404">
        <w:rPr>
          <w:rFonts w:ascii="Times New Roman" w:hAnsi="Times New Roman" w:cs="Times New Roman"/>
          <w:b/>
          <w:sz w:val="28"/>
          <w:szCs w:val="28"/>
        </w:rPr>
        <w:t>REPORT</w:t>
      </w:r>
      <w:r w:rsidRPr="00CC3404">
        <w:rPr>
          <w:rFonts w:ascii="Times New Roman" w:hAnsi="Times New Roman" w:cs="Times New Roman"/>
          <w:b/>
          <w:sz w:val="28"/>
          <w:szCs w:val="28"/>
        </w:rPr>
        <w:t xml:space="preserve"> (2</w:t>
      </w:r>
      <w:r w:rsidR="00CC3404" w:rsidRPr="00CC3404">
        <w:rPr>
          <w:rFonts w:ascii="Times New Roman" w:hAnsi="Times New Roman" w:cs="Times New Roman"/>
          <w:b/>
          <w:sz w:val="28"/>
          <w:szCs w:val="28"/>
        </w:rPr>
        <w:t>9</w:t>
      </w:r>
      <w:r w:rsidRPr="00CC3404">
        <w:rPr>
          <w:rFonts w:ascii="Times New Roman" w:hAnsi="Times New Roman" w:cs="Times New Roman"/>
          <w:b/>
          <w:sz w:val="28"/>
          <w:szCs w:val="28"/>
        </w:rPr>
        <w:t xml:space="preserve"> November 2018)</w:t>
      </w:r>
    </w:p>
    <w:sdt>
      <w:sdtPr>
        <w:rPr>
          <w:rFonts w:ascii="Times New Roman" w:eastAsiaTheme="minorHAnsi" w:hAnsi="Times New Roman" w:cs="Times New Roman"/>
          <w:color w:val="auto"/>
          <w:sz w:val="22"/>
          <w:szCs w:val="22"/>
          <w:lang w:val="en-GB"/>
        </w:rPr>
        <w:id w:val="-571041097"/>
        <w:docPartObj>
          <w:docPartGallery w:val="Table of Contents"/>
          <w:docPartUnique/>
        </w:docPartObj>
      </w:sdtPr>
      <w:sdtEndPr>
        <w:rPr>
          <w:rFonts w:asciiTheme="minorHAnsi" w:hAnsiTheme="minorHAnsi" w:cstheme="minorBidi"/>
          <w:noProof/>
        </w:rPr>
      </w:sdtEndPr>
      <w:sdtContent>
        <w:p w14:paraId="77FD994E" w14:textId="55A2C895" w:rsidR="00357C38" w:rsidRPr="00CC3404" w:rsidRDefault="00357C38" w:rsidP="00B745B6">
          <w:pPr>
            <w:pStyle w:val="TOCHeading"/>
            <w:spacing w:after="60"/>
            <w:rPr>
              <w:rFonts w:ascii="Times New Roman" w:hAnsi="Times New Roman" w:cs="Times New Roman"/>
              <w:color w:val="auto"/>
            </w:rPr>
          </w:pPr>
          <w:r w:rsidRPr="00CC3404">
            <w:rPr>
              <w:rFonts w:ascii="Times New Roman" w:hAnsi="Times New Roman" w:cs="Times New Roman"/>
              <w:color w:val="auto"/>
            </w:rPr>
            <w:t>Contents</w:t>
          </w:r>
        </w:p>
        <w:p w14:paraId="12B29012" w14:textId="44C0BB48" w:rsidR="00B745B6" w:rsidRPr="00C235CD" w:rsidRDefault="00357C38">
          <w:pPr>
            <w:pStyle w:val="TOC1"/>
            <w:tabs>
              <w:tab w:val="right" w:leader="dot" w:pos="9062"/>
            </w:tabs>
            <w:rPr>
              <w:rFonts w:asciiTheme="majorBidi" w:hAnsiTheme="majorBidi" w:cstheme="majorBidi"/>
              <w:noProof/>
            </w:rPr>
          </w:pPr>
          <w:r w:rsidRPr="00CC3404">
            <w:rPr>
              <w:rFonts w:ascii="Times New Roman" w:hAnsi="Times New Roman"/>
              <w:b/>
              <w:bCs/>
              <w:noProof/>
            </w:rPr>
            <w:fldChar w:fldCharType="begin"/>
          </w:r>
          <w:r w:rsidRPr="00CC3404">
            <w:rPr>
              <w:rFonts w:ascii="Times New Roman" w:hAnsi="Times New Roman"/>
              <w:b/>
              <w:bCs/>
              <w:noProof/>
            </w:rPr>
            <w:instrText xml:space="preserve"> TOC \o "1-3" \h \z \u </w:instrText>
          </w:r>
          <w:r w:rsidRPr="00CC3404">
            <w:rPr>
              <w:rFonts w:ascii="Times New Roman" w:hAnsi="Times New Roman"/>
              <w:b/>
              <w:bCs/>
              <w:noProof/>
            </w:rPr>
            <w:fldChar w:fldCharType="separate"/>
          </w:r>
          <w:hyperlink w:anchor="_Toc531103762" w:history="1">
            <w:r w:rsidR="00B745B6" w:rsidRPr="00C235CD">
              <w:rPr>
                <w:rStyle w:val="Hyperlink"/>
                <w:rFonts w:asciiTheme="majorBidi" w:hAnsiTheme="majorBidi" w:cstheme="majorBidi"/>
                <w:noProof/>
                <w:color w:val="auto"/>
              </w:rPr>
              <w:t>Executive Summary</w:t>
            </w:r>
            <w:r w:rsidR="00B745B6" w:rsidRPr="00C235CD">
              <w:rPr>
                <w:rFonts w:asciiTheme="majorBidi" w:hAnsiTheme="majorBidi" w:cstheme="majorBidi"/>
                <w:noProof/>
                <w:webHidden/>
              </w:rPr>
              <w:tab/>
            </w:r>
            <w:r w:rsidR="00B745B6" w:rsidRPr="00C235CD">
              <w:rPr>
                <w:rFonts w:asciiTheme="majorBidi" w:hAnsiTheme="majorBidi" w:cstheme="majorBidi"/>
                <w:noProof/>
                <w:webHidden/>
              </w:rPr>
              <w:fldChar w:fldCharType="begin"/>
            </w:r>
            <w:r w:rsidR="00B745B6" w:rsidRPr="00C235CD">
              <w:rPr>
                <w:rFonts w:asciiTheme="majorBidi" w:hAnsiTheme="majorBidi" w:cstheme="majorBidi"/>
                <w:noProof/>
                <w:webHidden/>
              </w:rPr>
              <w:instrText xml:space="preserve"> PAGEREF _Toc531103762 \h </w:instrText>
            </w:r>
            <w:r w:rsidR="00B745B6" w:rsidRPr="00C235CD">
              <w:rPr>
                <w:rFonts w:asciiTheme="majorBidi" w:hAnsiTheme="majorBidi" w:cstheme="majorBidi"/>
                <w:noProof/>
                <w:webHidden/>
              </w:rPr>
            </w:r>
            <w:r w:rsidR="00B745B6" w:rsidRPr="00C235CD">
              <w:rPr>
                <w:rFonts w:asciiTheme="majorBidi" w:hAnsiTheme="majorBidi" w:cstheme="majorBidi"/>
                <w:noProof/>
                <w:webHidden/>
              </w:rPr>
              <w:fldChar w:fldCharType="separate"/>
            </w:r>
            <w:r w:rsidR="00C235CD">
              <w:rPr>
                <w:rFonts w:asciiTheme="majorBidi" w:hAnsiTheme="majorBidi" w:cstheme="majorBidi"/>
                <w:noProof/>
                <w:webHidden/>
              </w:rPr>
              <w:t>2</w:t>
            </w:r>
            <w:r w:rsidR="00B745B6" w:rsidRPr="00C235CD">
              <w:rPr>
                <w:rFonts w:asciiTheme="majorBidi" w:hAnsiTheme="majorBidi" w:cstheme="majorBidi"/>
                <w:noProof/>
                <w:webHidden/>
              </w:rPr>
              <w:fldChar w:fldCharType="end"/>
            </w:r>
          </w:hyperlink>
        </w:p>
        <w:p w14:paraId="674DCB38" w14:textId="35D1E8AD" w:rsidR="00B745B6" w:rsidRPr="00C235CD" w:rsidRDefault="003B5836">
          <w:pPr>
            <w:pStyle w:val="TOC1"/>
            <w:tabs>
              <w:tab w:val="left" w:pos="440"/>
              <w:tab w:val="right" w:leader="dot" w:pos="9062"/>
            </w:tabs>
            <w:rPr>
              <w:rFonts w:asciiTheme="majorBidi" w:hAnsiTheme="majorBidi" w:cstheme="majorBidi"/>
              <w:noProof/>
            </w:rPr>
          </w:pPr>
          <w:hyperlink w:anchor="_Toc531103763" w:history="1">
            <w:r w:rsidR="00B745B6" w:rsidRPr="00C235CD">
              <w:rPr>
                <w:rStyle w:val="Hyperlink"/>
                <w:rFonts w:asciiTheme="majorBidi" w:hAnsiTheme="majorBidi" w:cstheme="majorBidi"/>
                <w:noProof/>
                <w:color w:val="auto"/>
              </w:rPr>
              <w:t>1.</w:t>
            </w:r>
            <w:r w:rsidR="00B745B6" w:rsidRPr="00C235CD">
              <w:rPr>
                <w:rFonts w:asciiTheme="majorBidi" w:hAnsiTheme="majorBidi" w:cstheme="majorBidi"/>
                <w:noProof/>
              </w:rPr>
              <w:tab/>
            </w:r>
            <w:r w:rsidR="00B745B6" w:rsidRPr="00C235CD">
              <w:rPr>
                <w:rStyle w:val="Hyperlink"/>
                <w:rFonts w:asciiTheme="majorBidi" w:hAnsiTheme="majorBidi" w:cstheme="majorBidi"/>
                <w:noProof/>
                <w:color w:val="auto"/>
              </w:rPr>
              <w:t>Introduction and mandate</w:t>
            </w:r>
            <w:r w:rsidR="00B745B6" w:rsidRPr="00C235CD">
              <w:rPr>
                <w:rFonts w:asciiTheme="majorBidi" w:hAnsiTheme="majorBidi" w:cstheme="majorBidi"/>
                <w:noProof/>
                <w:webHidden/>
              </w:rPr>
              <w:tab/>
            </w:r>
            <w:r w:rsidR="00B745B6" w:rsidRPr="00C235CD">
              <w:rPr>
                <w:rFonts w:asciiTheme="majorBidi" w:hAnsiTheme="majorBidi" w:cstheme="majorBidi"/>
                <w:noProof/>
                <w:webHidden/>
              </w:rPr>
              <w:fldChar w:fldCharType="begin"/>
            </w:r>
            <w:r w:rsidR="00B745B6" w:rsidRPr="00C235CD">
              <w:rPr>
                <w:rFonts w:asciiTheme="majorBidi" w:hAnsiTheme="majorBidi" w:cstheme="majorBidi"/>
                <w:noProof/>
                <w:webHidden/>
              </w:rPr>
              <w:instrText xml:space="preserve"> PAGEREF _Toc531103763 \h </w:instrText>
            </w:r>
            <w:r w:rsidR="00B745B6" w:rsidRPr="00C235CD">
              <w:rPr>
                <w:rFonts w:asciiTheme="majorBidi" w:hAnsiTheme="majorBidi" w:cstheme="majorBidi"/>
                <w:noProof/>
                <w:webHidden/>
              </w:rPr>
            </w:r>
            <w:r w:rsidR="00B745B6" w:rsidRPr="00C235CD">
              <w:rPr>
                <w:rFonts w:asciiTheme="majorBidi" w:hAnsiTheme="majorBidi" w:cstheme="majorBidi"/>
                <w:noProof/>
                <w:webHidden/>
              </w:rPr>
              <w:fldChar w:fldCharType="separate"/>
            </w:r>
            <w:r w:rsidR="00C235CD">
              <w:rPr>
                <w:rFonts w:asciiTheme="majorBidi" w:hAnsiTheme="majorBidi" w:cstheme="majorBidi"/>
                <w:noProof/>
                <w:webHidden/>
              </w:rPr>
              <w:t>2</w:t>
            </w:r>
            <w:r w:rsidR="00B745B6" w:rsidRPr="00C235CD">
              <w:rPr>
                <w:rFonts w:asciiTheme="majorBidi" w:hAnsiTheme="majorBidi" w:cstheme="majorBidi"/>
                <w:noProof/>
                <w:webHidden/>
              </w:rPr>
              <w:fldChar w:fldCharType="end"/>
            </w:r>
          </w:hyperlink>
        </w:p>
        <w:p w14:paraId="2E7A0487" w14:textId="66D9E0FB" w:rsidR="00B745B6" w:rsidRPr="00C235CD" w:rsidRDefault="003B5836">
          <w:pPr>
            <w:pStyle w:val="TOC1"/>
            <w:tabs>
              <w:tab w:val="left" w:pos="440"/>
              <w:tab w:val="right" w:leader="dot" w:pos="9062"/>
            </w:tabs>
            <w:rPr>
              <w:rFonts w:asciiTheme="majorBidi" w:hAnsiTheme="majorBidi" w:cstheme="majorBidi"/>
              <w:noProof/>
            </w:rPr>
          </w:pPr>
          <w:hyperlink w:anchor="_Toc531103764" w:history="1">
            <w:r w:rsidR="00B745B6" w:rsidRPr="00C235CD">
              <w:rPr>
                <w:rStyle w:val="Hyperlink"/>
                <w:rFonts w:asciiTheme="majorBidi" w:hAnsiTheme="majorBidi" w:cstheme="majorBidi"/>
                <w:noProof/>
                <w:color w:val="auto"/>
              </w:rPr>
              <w:t>2.</w:t>
            </w:r>
            <w:r w:rsidR="00B745B6" w:rsidRPr="00C235CD">
              <w:rPr>
                <w:rFonts w:asciiTheme="majorBidi" w:hAnsiTheme="majorBidi" w:cstheme="majorBidi"/>
                <w:noProof/>
              </w:rPr>
              <w:tab/>
            </w:r>
            <w:r w:rsidR="00B745B6" w:rsidRPr="00C235CD">
              <w:rPr>
                <w:rStyle w:val="Hyperlink"/>
                <w:rFonts w:asciiTheme="majorBidi" w:hAnsiTheme="majorBidi" w:cstheme="majorBidi"/>
                <w:noProof/>
                <w:color w:val="auto"/>
              </w:rPr>
              <w:t>Partnerships and similar cooperation arrangements under the Basel Convention</w:t>
            </w:r>
            <w:r w:rsidR="00B745B6" w:rsidRPr="00C235CD">
              <w:rPr>
                <w:rFonts w:asciiTheme="majorBidi" w:hAnsiTheme="majorBidi" w:cstheme="majorBidi"/>
                <w:noProof/>
                <w:webHidden/>
              </w:rPr>
              <w:tab/>
            </w:r>
            <w:r w:rsidR="00B745B6" w:rsidRPr="00C235CD">
              <w:rPr>
                <w:rFonts w:asciiTheme="majorBidi" w:hAnsiTheme="majorBidi" w:cstheme="majorBidi"/>
                <w:noProof/>
                <w:webHidden/>
              </w:rPr>
              <w:fldChar w:fldCharType="begin"/>
            </w:r>
            <w:r w:rsidR="00B745B6" w:rsidRPr="00C235CD">
              <w:rPr>
                <w:rFonts w:asciiTheme="majorBidi" w:hAnsiTheme="majorBidi" w:cstheme="majorBidi"/>
                <w:noProof/>
                <w:webHidden/>
              </w:rPr>
              <w:instrText xml:space="preserve"> PAGEREF _Toc531103764 \h </w:instrText>
            </w:r>
            <w:r w:rsidR="00B745B6" w:rsidRPr="00C235CD">
              <w:rPr>
                <w:rFonts w:asciiTheme="majorBidi" w:hAnsiTheme="majorBidi" w:cstheme="majorBidi"/>
                <w:noProof/>
                <w:webHidden/>
              </w:rPr>
            </w:r>
            <w:r w:rsidR="00B745B6" w:rsidRPr="00C235CD">
              <w:rPr>
                <w:rFonts w:asciiTheme="majorBidi" w:hAnsiTheme="majorBidi" w:cstheme="majorBidi"/>
                <w:noProof/>
                <w:webHidden/>
              </w:rPr>
              <w:fldChar w:fldCharType="separate"/>
            </w:r>
            <w:r w:rsidR="00C235CD">
              <w:rPr>
                <w:rFonts w:asciiTheme="majorBidi" w:hAnsiTheme="majorBidi" w:cstheme="majorBidi"/>
                <w:noProof/>
                <w:webHidden/>
              </w:rPr>
              <w:t>3</w:t>
            </w:r>
            <w:r w:rsidR="00B745B6" w:rsidRPr="00C235CD">
              <w:rPr>
                <w:rFonts w:asciiTheme="majorBidi" w:hAnsiTheme="majorBidi" w:cstheme="majorBidi"/>
                <w:noProof/>
                <w:webHidden/>
              </w:rPr>
              <w:fldChar w:fldCharType="end"/>
            </w:r>
          </w:hyperlink>
        </w:p>
        <w:p w14:paraId="1A0C7913" w14:textId="6B61C52A" w:rsidR="00B745B6" w:rsidRPr="00C235CD" w:rsidRDefault="003B5836" w:rsidP="00C235CD">
          <w:pPr>
            <w:pStyle w:val="TOC2"/>
          </w:pPr>
          <w:hyperlink w:anchor="_Toc531103765" w:history="1">
            <w:r w:rsidR="00B745B6" w:rsidRPr="00C235CD">
              <w:rPr>
                <w:rStyle w:val="Hyperlink"/>
                <w:color w:val="auto"/>
              </w:rPr>
              <w:t xml:space="preserve">2.1 </w:t>
            </w:r>
            <w:r w:rsidR="00B745B6" w:rsidRPr="00C235CD">
              <w:tab/>
            </w:r>
            <w:r w:rsidR="00B745B6" w:rsidRPr="00C235CD">
              <w:rPr>
                <w:rStyle w:val="Hyperlink"/>
                <w:color w:val="auto"/>
              </w:rPr>
              <w:t>The Basel Convention Partnership Programme</w:t>
            </w:r>
            <w:r w:rsidR="00B745B6" w:rsidRPr="00C235CD">
              <w:rPr>
                <w:webHidden/>
              </w:rPr>
              <w:tab/>
            </w:r>
            <w:r w:rsidR="00B745B6" w:rsidRPr="00C235CD">
              <w:rPr>
                <w:webHidden/>
              </w:rPr>
              <w:fldChar w:fldCharType="begin"/>
            </w:r>
            <w:r w:rsidR="00B745B6" w:rsidRPr="00C235CD">
              <w:rPr>
                <w:webHidden/>
              </w:rPr>
              <w:instrText xml:space="preserve"> PAGEREF _Toc531103765 \h </w:instrText>
            </w:r>
            <w:r w:rsidR="00B745B6" w:rsidRPr="00C235CD">
              <w:rPr>
                <w:webHidden/>
              </w:rPr>
            </w:r>
            <w:r w:rsidR="00B745B6" w:rsidRPr="00C235CD">
              <w:rPr>
                <w:webHidden/>
              </w:rPr>
              <w:fldChar w:fldCharType="separate"/>
            </w:r>
            <w:r w:rsidR="00C235CD">
              <w:rPr>
                <w:webHidden/>
              </w:rPr>
              <w:t>3</w:t>
            </w:r>
            <w:r w:rsidR="00B745B6" w:rsidRPr="00C235CD">
              <w:rPr>
                <w:webHidden/>
              </w:rPr>
              <w:fldChar w:fldCharType="end"/>
            </w:r>
          </w:hyperlink>
        </w:p>
        <w:p w14:paraId="6B8D930F" w14:textId="4C658F45" w:rsidR="00B745B6" w:rsidRPr="00C235CD" w:rsidRDefault="003B5836" w:rsidP="00C235CD">
          <w:pPr>
            <w:pStyle w:val="TOC2"/>
          </w:pPr>
          <w:hyperlink w:anchor="_Toc531103766" w:history="1">
            <w:r w:rsidR="00B745B6" w:rsidRPr="00C235CD">
              <w:rPr>
                <w:rStyle w:val="Hyperlink"/>
                <w:color w:val="auto"/>
              </w:rPr>
              <w:t xml:space="preserve">2.2 </w:t>
            </w:r>
            <w:r w:rsidR="00B745B6" w:rsidRPr="00C235CD">
              <w:tab/>
            </w:r>
            <w:r w:rsidR="00B745B6" w:rsidRPr="00C235CD">
              <w:rPr>
                <w:rStyle w:val="Hyperlink"/>
                <w:color w:val="auto"/>
              </w:rPr>
              <w:t>Global multi-stakeholder Partnerships established by the COP (“Partnerships”)</w:t>
            </w:r>
            <w:r w:rsidR="00B745B6" w:rsidRPr="00C235CD">
              <w:rPr>
                <w:webHidden/>
              </w:rPr>
              <w:tab/>
            </w:r>
            <w:r w:rsidR="00B745B6" w:rsidRPr="00C235CD">
              <w:rPr>
                <w:webHidden/>
              </w:rPr>
              <w:fldChar w:fldCharType="begin"/>
            </w:r>
            <w:r w:rsidR="00B745B6" w:rsidRPr="00C235CD">
              <w:rPr>
                <w:webHidden/>
              </w:rPr>
              <w:instrText xml:space="preserve"> PAGEREF _Toc531103766 \h </w:instrText>
            </w:r>
            <w:r w:rsidR="00B745B6" w:rsidRPr="00C235CD">
              <w:rPr>
                <w:webHidden/>
              </w:rPr>
            </w:r>
            <w:r w:rsidR="00B745B6" w:rsidRPr="00C235CD">
              <w:rPr>
                <w:webHidden/>
              </w:rPr>
              <w:fldChar w:fldCharType="separate"/>
            </w:r>
            <w:r w:rsidR="00C235CD">
              <w:rPr>
                <w:webHidden/>
              </w:rPr>
              <w:t>4</w:t>
            </w:r>
            <w:r w:rsidR="00B745B6" w:rsidRPr="00C235CD">
              <w:rPr>
                <w:webHidden/>
              </w:rPr>
              <w:fldChar w:fldCharType="end"/>
            </w:r>
          </w:hyperlink>
        </w:p>
        <w:p w14:paraId="314F9964" w14:textId="71B2CBD0" w:rsidR="00B745B6" w:rsidRPr="00C235CD" w:rsidRDefault="003B5836">
          <w:pPr>
            <w:pStyle w:val="TOC3"/>
            <w:tabs>
              <w:tab w:val="left" w:pos="880"/>
              <w:tab w:val="right" w:leader="dot" w:pos="9062"/>
            </w:tabs>
            <w:rPr>
              <w:rFonts w:asciiTheme="majorBidi" w:hAnsiTheme="majorBidi" w:cstheme="majorBidi"/>
              <w:noProof/>
            </w:rPr>
          </w:pPr>
          <w:hyperlink w:anchor="_Toc531103767" w:history="1">
            <w:r w:rsidR="00B745B6" w:rsidRPr="00C235CD">
              <w:rPr>
                <w:rStyle w:val="Hyperlink"/>
                <w:rFonts w:asciiTheme="majorBidi" w:hAnsiTheme="majorBidi" w:cstheme="majorBidi"/>
                <w:noProof/>
                <w:color w:val="auto"/>
              </w:rPr>
              <w:t>a)</w:t>
            </w:r>
            <w:r w:rsidR="00B745B6" w:rsidRPr="00C235CD">
              <w:rPr>
                <w:rFonts w:asciiTheme="majorBidi" w:hAnsiTheme="majorBidi" w:cstheme="majorBidi"/>
                <w:noProof/>
              </w:rPr>
              <w:tab/>
            </w:r>
            <w:r w:rsidR="00B745B6" w:rsidRPr="00C235CD">
              <w:rPr>
                <w:rStyle w:val="Hyperlink"/>
                <w:rFonts w:asciiTheme="majorBidi" w:hAnsiTheme="majorBidi" w:cstheme="majorBidi"/>
                <w:noProof/>
                <w:color w:val="auto"/>
              </w:rPr>
              <w:t>Motivation and expectations</w:t>
            </w:r>
            <w:r w:rsidR="00B745B6" w:rsidRPr="00C235CD">
              <w:rPr>
                <w:rFonts w:asciiTheme="majorBidi" w:hAnsiTheme="majorBidi" w:cstheme="majorBidi"/>
                <w:noProof/>
                <w:webHidden/>
              </w:rPr>
              <w:tab/>
            </w:r>
            <w:r w:rsidR="00B745B6" w:rsidRPr="00C235CD">
              <w:rPr>
                <w:rFonts w:asciiTheme="majorBidi" w:hAnsiTheme="majorBidi" w:cstheme="majorBidi"/>
                <w:noProof/>
                <w:webHidden/>
              </w:rPr>
              <w:fldChar w:fldCharType="begin"/>
            </w:r>
            <w:r w:rsidR="00B745B6" w:rsidRPr="00C235CD">
              <w:rPr>
                <w:rFonts w:asciiTheme="majorBidi" w:hAnsiTheme="majorBidi" w:cstheme="majorBidi"/>
                <w:noProof/>
                <w:webHidden/>
              </w:rPr>
              <w:instrText xml:space="preserve"> PAGEREF _Toc531103767 \h </w:instrText>
            </w:r>
            <w:r w:rsidR="00B745B6" w:rsidRPr="00C235CD">
              <w:rPr>
                <w:rFonts w:asciiTheme="majorBidi" w:hAnsiTheme="majorBidi" w:cstheme="majorBidi"/>
                <w:noProof/>
                <w:webHidden/>
              </w:rPr>
            </w:r>
            <w:r w:rsidR="00B745B6" w:rsidRPr="00C235CD">
              <w:rPr>
                <w:rFonts w:asciiTheme="majorBidi" w:hAnsiTheme="majorBidi" w:cstheme="majorBidi"/>
                <w:noProof/>
                <w:webHidden/>
              </w:rPr>
              <w:fldChar w:fldCharType="separate"/>
            </w:r>
            <w:r w:rsidR="00C235CD">
              <w:rPr>
                <w:rFonts w:asciiTheme="majorBidi" w:hAnsiTheme="majorBidi" w:cstheme="majorBidi"/>
                <w:noProof/>
                <w:webHidden/>
              </w:rPr>
              <w:t>5</w:t>
            </w:r>
            <w:r w:rsidR="00B745B6" w:rsidRPr="00C235CD">
              <w:rPr>
                <w:rFonts w:asciiTheme="majorBidi" w:hAnsiTheme="majorBidi" w:cstheme="majorBidi"/>
                <w:noProof/>
                <w:webHidden/>
              </w:rPr>
              <w:fldChar w:fldCharType="end"/>
            </w:r>
          </w:hyperlink>
        </w:p>
        <w:p w14:paraId="55BC5D61" w14:textId="287D4C71" w:rsidR="00B745B6" w:rsidRPr="00C235CD" w:rsidRDefault="003B5836">
          <w:pPr>
            <w:pStyle w:val="TOC3"/>
            <w:tabs>
              <w:tab w:val="left" w:pos="880"/>
              <w:tab w:val="right" w:leader="dot" w:pos="9062"/>
            </w:tabs>
            <w:rPr>
              <w:rFonts w:asciiTheme="majorBidi" w:hAnsiTheme="majorBidi" w:cstheme="majorBidi"/>
              <w:noProof/>
            </w:rPr>
          </w:pPr>
          <w:hyperlink w:anchor="_Toc531103768" w:history="1">
            <w:r w:rsidR="00B745B6" w:rsidRPr="00C235CD">
              <w:rPr>
                <w:rStyle w:val="Hyperlink"/>
                <w:rFonts w:asciiTheme="majorBidi" w:hAnsiTheme="majorBidi" w:cstheme="majorBidi"/>
                <w:noProof/>
                <w:color w:val="auto"/>
              </w:rPr>
              <w:t>b)</w:t>
            </w:r>
            <w:r w:rsidR="00B745B6" w:rsidRPr="00C235CD">
              <w:rPr>
                <w:rFonts w:asciiTheme="majorBidi" w:hAnsiTheme="majorBidi" w:cstheme="majorBidi"/>
                <w:noProof/>
              </w:rPr>
              <w:tab/>
            </w:r>
            <w:r w:rsidR="00B745B6" w:rsidRPr="00C235CD">
              <w:rPr>
                <w:rStyle w:val="Hyperlink"/>
                <w:rFonts w:asciiTheme="majorBidi" w:hAnsiTheme="majorBidi" w:cstheme="majorBidi"/>
                <w:noProof/>
                <w:color w:val="auto"/>
              </w:rPr>
              <w:t>TOR and work programme</w:t>
            </w:r>
            <w:r w:rsidR="00B745B6" w:rsidRPr="00C235CD">
              <w:rPr>
                <w:rFonts w:asciiTheme="majorBidi" w:hAnsiTheme="majorBidi" w:cstheme="majorBidi"/>
                <w:noProof/>
                <w:webHidden/>
              </w:rPr>
              <w:tab/>
            </w:r>
            <w:r w:rsidR="00B745B6" w:rsidRPr="00C235CD">
              <w:rPr>
                <w:rFonts w:asciiTheme="majorBidi" w:hAnsiTheme="majorBidi" w:cstheme="majorBidi"/>
                <w:noProof/>
                <w:webHidden/>
              </w:rPr>
              <w:fldChar w:fldCharType="begin"/>
            </w:r>
            <w:r w:rsidR="00B745B6" w:rsidRPr="00C235CD">
              <w:rPr>
                <w:rFonts w:asciiTheme="majorBidi" w:hAnsiTheme="majorBidi" w:cstheme="majorBidi"/>
                <w:noProof/>
                <w:webHidden/>
              </w:rPr>
              <w:instrText xml:space="preserve"> PAGEREF _Toc531103768 \h </w:instrText>
            </w:r>
            <w:r w:rsidR="00B745B6" w:rsidRPr="00C235CD">
              <w:rPr>
                <w:rFonts w:asciiTheme="majorBidi" w:hAnsiTheme="majorBidi" w:cstheme="majorBidi"/>
                <w:noProof/>
                <w:webHidden/>
              </w:rPr>
            </w:r>
            <w:r w:rsidR="00B745B6" w:rsidRPr="00C235CD">
              <w:rPr>
                <w:rFonts w:asciiTheme="majorBidi" w:hAnsiTheme="majorBidi" w:cstheme="majorBidi"/>
                <w:noProof/>
                <w:webHidden/>
              </w:rPr>
              <w:fldChar w:fldCharType="separate"/>
            </w:r>
            <w:r w:rsidR="00C235CD">
              <w:rPr>
                <w:rFonts w:asciiTheme="majorBidi" w:hAnsiTheme="majorBidi" w:cstheme="majorBidi"/>
                <w:noProof/>
                <w:webHidden/>
              </w:rPr>
              <w:t>6</w:t>
            </w:r>
            <w:r w:rsidR="00B745B6" w:rsidRPr="00C235CD">
              <w:rPr>
                <w:rFonts w:asciiTheme="majorBidi" w:hAnsiTheme="majorBidi" w:cstheme="majorBidi"/>
                <w:noProof/>
                <w:webHidden/>
              </w:rPr>
              <w:fldChar w:fldCharType="end"/>
            </w:r>
          </w:hyperlink>
        </w:p>
        <w:p w14:paraId="36573A17" w14:textId="10C5C9FE" w:rsidR="00B745B6" w:rsidRPr="00C235CD" w:rsidRDefault="003B5836">
          <w:pPr>
            <w:pStyle w:val="TOC3"/>
            <w:tabs>
              <w:tab w:val="left" w:pos="880"/>
              <w:tab w:val="right" w:leader="dot" w:pos="9062"/>
            </w:tabs>
            <w:rPr>
              <w:rFonts w:asciiTheme="majorBidi" w:hAnsiTheme="majorBidi" w:cstheme="majorBidi"/>
              <w:noProof/>
            </w:rPr>
          </w:pPr>
          <w:hyperlink w:anchor="_Toc531103769" w:history="1">
            <w:r w:rsidR="00B745B6" w:rsidRPr="00C235CD">
              <w:rPr>
                <w:rStyle w:val="Hyperlink"/>
                <w:rFonts w:asciiTheme="majorBidi" w:hAnsiTheme="majorBidi" w:cstheme="majorBidi"/>
                <w:noProof/>
                <w:color w:val="auto"/>
              </w:rPr>
              <w:t>c)</w:t>
            </w:r>
            <w:r w:rsidR="00B745B6" w:rsidRPr="00C235CD">
              <w:rPr>
                <w:rFonts w:asciiTheme="majorBidi" w:hAnsiTheme="majorBidi" w:cstheme="majorBidi"/>
                <w:noProof/>
              </w:rPr>
              <w:tab/>
            </w:r>
            <w:r w:rsidR="00B745B6" w:rsidRPr="00C235CD">
              <w:rPr>
                <w:rStyle w:val="Hyperlink"/>
                <w:rFonts w:asciiTheme="majorBidi" w:hAnsiTheme="majorBidi" w:cstheme="majorBidi"/>
                <w:noProof/>
                <w:color w:val="auto"/>
              </w:rPr>
              <w:t>Governance structure and working arrangements</w:t>
            </w:r>
            <w:r w:rsidR="00B745B6" w:rsidRPr="00C235CD">
              <w:rPr>
                <w:rFonts w:asciiTheme="majorBidi" w:hAnsiTheme="majorBidi" w:cstheme="majorBidi"/>
                <w:noProof/>
                <w:webHidden/>
              </w:rPr>
              <w:tab/>
            </w:r>
            <w:r w:rsidR="00B745B6" w:rsidRPr="00C235CD">
              <w:rPr>
                <w:rFonts w:asciiTheme="majorBidi" w:hAnsiTheme="majorBidi" w:cstheme="majorBidi"/>
                <w:noProof/>
                <w:webHidden/>
              </w:rPr>
              <w:fldChar w:fldCharType="begin"/>
            </w:r>
            <w:r w:rsidR="00B745B6" w:rsidRPr="00C235CD">
              <w:rPr>
                <w:rFonts w:asciiTheme="majorBidi" w:hAnsiTheme="majorBidi" w:cstheme="majorBidi"/>
                <w:noProof/>
                <w:webHidden/>
              </w:rPr>
              <w:instrText xml:space="preserve"> PAGEREF _Toc531103769 \h </w:instrText>
            </w:r>
            <w:r w:rsidR="00B745B6" w:rsidRPr="00C235CD">
              <w:rPr>
                <w:rFonts w:asciiTheme="majorBidi" w:hAnsiTheme="majorBidi" w:cstheme="majorBidi"/>
                <w:noProof/>
                <w:webHidden/>
              </w:rPr>
            </w:r>
            <w:r w:rsidR="00B745B6" w:rsidRPr="00C235CD">
              <w:rPr>
                <w:rFonts w:asciiTheme="majorBidi" w:hAnsiTheme="majorBidi" w:cstheme="majorBidi"/>
                <w:noProof/>
                <w:webHidden/>
              </w:rPr>
              <w:fldChar w:fldCharType="separate"/>
            </w:r>
            <w:r w:rsidR="00C235CD">
              <w:rPr>
                <w:rFonts w:asciiTheme="majorBidi" w:hAnsiTheme="majorBidi" w:cstheme="majorBidi"/>
                <w:noProof/>
                <w:webHidden/>
              </w:rPr>
              <w:t>6</w:t>
            </w:r>
            <w:r w:rsidR="00B745B6" w:rsidRPr="00C235CD">
              <w:rPr>
                <w:rFonts w:asciiTheme="majorBidi" w:hAnsiTheme="majorBidi" w:cstheme="majorBidi"/>
                <w:noProof/>
                <w:webHidden/>
              </w:rPr>
              <w:fldChar w:fldCharType="end"/>
            </w:r>
          </w:hyperlink>
        </w:p>
        <w:p w14:paraId="4B5C54C1" w14:textId="55C1A120" w:rsidR="00B745B6" w:rsidRPr="00C235CD" w:rsidRDefault="003B5836">
          <w:pPr>
            <w:pStyle w:val="TOC3"/>
            <w:tabs>
              <w:tab w:val="left" w:pos="1100"/>
              <w:tab w:val="right" w:leader="dot" w:pos="9062"/>
            </w:tabs>
            <w:rPr>
              <w:rFonts w:asciiTheme="majorBidi" w:hAnsiTheme="majorBidi" w:cstheme="majorBidi"/>
              <w:noProof/>
            </w:rPr>
          </w:pPr>
          <w:hyperlink w:anchor="_Toc531103770" w:history="1">
            <w:r w:rsidR="00B745B6" w:rsidRPr="00C235CD">
              <w:rPr>
                <w:rStyle w:val="Hyperlink"/>
                <w:rFonts w:asciiTheme="majorBidi" w:hAnsiTheme="majorBidi" w:cstheme="majorBidi"/>
                <w:noProof/>
                <w:color w:val="auto"/>
              </w:rPr>
              <w:t xml:space="preserve">d) </w:t>
            </w:r>
            <w:r w:rsidR="00B745B6" w:rsidRPr="00C235CD">
              <w:rPr>
                <w:rFonts w:asciiTheme="majorBidi" w:hAnsiTheme="majorBidi" w:cstheme="majorBidi"/>
                <w:noProof/>
              </w:rPr>
              <w:tab/>
            </w:r>
            <w:r w:rsidR="00B745B6" w:rsidRPr="00C235CD">
              <w:rPr>
                <w:rStyle w:val="Hyperlink"/>
                <w:rFonts w:asciiTheme="majorBidi" w:hAnsiTheme="majorBidi" w:cstheme="majorBidi"/>
                <w:noProof/>
                <w:color w:val="auto"/>
              </w:rPr>
              <w:t>Mandate and outcomes</w:t>
            </w:r>
            <w:r w:rsidR="00B745B6" w:rsidRPr="00C235CD">
              <w:rPr>
                <w:rFonts w:asciiTheme="majorBidi" w:hAnsiTheme="majorBidi" w:cstheme="majorBidi"/>
                <w:noProof/>
                <w:webHidden/>
              </w:rPr>
              <w:tab/>
            </w:r>
            <w:r w:rsidR="00B745B6" w:rsidRPr="00C235CD">
              <w:rPr>
                <w:rFonts w:asciiTheme="majorBidi" w:hAnsiTheme="majorBidi" w:cstheme="majorBidi"/>
                <w:noProof/>
                <w:webHidden/>
              </w:rPr>
              <w:fldChar w:fldCharType="begin"/>
            </w:r>
            <w:r w:rsidR="00B745B6" w:rsidRPr="00C235CD">
              <w:rPr>
                <w:rFonts w:asciiTheme="majorBidi" w:hAnsiTheme="majorBidi" w:cstheme="majorBidi"/>
                <w:noProof/>
                <w:webHidden/>
              </w:rPr>
              <w:instrText xml:space="preserve"> PAGEREF _Toc531103770 \h </w:instrText>
            </w:r>
            <w:r w:rsidR="00B745B6" w:rsidRPr="00C235CD">
              <w:rPr>
                <w:rFonts w:asciiTheme="majorBidi" w:hAnsiTheme="majorBidi" w:cstheme="majorBidi"/>
                <w:noProof/>
                <w:webHidden/>
              </w:rPr>
            </w:r>
            <w:r w:rsidR="00B745B6" w:rsidRPr="00C235CD">
              <w:rPr>
                <w:rFonts w:asciiTheme="majorBidi" w:hAnsiTheme="majorBidi" w:cstheme="majorBidi"/>
                <w:noProof/>
                <w:webHidden/>
              </w:rPr>
              <w:fldChar w:fldCharType="separate"/>
            </w:r>
            <w:r w:rsidR="00C235CD">
              <w:rPr>
                <w:rFonts w:asciiTheme="majorBidi" w:hAnsiTheme="majorBidi" w:cstheme="majorBidi"/>
                <w:noProof/>
                <w:webHidden/>
              </w:rPr>
              <w:t>6</w:t>
            </w:r>
            <w:r w:rsidR="00B745B6" w:rsidRPr="00C235CD">
              <w:rPr>
                <w:rFonts w:asciiTheme="majorBidi" w:hAnsiTheme="majorBidi" w:cstheme="majorBidi"/>
                <w:noProof/>
                <w:webHidden/>
              </w:rPr>
              <w:fldChar w:fldCharType="end"/>
            </w:r>
          </w:hyperlink>
        </w:p>
        <w:p w14:paraId="302C4622" w14:textId="0995E5C7" w:rsidR="00B745B6" w:rsidRPr="00C235CD" w:rsidRDefault="003B5836">
          <w:pPr>
            <w:pStyle w:val="TOC3"/>
            <w:tabs>
              <w:tab w:val="left" w:pos="880"/>
              <w:tab w:val="right" w:leader="dot" w:pos="9062"/>
            </w:tabs>
            <w:rPr>
              <w:rFonts w:asciiTheme="majorBidi" w:hAnsiTheme="majorBidi" w:cstheme="majorBidi"/>
              <w:noProof/>
            </w:rPr>
          </w:pPr>
          <w:hyperlink w:anchor="_Toc531103771" w:history="1">
            <w:r w:rsidR="00B745B6" w:rsidRPr="00C235CD">
              <w:rPr>
                <w:rStyle w:val="Hyperlink"/>
                <w:rFonts w:asciiTheme="majorBidi" w:hAnsiTheme="majorBidi" w:cstheme="majorBidi"/>
                <w:noProof/>
                <w:color w:val="auto"/>
              </w:rPr>
              <w:t>e)</w:t>
            </w:r>
            <w:r w:rsidR="00B745B6" w:rsidRPr="00C235CD">
              <w:rPr>
                <w:rFonts w:asciiTheme="majorBidi" w:hAnsiTheme="majorBidi" w:cstheme="majorBidi"/>
                <w:noProof/>
              </w:rPr>
              <w:tab/>
            </w:r>
            <w:r w:rsidR="00B745B6" w:rsidRPr="00C235CD">
              <w:rPr>
                <w:rStyle w:val="Hyperlink"/>
                <w:rFonts w:asciiTheme="majorBidi" w:hAnsiTheme="majorBidi" w:cstheme="majorBidi"/>
                <w:noProof/>
                <w:color w:val="auto"/>
              </w:rPr>
              <w:t>Membership</w:t>
            </w:r>
            <w:r w:rsidR="00B745B6" w:rsidRPr="00C235CD">
              <w:rPr>
                <w:rFonts w:asciiTheme="majorBidi" w:hAnsiTheme="majorBidi" w:cstheme="majorBidi"/>
                <w:noProof/>
                <w:webHidden/>
              </w:rPr>
              <w:tab/>
            </w:r>
            <w:r w:rsidR="00B745B6" w:rsidRPr="00C235CD">
              <w:rPr>
                <w:rFonts w:asciiTheme="majorBidi" w:hAnsiTheme="majorBidi" w:cstheme="majorBidi"/>
                <w:noProof/>
                <w:webHidden/>
              </w:rPr>
              <w:fldChar w:fldCharType="begin"/>
            </w:r>
            <w:r w:rsidR="00B745B6" w:rsidRPr="00C235CD">
              <w:rPr>
                <w:rFonts w:asciiTheme="majorBidi" w:hAnsiTheme="majorBidi" w:cstheme="majorBidi"/>
                <w:noProof/>
                <w:webHidden/>
              </w:rPr>
              <w:instrText xml:space="preserve"> PAGEREF _Toc531103771 \h </w:instrText>
            </w:r>
            <w:r w:rsidR="00B745B6" w:rsidRPr="00C235CD">
              <w:rPr>
                <w:rFonts w:asciiTheme="majorBidi" w:hAnsiTheme="majorBidi" w:cstheme="majorBidi"/>
                <w:noProof/>
                <w:webHidden/>
              </w:rPr>
            </w:r>
            <w:r w:rsidR="00B745B6" w:rsidRPr="00C235CD">
              <w:rPr>
                <w:rFonts w:asciiTheme="majorBidi" w:hAnsiTheme="majorBidi" w:cstheme="majorBidi"/>
                <w:noProof/>
                <w:webHidden/>
              </w:rPr>
              <w:fldChar w:fldCharType="separate"/>
            </w:r>
            <w:r w:rsidR="00C235CD">
              <w:rPr>
                <w:rFonts w:asciiTheme="majorBidi" w:hAnsiTheme="majorBidi" w:cstheme="majorBidi"/>
                <w:noProof/>
                <w:webHidden/>
              </w:rPr>
              <w:t>7</w:t>
            </w:r>
            <w:r w:rsidR="00B745B6" w:rsidRPr="00C235CD">
              <w:rPr>
                <w:rFonts w:asciiTheme="majorBidi" w:hAnsiTheme="majorBidi" w:cstheme="majorBidi"/>
                <w:noProof/>
                <w:webHidden/>
              </w:rPr>
              <w:fldChar w:fldCharType="end"/>
            </w:r>
          </w:hyperlink>
        </w:p>
        <w:p w14:paraId="2D8B4DE9" w14:textId="06729CC7" w:rsidR="00B745B6" w:rsidRPr="00C235CD" w:rsidRDefault="003B5836">
          <w:pPr>
            <w:pStyle w:val="TOC3"/>
            <w:tabs>
              <w:tab w:val="left" w:pos="880"/>
              <w:tab w:val="right" w:leader="dot" w:pos="9062"/>
            </w:tabs>
            <w:rPr>
              <w:rFonts w:asciiTheme="majorBidi" w:hAnsiTheme="majorBidi" w:cstheme="majorBidi"/>
              <w:noProof/>
            </w:rPr>
          </w:pPr>
          <w:hyperlink w:anchor="_Toc531103772" w:history="1">
            <w:r w:rsidR="00B745B6" w:rsidRPr="00C235CD">
              <w:rPr>
                <w:rStyle w:val="Hyperlink"/>
                <w:rFonts w:asciiTheme="majorBidi" w:hAnsiTheme="majorBidi" w:cstheme="majorBidi"/>
                <w:noProof/>
                <w:color w:val="auto"/>
              </w:rPr>
              <w:t>f)</w:t>
            </w:r>
            <w:r w:rsidR="00B745B6" w:rsidRPr="00C235CD">
              <w:rPr>
                <w:rFonts w:asciiTheme="majorBidi" w:hAnsiTheme="majorBidi" w:cstheme="majorBidi"/>
                <w:noProof/>
              </w:rPr>
              <w:tab/>
            </w:r>
            <w:r w:rsidR="00B745B6" w:rsidRPr="00C235CD">
              <w:rPr>
                <w:rStyle w:val="Hyperlink"/>
                <w:rFonts w:asciiTheme="majorBidi" w:hAnsiTheme="majorBidi" w:cstheme="majorBidi"/>
                <w:noProof/>
                <w:color w:val="auto"/>
              </w:rPr>
              <w:t>Funding</w:t>
            </w:r>
            <w:r w:rsidR="00B745B6" w:rsidRPr="00C235CD">
              <w:rPr>
                <w:rFonts w:asciiTheme="majorBidi" w:hAnsiTheme="majorBidi" w:cstheme="majorBidi"/>
                <w:noProof/>
                <w:webHidden/>
              </w:rPr>
              <w:tab/>
            </w:r>
            <w:r w:rsidR="00B745B6" w:rsidRPr="00C235CD">
              <w:rPr>
                <w:rFonts w:asciiTheme="majorBidi" w:hAnsiTheme="majorBidi" w:cstheme="majorBidi"/>
                <w:noProof/>
                <w:webHidden/>
              </w:rPr>
              <w:fldChar w:fldCharType="begin"/>
            </w:r>
            <w:r w:rsidR="00B745B6" w:rsidRPr="00C235CD">
              <w:rPr>
                <w:rFonts w:asciiTheme="majorBidi" w:hAnsiTheme="majorBidi" w:cstheme="majorBidi"/>
                <w:noProof/>
                <w:webHidden/>
              </w:rPr>
              <w:instrText xml:space="preserve"> PAGEREF _Toc531103772 \h </w:instrText>
            </w:r>
            <w:r w:rsidR="00B745B6" w:rsidRPr="00C235CD">
              <w:rPr>
                <w:rFonts w:asciiTheme="majorBidi" w:hAnsiTheme="majorBidi" w:cstheme="majorBidi"/>
                <w:noProof/>
                <w:webHidden/>
              </w:rPr>
            </w:r>
            <w:r w:rsidR="00B745B6" w:rsidRPr="00C235CD">
              <w:rPr>
                <w:rFonts w:asciiTheme="majorBidi" w:hAnsiTheme="majorBidi" w:cstheme="majorBidi"/>
                <w:noProof/>
                <w:webHidden/>
              </w:rPr>
              <w:fldChar w:fldCharType="separate"/>
            </w:r>
            <w:r w:rsidR="00C235CD">
              <w:rPr>
                <w:rFonts w:asciiTheme="majorBidi" w:hAnsiTheme="majorBidi" w:cstheme="majorBidi"/>
                <w:noProof/>
                <w:webHidden/>
              </w:rPr>
              <w:t>7</w:t>
            </w:r>
            <w:r w:rsidR="00B745B6" w:rsidRPr="00C235CD">
              <w:rPr>
                <w:rFonts w:asciiTheme="majorBidi" w:hAnsiTheme="majorBidi" w:cstheme="majorBidi"/>
                <w:noProof/>
                <w:webHidden/>
              </w:rPr>
              <w:fldChar w:fldCharType="end"/>
            </w:r>
          </w:hyperlink>
        </w:p>
        <w:p w14:paraId="5438A907" w14:textId="03E4C3AD" w:rsidR="00B745B6" w:rsidRPr="00C235CD" w:rsidRDefault="003B5836">
          <w:pPr>
            <w:pStyle w:val="TOC3"/>
            <w:tabs>
              <w:tab w:val="left" w:pos="880"/>
              <w:tab w:val="right" w:leader="dot" w:pos="9062"/>
            </w:tabs>
            <w:rPr>
              <w:rFonts w:asciiTheme="majorBidi" w:hAnsiTheme="majorBidi" w:cstheme="majorBidi"/>
              <w:noProof/>
            </w:rPr>
          </w:pPr>
          <w:hyperlink w:anchor="_Toc531103773" w:history="1">
            <w:r w:rsidR="00B745B6" w:rsidRPr="00C235CD">
              <w:rPr>
                <w:rStyle w:val="Hyperlink"/>
                <w:rFonts w:asciiTheme="majorBidi" w:hAnsiTheme="majorBidi" w:cstheme="majorBidi"/>
                <w:noProof/>
                <w:color w:val="auto"/>
              </w:rPr>
              <w:t>g)</w:t>
            </w:r>
            <w:r w:rsidR="00B745B6" w:rsidRPr="00C235CD">
              <w:rPr>
                <w:rFonts w:asciiTheme="majorBidi" w:hAnsiTheme="majorBidi" w:cstheme="majorBidi"/>
                <w:noProof/>
              </w:rPr>
              <w:tab/>
            </w:r>
            <w:r w:rsidR="00B745B6" w:rsidRPr="00C235CD">
              <w:rPr>
                <w:rStyle w:val="Hyperlink"/>
                <w:rFonts w:asciiTheme="majorBidi" w:hAnsiTheme="majorBidi" w:cstheme="majorBidi"/>
                <w:noProof/>
                <w:color w:val="auto"/>
              </w:rPr>
              <w:t>Some lessons learned</w:t>
            </w:r>
            <w:r w:rsidR="00B745B6" w:rsidRPr="00C235CD">
              <w:rPr>
                <w:rFonts w:asciiTheme="majorBidi" w:hAnsiTheme="majorBidi" w:cstheme="majorBidi"/>
                <w:noProof/>
                <w:webHidden/>
              </w:rPr>
              <w:tab/>
            </w:r>
            <w:r w:rsidR="00B745B6" w:rsidRPr="00C235CD">
              <w:rPr>
                <w:rFonts w:asciiTheme="majorBidi" w:hAnsiTheme="majorBidi" w:cstheme="majorBidi"/>
                <w:noProof/>
                <w:webHidden/>
              </w:rPr>
              <w:fldChar w:fldCharType="begin"/>
            </w:r>
            <w:r w:rsidR="00B745B6" w:rsidRPr="00C235CD">
              <w:rPr>
                <w:rFonts w:asciiTheme="majorBidi" w:hAnsiTheme="majorBidi" w:cstheme="majorBidi"/>
                <w:noProof/>
                <w:webHidden/>
              </w:rPr>
              <w:instrText xml:space="preserve"> PAGEREF _Toc531103773 \h </w:instrText>
            </w:r>
            <w:r w:rsidR="00B745B6" w:rsidRPr="00C235CD">
              <w:rPr>
                <w:rFonts w:asciiTheme="majorBidi" w:hAnsiTheme="majorBidi" w:cstheme="majorBidi"/>
                <w:noProof/>
                <w:webHidden/>
              </w:rPr>
            </w:r>
            <w:r w:rsidR="00B745B6" w:rsidRPr="00C235CD">
              <w:rPr>
                <w:rFonts w:asciiTheme="majorBidi" w:hAnsiTheme="majorBidi" w:cstheme="majorBidi"/>
                <w:noProof/>
                <w:webHidden/>
              </w:rPr>
              <w:fldChar w:fldCharType="separate"/>
            </w:r>
            <w:r w:rsidR="00C235CD">
              <w:rPr>
                <w:rFonts w:asciiTheme="majorBidi" w:hAnsiTheme="majorBidi" w:cstheme="majorBidi"/>
                <w:noProof/>
                <w:webHidden/>
              </w:rPr>
              <w:t>7</w:t>
            </w:r>
            <w:r w:rsidR="00B745B6" w:rsidRPr="00C235CD">
              <w:rPr>
                <w:rFonts w:asciiTheme="majorBidi" w:hAnsiTheme="majorBidi" w:cstheme="majorBidi"/>
                <w:noProof/>
                <w:webHidden/>
              </w:rPr>
              <w:fldChar w:fldCharType="end"/>
            </w:r>
          </w:hyperlink>
        </w:p>
        <w:p w14:paraId="1CB95307" w14:textId="07525920" w:rsidR="00B745B6" w:rsidRPr="00C235CD" w:rsidRDefault="003B5836" w:rsidP="00C235CD">
          <w:pPr>
            <w:pStyle w:val="TOC2"/>
          </w:pPr>
          <w:hyperlink w:anchor="_Toc531103774" w:history="1">
            <w:r w:rsidR="00B745B6" w:rsidRPr="00C235CD">
              <w:rPr>
                <w:rStyle w:val="Hyperlink"/>
                <w:color w:val="auto"/>
              </w:rPr>
              <w:t xml:space="preserve">2.3 </w:t>
            </w:r>
            <w:r w:rsidR="00B745B6" w:rsidRPr="00C235CD">
              <w:tab/>
            </w:r>
            <w:r w:rsidR="00B745B6" w:rsidRPr="00C235CD">
              <w:rPr>
                <w:rStyle w:val="Hyperlink"/>
                <w:color w:val="auto"/>
              </w:rPr>
              <w:t>Partnerships in which the Secretariat participates as a partner (“partnerships”)</w:t>
            </w:r>
            <w:r w:rsidR="00B745B6" w:rsidRPr="00C235CD">
              <w:rPr>
                <w:webHidden/>
              </w:rPr>
              <w:tab/>
            </w:r>
            <w:r w:rsidR="00B745B6" w:rsidRPr="00C235CD">
              <w:rPr>
                <w:webHidden/>
              </w:rPr>
              <w:fldChar w:fldCharType="begin"/>
            </w:r>
            <w:r w:rsidR="00B745B6" w:rsidRPr="00C235CD">
              <w:rPr>
                <w:webHidden/>
              </w:rPr>
              <w:instrText xml:space="preserve"> PAGEREF _Toc531103774 \h </w:instrText>
            </w:r>
            <w:r w:rsidR="00B745B6" w:rsidRPr="00C235CD">
              <w:rPr>
                <w:webHidden/>
              </w:rPr>
            </w:r>
            <w:r w:rsidR="00B745B6" w:rsidRPr="00C235CD">
              <w:rPr>
                <w:webHidden/>
              </w:rPr>
              <w:fldChar w:fldCharType="separate"/>
            </w:r>
            <w:r w:rsidR="00C235CD">
              <w:rPr>
                <w:webHidden/>
              </w:rPr>
              <w:t>9</w:t>
            </w:r>
            <w:r w:rsidR="00B745B6" w:rsidRPr="00C235CD">
              <w:rPr>
                <w:webHidden/>
              </w:rPr>
              <w:fldChar w:fldCharType="end"/>
            </w:r>
          </w:hyperlink>
        </w:p>
        <w:p w14:paraId="0CB2F316" w14:textId="20AE233C" w:rsidR="00B745B6" w:rsidRPr="00C235CD" w:rsidRDefault="003B5836">
          <w:pPr>
            <w:pStyle w:val="TOC1"/>
            <w:tabs>
              <w:tab w:val="left" w:pos="440"/>
              <w:tab w:val="right" w:leader="dot" w:pos="9062"/>
            </w:tabs>
            <w:rPr>
              <w:rFonts w:asciiTheme="majorBidi" w:hAnsiTheme="majorBidi" w:cstheme="majorBidi"/>
              <w:noProof/>
            </w:rPr>
          </w:pPr>
          <w:hyperlink w:anchor="_Toc531103775" w:history="1">
            <w:r w:rsidR="00B745B6" w:rsidRPr="00C235CD">
              <w:rPr>
                <w:rStyle w:val="Hyperlink"/>
                <w:rFonts w:asciiTheme="majorBidi" w:hAnsiTheme="majorBidi" w:cstheme="majorBidi"/>
                <w:noProof/>
                <w:color w:val="auto"/>
              </w:rPr>
              <w:t>3.</w:t>
            </w:r>
            <w:r w:rsidR="00B745B6" w:rsidRPr="00C235CD">
              <w:rPr>
                <w:rFonts w:asciiTheme="majorBidi" w:hAnsiTheme="majorBidi" w:cstheme="majorBidi"/>
                <w:noProof/>
              </w:rPr>
              <w:tab/>
            </w:r>
            <w:r w:rsidR="00B745B6" w:rsidRPr="00C235CD">
              <w:rPr>
                <w:rStyle w:val="Hyperlink"/>
                <w:rFonts w:asciiTheme="majorBidi" w:hAnsiTheme="majorBidi" w:cstheme="majorBidi"/>
                <w:noProof/>
                <w:color w:val="auto"/>
              </w:rPr>
              <w:t>Cooperation arrangements with particular relevance for the Basel Convention</w:t>
            </w:r>
            <w:r w:rsidR="00B745B6" w:rsidRPr="00C235CD">
              <w:rPr>
                <w:rFonts w:asciiTheme="majorBidi" w:hAnsiTheme="majorBidi" w:cstheme="majorBidi"/>
                <w:noProof/>
                <w:webHidden/>
              </w:rPr>
              <w:tab/>
            </w:r>
            <w:r w:rsidR="00B745B6" w:rsidRPr="00C235CD">
              <w:rPr>
                <w:rFonts w:asciiTheme="majorBidi" w:hAnsiTheme="majorBidi" w:cstheme="majorBidi"/>
                <w:noProof/>
                <w:webHidden/>
              </w:rPr>
              <w:fldChar w:fldCharType="begin"/>
            </w:r>
            <w:r w:rsidR="00B745B6" w:rsidRPr="00C235CD">
              <w:rPr>
                <w:rFonts w:asciiTheme="majorBidi" w:hAnsiTheme="majorBidi" w:cstheme="majorBidi"/>
                <w:noProof/>
                <w:webHidden/>
              </w:rPr>
              <w:instrText xml:space="preserve"> PAGEREF _Toc531103775 \h </w:instrText>
            </w:r>
            <w:r w:rsidR="00B745B6" w:rsidRPr="00C235CD">
              <w:rPr>
                <w:rFonts w:asciiTheme="majorBidi" w:hAnsiTheme="majorBidi" w:cstheme="majorBidi"/>
                <w:noProof/>
                <w:webHidden/>
              </w:rPr>
            </w:r>
            <w:r w:rsidR="00B745B6" w:rsidRPr="00C235CD">
              <w:rPr>
                <w:rFonts w:asciiTheme="majorBidi" w:hAnsiTheme="majorBidi" w:cstheme="majorBidi"/>
                <w:noProof/>
                <w:webHidden/>
              </w:rPr>
              <w:fldChar w:fldCharType="separate"/>
            </w:r>
            <w:r w:rsidR="00C235CD">
              <w:rPr>
                <w:rFonts w:asciiTheme="majorBidi" w:hAnsiTheme="majorBidi" w:cstheme="majorBidi"/>
                <w:noProof/>
                <w:webHidden/>
              </w:rPr>
              <w:t>11</w:t>
            </w:r>
            <w:r w:rsidR="00B745B6" w:rsidRPr="00C235CD">
              <w:rPr>
                <w:rFonts w:asciiTheme="majorBidi" w:hAnsiTheme="majorBidi" w:cstheme="majorBidi"/>
                <w:noProof/>
                <w:webHidden/>
              </w:rPr>
              <w:fldChar w:fldCharType="end"/>
            </w:r>
          </w:hyperlink>
        </w:p>
        <w:p w14:paraId="482447AB" w14:textId="28F799CF" w:rsidR="00B745B6" w:rsidRPr="00C235CD" w:rsidRDefault="003B5836" w:rsidP="00C235CD">
          <w:pPr>
            <w:pStyle w:val="TOC2"/>
          </w:pPr>
          <w:hyperlink w:anchor="_Toc531103776" w:history="1">
            <w:r w:rsidR="00B745B6" w:rsidRPr="00C235CD">
              <w:rPr>
                <w:rStyle w:val="Hyperlink"/>
                <w:color w:val="auto"/>
              </w:rPr>
              <w:t>3.1</w:t>
            </w:r>
            <w:r w:rsidR="00B745B6" w:rsidRPr="00C235CD">
              <w:tab/>
            </w:r>
            <w:r w:rsidR="00B745B6" w:rsidRPr="00C235CD">
              <w:rPr>
                <w:rStyle w:val="Hyperlink"/>
                <w:color w:val="auto"/>
              </w:rPr>
              <w:t>Cooperation arrangements under the Stockholm Convention</w:t>
            </w:r>
            <w:r w:rsidR="00B745B6" w:rsidRPr="00C235CD">
              <w:rPr>
                <w:webHidden/>
              </w:rPr>
              <w:tab/>
            </w:r>
            <w:r w:rsidR="00B745B6" w:rsidRPr="00C235CD">
              <w:rPr>
                <w:webHidden/>
              </w:rPr>
              <w:fldChar w:fldCharType="begin"/>
            </w:r>
            <w:r w:rsidR="00B745B6" w:rsidRPr="00C235CD">
              <w:rPr>
                <w:webHidden/>
              </w:rPr>
              <w:instrText xml:space="preserve"> PAGEREF _Toc531103776 \h </w:instrText>
            </w:r>
            <w:r w:rsidR="00B745B6" w:rsidRPr="00C235CD">
              <w:rPr>
                <w:webHidden/>
              </w:rPr>
            </w:r>
            <w:r w:rsidR="00B745B6" w:rsidRPr="00C235CD">
              <w:rPr>
                <w:webHidden/>
              </w:rPr>
              <w:fldChar w:fldCharType="separate"/>
            </w:r>
            <w:r w:rsidR="00C235CD">
              <w:rPr>
                <w:webHidden/>
              </w:rPr>
              <w:t>11</w:t>
            </w:r>
            <w:r w:rsidR="00B745B6" w:rsidRPr="00C235CD">
              <w:rPr>
                <w:webHidden/>
              </w:rPr>
              <w:fldChar w:fldCharType="end"/>
            </w:r>
          </w:hyperlink>
        </w:p>
        <w:p w14:paraId="32DE3933" w14:textId="1C4FE1B5" w:rsidR="00B745B6" w:rsidRPr="00C235CD" w:rsidRDefault="003B5836" w:rsidP="00C235CD">
          <w:pPr>
            <w:pStyle w:val="TOC2"/>
          </w:pPr>
          <w:hyperlink w:anchor="_Toc531103777" w:history="1">
            <w:r w:rsidR="00B745B6" w:rsidRPr="00C235CD">
              <w:rPr>
                <w:rStyle w:val="Hyperlink"/>
                <w:color w:val="auto"/>
              </w:rPr>
              <w:t xml:space="preserve">3.2 </w:t>
            </w:r>
            <w:r w:rsidR="00B745B6" w:rsidRPr="00C235CD">
              <w:tab/>
            </w:r>
            <w:r w:rsidR="00B745B6" w:rsidRPr="00C235CD">
              <w:rPr>
                <w:rStyle w:val="Hyperlink"/>
                <w:color w:val="auto"/>
              </w:rPr>
              <w:t>The Strategic Approach to International Chemicals Management (SAICM)</w:t>
            </w:r>
            <w:r w:rsidR="00B745B6" w:rsidRPr="00C235CD">
              <w:rPr>
                <w:webHidden/>
              </w:rPr>
              <w:tab/>
            </w:r>
            <w:r w:rsidR="00B745B6" w:rsidRPr="00C235CD">
              <w:rPr>
                <w:webHidden/>
              </w:rPr>
              <w:fldChar w:fldCharType="begin"/>
            </w:r>
            <w:r w:rsidR="00B745B6" w:rsidRPr="00C235CD">
              <w:rPr>
                <w:webHidden/>
              </w:rPr>
              <w:instrText xml:space="preserve"> PAGEREF _Toc531103777 \h </w:instrText>
            </w:r>
            <w:r w:rsidR="00B745B6" w:rsidRPr="00C235CD">
              <w:rPr>
                <w:webHidden/>
              </w:rPr>
            </w:r>
            <w:r w:rsidR="00B745B6" w:rsidRPr="00C235CD">
              <w:rPr>
                <w:webHidden/>
              </w:rPr>
              <w:fldChar w:fldCharType="separate"/>
            </w:r>
            <w:r w:rsidR="00C235CD">
              <w:rPr>
                <w:webHidden/>
              </w:rPr>
              <w:t>11</w:t>
            </w:r>
            <w:r w:rsidR="00B745B6" w:rsidRPr="00C235CD">
              <w:rPr>
                <w:webHidden/>
              </w:rPr>
              <w:fldChar w:fldCharType="end"/>
            </w:r>
          </w:hyperlink>
        </w:p>
        <w:p w14:paraId="12451759" w14:textId="2D697174" w:rsidR="00B745B6" w:rsidRPr="00C235CD" w:rsidRDefault="003B5836">
          <w:pPr>
            <w:pStyle w:val="TOC1"/>
            <w:tabs>
              <w:tab w:val="left" w:pos="440"/>
              <w:tab w:val="right" w:leader="dot" w:pos="9062"/>
            </w:tabs>
            <w:rPr>
              <w:rFonts w:asciiTheme="majorBidi" w:hAnsiTheme="majorBidi" w:cstheme="majorBidi"/>
              <w:noProof/>
            </w:rPr>
          </w:pPr>
          <w:hyperlink w:anchor="_Toc531103778" w:history="1">
            <w:r w:rsidR="00B745B6" w:rsidRPr="00C235CD">
              <w:rPr>
                <w:rStyle w:val="Hyperlink"/>
                <w:rFonts w:asciiTheme="majorBidi" w:hAnsiTheme="majorBidi" w:cstheme="majorBidi"/>
                <w:noProof/>
                <w:color w:val="auto"/>
              </w:rPr>
              <w:t>4.</w:t>
            </w:r>
            <w:r w:rsidR="00B745B6" w:rsidRPr="00C235CD">
              <w:rPr>
                <w:rFonts w:asciiTheme="majorBidi" w:hAnsiTheme="majorBidi" w:cstheme="majorBidi"/>
                <w:noProof/>
              </w:rPr>
              <w:tab/>
            </w:r>
            <w:r w:rsidR="00B745B6" w:rsidRPr="00C235CD">
              <w:rPr>
                <w:rStyle w:val="Hyperlink"/>
                <w:rFonts w:asciiTheme="majorBidi" w:hAnsiTheme="majorBidi" w:cstheme="majorBidi"/>
                <w:noProof/>
                <w:color w:val="auto"/>
              </w:rPr>
              <w:t>Partnerships and similar cooperation arrangements in the UN system: Definitions and guidance</w:t>
            </w:r>
            <w:r w:rsidR="00B745B6" w:rsidRPr="00C235CD">
              <w:rPr>
                <w:rFonts w:asciiTheme="majorBidi" w:hAnsiTheme="majorBidi" w:cstheme="majorBidi"/>
                <w:noProof/>
                <w:webHidden/>
              </w:rPr>
              <w:tab/>
            </w:r>
            <w:r w:rsidR="00B745B6" w:rsidRPr="00C235CD">
              <w:rPr>
                <w:rFonts w:asciiTheme="majorBidi" w:hAnsiTheme="majorBidi" w:cstheme="majorBidi"/>
                <w:noProof/>
                <w:webHidden/>
              </w:rPr>
              <w:fldChar w:fldCharType="begin"/>
            </w:r>
            <w:r w:rsidR="00B745B6" w:rsidRPr="00C235CD">
              <w:rPr>
                <w:rFonts w:asciiTheme="majorBidi" w:hAnsiTheme="majorBidi" w:cstheme="majorBidi"/>
                <w:noProof/>
                <w:webHidden/>
              </w:rPr>
              <w:instrText xml:space="preserve"> PAGEREF _Toc531103778 \h </w:instrText>
            </w:r>
            <w:r w:rsidR="00B745B6" w:rsidRPr="00C235CD">
              <w:rPr>
                <w:rFonts w:asciiTheme="majorBidi" w:hAnsiTheme="majorBidi" w:cstheme="majorBidi"/>
                <w:noProof/>
                <w:webHidden/>
              </w:rPr>
            </w:r>
            <w:r w:rsidR="00B745B6" w:rsidRPr="00C235CD">
              <w:rPr>
                <w:rFonts w:asciiTheme="majorBidi" w:hAnsiTheme="majorBidi" w:cstheme="majorBidi"/>
                <w:noProof/>
                <w:webHidden/>
              </w:rPr>
              <w:fldChar w:fldCharType="separate"/>
            </w:r>
            <w:r w:rsidR="00C235CD">
              <w:rPr>
                <w:rFonts w:asciiTheme="majorBidi" w:hAnsiTheme="majorBidi" w:cstheme="majorBidi"/>
                <w:noProof/>
                <w:webHidden/>
              </w:rPr>
              <w:t>12</w:t>
            </w:r>
            <w:r w:rsidR="00B745B6" w:rsidRPr="00C235CD">
              <w:rPr>
                <w:rFonts w:asciiTheme="majorBidi" w:hAnsiTheme="majorBidi" w:cstheme="majorBidi"/>
                <w:noProof/>
                <w:webHidden/>
              </w:rPr>
              <w:fldChar w:fldCharType="end"/>
            </w:r>
          </w:hyperlink>
        </w:p>
        <w:p w14:paraId="7F9D5F2F" w14:textId="6B4C2208" w:rsidR="00B745B6" w:rsidRPr="00C235CD" w:rsidRDefault="003B5836" w:rsidP="00C235CD">
          <w:pPr>
            <w:pStyle w:val="TOC2"/>
          </w:pPr>
          <w:hyperlink w:anchor="_Toc531103779" w:history="1">
            <w:r w:rsidR="00B745B6" w:rsidRPr="00C235CD">
              <w:rPr>
                <w:rStyle w:val="Hyperlink"/>
                <w:color w:val="auto"/>
              </w:rPr>
              <w:t xml:space="preserve">4.1 </w:t>
            </w:r>
            <w:r w:rsidR="00B745B6" w:rsidRPr="00C235CD">
              <w:tab/>
            </w:r>
            <w:r w:rsidR="00B745B6" w:rsidRPr="00C235CD">
              <w:rPr>
                <w:rStyle w:val="Hyperlink"/>
                <w:color w:val="auto"/>
              </w:rPr>
              <w:t>Definitions of partnerships</w:t>
            </w:r>
            <w:r w:rsidR="00B745B6" w:rsidRPr="00C235CD">
              <w:rPr>
                <w:webHidden/>
              </w:rPr>
              <w:tab/>
            </w:r>
            <w:r w:rsidR="00B745B6" w:rsidRPr="00C235CD">
              <w:rPr>
                <w:webHidden/>
              </w:rPr>
              <w:fldChar w:fldCharType="begin"/>
            </w:r>
            <w:r w:rsidR="00B745B6" w:rsidRPr="00C235CD">
              <w:rPr>
                <w:webHidden/>
              </w:rPr>
              <w:instrText xml:space="preserve"> PAGEREF _Toc531103779 \h </w:instrText>
            </w:r>
            <w:r w:rsidR="00B745B6" w:rsidRPr="00C235CD">
              <w:rPr>
                <w:webHidden/>
              </w:rPr>
            </w:r>
            <w:r w:rsidR="00B745B6" w:rsidRPr="00C235CD">
              <w:rPr>
                <w:webHidden/>
              </w:rPr>
              <w:fldChar w:fldCharType="separate"/>
            </w:r>
            <w:r w:rsidR="00C235CD">
              <w:rPr>
                <w:webHidden/>
              </w:rPr>
              <w:t>12</w:t>
            </w:r>
            <w:r w:rsidR="00B745B6" w:rsidRPr="00C235CD">
              <w:rPr>
                <w:webHidden/>
              </w:rPr>
              <w:fldChar w:fldCharType="end"/>
            </w:r>
          </w:hyperlink>
        </w:p>
        <w:p w14:paraId="53599492" w14:textId="41E01401" w:rsidR="00B745B6" w:rsidRPr="00C235CD" w:rsidRDefault="003B5836" w:rsidP="00C235CD">
          <w:pPr>
            <w:pStyle w:val="TOC2"/>
          </w:pPr>
          <w:hyperlink w:anchor="_Toc531103780" w:history="1">
            <w:r w:rsidR="00B745B6" w:rsidRPr="00C235CD">
              <w:rPr>
                <w:rStyle w:val="Hyperlink"/>
                <w:color w:val="auto"/>
              </w:rPr>
              <w:t xml:space="preserve">4.2 </w:t>
            </w:r>
            <w:r w:rsidR="00B745B6" w:rsidRPr="00C235CD">
              <w:tab/>
            </w:r>
            <w:r w:rsidR="00B745B6" w:rsidRPr="00C235CD">
              <w:rPr>
                <w:rStyle w:val="Hyperlink"/>
                <w:color w:val="auto"/>
              </w:rPr>
              <w:t>UN endorsement of partnerships and recognized benefits</w:t>
            </w:r>
            <w:r w:rsidR="00B745B6" w:rsidRPr="00C235CD">
              <w:rPr>
                <w:webHidden/>
              </w:rPr>
              <w:tab/>
            </w:r>
            <w:r w:rsidR="00B745B6" w:rsidRPr="00C235CD">
              <w:rPr>
                <w:webHidden/>
              </w:rPr>
              <w:fldChar w:fldCharType="begin"/>
            </w:r>
            <w:r w:rsidR="00B745B6" w:rsidRPr="00C235CD">
              <w:rPr>
                <w:webHidden/>
              </w:rPr>
              <w:instrText xml:space="preserve"> PAGEREF _Toc531103780 \h </w:instrText>
            </w:r>
            <w:r w:rsidR="00B745B6" w:rsidRPr="00C235CD">
              <w:rPr>
                <w:webHidden/>
              </w:rPr>
            </w:r>
            <w:r w:rsidR="00B745B6" w:rsidRPr="00C235CD">
              <w:rPr>
                <w:webHidden/>
              </w:rPr>
              <w:fldChar w:fldCharType="separate"/>
            </w:r>
            <w:r w:rsidR="00C235CD">
              <w:rPr>
                <w:webHidden/>
              </w:rPr>
              <w:t>13</w:t>
            </w:r>
            <w:r w:rsidR="00B745B6" w:rsidRPr="00C235CD">
              <w:rPr>
                <w:webHidden/>
              </w:rPr>
              <w:fldChar w:fldCharType="end"/>
            </w:r>
          </w:hyperlink>
        </w:p>
        <w:p w14:paraId="2EA580AE" w14:textId="5D3C5ACB" w:rsidR="00B745B6" w:rsidRPr="00C235CD" w:rsidRDefault="003B5836" w:rsidP="00C235CD">
          <w:pPr>
            <w:pStyle w:val="TOC2"/>
          </w:pPr>
          <w:hyperlink w:anchor="_Toc531103781" w:history="1">
            <w:r w:rsidR="00B745B6" w:rsidRPr="00C235CD">
              <w:rPr>
                <w:rStyle w:val="Hyperlink"/>
                <w:color w:val="auto"/>
              </w:rPr>
              <w:t xml:space="preserve">4.3 </w:t>
            </w:r>
            <w:r w:rsidR="00B745B6" w:rsidRPr="00C235CD">
              <w:tab/>
            </w:r>
            <w:r w:rsidR="00B745B6" w:rsidRPr="00C235CD">
              <w:rPr>
                <w:rStyle w:val="Hyperlink"/>
                <w:color w:val="auto"/>
              </w:rPr>
              <w:t>UN guidelines and policies addressing risks inherent in partnerships</w:t>
            </w:r>
            <w:r w:rsidR="00B745B6" w:rsidRPr="00C235CD">
              <w:rPr>
                <w:webHidden/>
              </w:rPr>
              <w:tab/>
            </w:r>
            <w:r w:rsidR="00B745B6" w:rsidRPr="00C235CD">
              <w:rPr>
                <w:webHidden/>
              </w:rPr>
              <w:fldChar w:fldCharType="begin"/>
            </w:r>
            <w:r w:rsidR="00B745B6" w:rsidRPr="00C235CD">
              <w:rPr>
                <w:webHidden/>
              </w:rPr>
              <w:instrText xml:space="preserve"> PAGEREF _Toc531103781 \h </w:instrText>
            </w:r>
            <w:r w:rsidR="00B745B6" w:rsidRPr="00C235CD">
              <w:rPr>
                <w:webHidden/>
              </w:rPr>
            </w:r>
            <w:r w:rsidR="00B745B6" w:rsidRPr="00C235CD">
              <w:rPr>
                <w:webHidden/>
              </w:rPr>
              <w:fldChar w:fldCharType="separate"/>
            </w:r>
            <w:r w:rsidR="00C235CD">
              <w:rPr>
                <w:webHidden/>
              </w:rPr>
              <w:t>13</w:t>
            </w:r>
            <w:r w:rsidR="00B745B6" w:rsidRPr="00C235CD">
              <w:rPr>
                <w:webHidden/>
              </w:rPr>
              <w:fldChar w:fldCharType="end"/>
            </w:r>
          </w:hyperlink>
        </w:p>
        <w:p w14:paraId="1E464C4F" w14:textId="494D161F" w:rsidR="00B745B6" w:rsidRPr="00C235CD" w:rsidRDefault="003B5836">
          <w:pPr>
            <w:pStyle w:val="TOC1"/>
            <w:tabs>
              <w:tab w:val="left" w:pos="440"/>
              <w:tab w:val="right" w:leader="dot" w:pos="9062"/>
            </w:tabs>
            <w:rPr>
              <w:rFonts w:asciiTheme="majorBidi" w:hAnsiTheme="majorBidi" w:cstheme="majorBidi"/>
              <w:noProof/>
            </w:rPr>
          </w:pPr>
          <w:hyperlink w:anchor="_Toc531103782" w:history="1">
            <w:r w:rsidR="00B745B6" w:rsidRPr="00C235CD">
              <w:rPr>
                <w:rStyle w:val="Hyperlink"/>
                <w:rFonts w:asciiTheme="majorBidi" w:hAnsiTheme="majorBidi" w:cstheme="majorBidi"/>
                <w:noProof/>
                <w:color w:val="auto"/>
              </w:rPr>
              <w:t>5.</w:t>
            </w:r>
            <w:r w:rsidR="00B745B6" w:rsidRPr="00C235CD">
              <w:rPr>
                <w:rFonts w:asciiTheme="majorBidi" w:hAnsiTheme="majorBidi" w:cstheme="majorBidi"/>
                <w:noProof/>
              </w:rPr>
              <w:tab/>
            </w:r>
            <w:r w:rsidR="00B745B6" w:rsidRPr="00C235CD">
              <w:rPr>
                <w:rStyle w:val="Hyperlink"/>
                <w:rFonts w:asciiTheme="majorBidi" w:hAnsiTheme="majorBidi" w:cstheme="majorBidi"/>
                <w:noProof/>
                <w:color w:val="auto"/>
              </w:rPr>
              <w:t>Experiences of other organizations regarding cooperation arrangements with non-state actors</w:t>
            </w:r>
            <w:r w:rsidR="00B745B6" w:rsidRPr="00C235CD">
              <w:rPr>
                <w:rFonts w:asciiTheme="majorBidi" w:hAnsiTheme="majorBidi" w:cstheme="majorBidi"/>
                <w:noProof/>
                <w:webHidden/>
              </w:rPr>
              <w:tab/>
            </w:r>
            <w:r w:rsidR="00B745B6" w:rsidRPr="00C235CD">
              <w:rPr>
                <w:rFonts w:asciiTheme="majorBidi" w:hAnsiTheme="majorBidi" w:cstheme="majorBidi"/>
                <w:noProof/>
                <w:webHidden/>
              </w:rPr>
              <w:fldChar w:fldCharType="begin"/>
            </w:r>
            <w:r w:rsidR="00B745B6" w:rsidRPr="00C235CD">
              <w:rPr>
                <w:rFonts w:asciiTheme="majorBidi" w:hAnsiTheme="majorBidi" w:cstheme="majorBidi"/>
                <w:noProof/>
                <w:webHidden/>
              </w:rPr>
              <w:instrText xml:space="preserve"> PAGEREF _Toc531103782 \h </w:instrText>
            </w:r>
            <w:r w:rsidR="00B745B6" w:rsidRPr="00C235CD">
              <w:rPr>
                <w:rFonts w:asciiTheme="majorBidi" w:hAnsiTheme="majorBidi" w:cstheme="majorBidi"/>
                <w:noProof/>
                <w:webHidden/>
              </w:rPr>
            </w:r>
            <w:r w:rsidR="00B745B6" w:rsidRPr="00C235CD">
              <w:rPr>
                <w:rFonts w:asciiTheme="majorBidi" w:hAnsiTheme="majorBidi" w:cstheme="majorBidi"/>
                <w:noProof/>
                <w:webHidden/>
              </w:rPr>
              <w:fldChar w:fldCharType="separate"/>
            </w:r>
            <w:r w:rsidR="00C235CD">
              <w:rPr>
                <w:rFonts w:asciiTheme="majorBidi" w:hAnsiTheme="majorBidi" w:cstheme="majorBidi"/>
                <w:noProof/>
                <w:webHidden/>
              </w:rPr>
              <w:t>14</w:t>
            </w:r>
            <w:r w:rsidR="00B745B6" w:rsidRPr="00C235CD">
              <w:rPr>
                <w:rFonts w:asciiTheme="majorBidi" w:hAnsiTheme="majorBidi" w:cstheme="majorBidi"/>
                <w:noProof/>
                <w:webHidden/>
              </w:rPr>
              <w:fldChar w:fldCharType="end"/>
            </w:r>
          </w:hyperlink>
        </w:p>
        <w:p w14:paraId="09EA35EA" w14:textId="351F7276" w:rsidR="00B745B6" w:rsidRPr="00C235CD" w:rsidRDefault="003B5836" w:rsidP="00C235CD">
          <w:pPr>
            <w:pStyle w:val="TOC2"/>
          </w:pPr>
          <w:hyperlink w:anchor="_Toc531103783" w:history="1">
            <w:r w:rsidR="00B745B6" w:rsidRPr="00C235CD">
              <w:rPr>
                <w:rStyle w:val="Hyperlink"/>
                <w:color w:val="auto"/>
              </w:rPr>
              <w:t xml:space="preserve">5.1 </w:t>
            </w:r>
            <w:r w:rsidR="00B745B6" w:rsidRPr="00C235CD">
              <w:tab/>
            </w:r>
            <w:r w:rsidR="00B745B6" w:rsidRPr="00C235CD">
              <w:rPr>
                <w:rStyle w:val="Hyperlink"/>
                <w:color w:val="auto"/>
              </w:rPr>
              <w:t>Types of partnerships and role of partners</w:t>
            </w:r>
            <w:r w:rsidR="00B745B6" w:rsidRPr="00C235CD">
              <w:rPr>
                <w:webHidden/>
              </w:rPr>
              <w:tab/>
            </w:r>
            <w:r w:rsidR="00B745B6" w:rsidRPr="00C235CD">
              <w:rPr>
                <w:webHidden/>
              </w:rPr>
              <w:fldChar w:fldCharType="begin"/>
            </w:r>
            <w:r w:rsidR="00B745B6" w:rsidRPr="00C235CD">
              <w:rPr>
                <w:webHidden/>
              </w:rPr>
              <w:instrText xml:space="preserve"> PAGEREF _Toc531103783 \h </w:instrText>
            </w:r>
            <w:r w:rsidR="00B745B6" w:rsidRPr="00C235CD">
              <w:rPr>
                <w:webHidden/>
              </w:rPr>
            </w:r>
            <w:r w:rsidR="00B745B6" w:rsidRPr="00C235CD">
              <w:rPr>
                <w:webHidden/>
              </w:rPr>
              <w:fldChar w:fldCharType="separate"/>
            </w:r>
            <w:r w:rsidR="00C235CD">
              <w:rPr>
                <w:webHidden/>
              </w:rPr>
              <w:t>15</w:t>
            </w:r>
            <w:r w:rsidR="00B745B6" w:rsidRPr="00C235CD">
              <w:rPr>
                <w:webHidden/>
              </w:rPr>
              <w:fldChar w:fldCharType="end"/>
            </w:r>
          </w:hyperlink>
        </w:p>
        <w:p w14:paraId="792302DC" w14:textId="61F403CC" w:rsidR="00B745B6" w:rsidRPr="00C235CD" w:rsidRDefault="003B5836" w:rsidP="00C235CD">
          <w:pPr>
            <w:pStyle w:val="TOC2"/>
          </w:pPr>
          <w:hyperlink w:anchor="_Toc531103784" w:history="1">
            <w:r w:rsidR="00B745B6" w:rsidRPr="00C235CD">
              <w:rPr>
                <w:rStyle w:val="Hyperlink"/>
                <w:color w:val="auto"/>
              </w:rPr>
              <w:t xml:space="preserve">5.2 </w:t>
            </w:r>
            <w:r w:rsidR="00B745B6" w:rsidRPr="00C235CD">
              <w:tab/>
            </w:r>
            <w:r w:rsidR="00B745B6" w:rsidRPr="00C235CD">
              <w:rPr>
                <w:rStyle w:val="Hyperlink"/>
                <w:color w:val="auto"/>
              </w:rPr>
              <w:t>Framework, strategy or principles governing partnerships and other cooperation arrangements</w:t>
            </w:r>
            <w:r w:rsidR="00B745B6" w:rsidRPr="00C235CD">
              <w:rPr>
                <w:webHidden/>
              </w:rPr>
              <w:tab/>
            </w:r>
            <w:r w:rsidR="00B745B6" w:rsidRPr="00C235CD">
              <w:rPr>
                <w:webHidden/>
              </w:rPr>
              <w:fldChar w:fldCharType="begin"/>
            </w:r>
            <w:r w:rsidR="00B745B6" w:rsidRPr="00C235CD">
              <w:rPr>
                <w:webHidden/>
              </w:rPr>
              <w:instrText xml:space="preserve"> PAGEREF _Toc531103784 \h </w:instrText>
            </w:r>
            <w:r w:rsidR="00B745B6" w:rsidRPr="00C235CD">
              <w:rPr>
                <w:webHidden/>
              </w:rPr>
            </w:r>
            <w:r w:rsidR="00B745B6" w:rsidRPr="00C235CD">
              <w:rPr>
                <w:webHidden/>
              </w:rPr>
              <w:fldChar w:fldCharType="separate"/>
            </w:r>
            <w:r w:rsidR="00C235CD">
              <w:rPr>
                <w:webHidden/>
              </w:rPr>
              <w:t>16</w:t>
            </w:r>
            <w:r w:rsidR="00B745B6" w:rsidRPr="00C235CD">
              <w:rPr>
                <w:webHidden/>
              </w:rPr>
              <w:fldChar w:fldCharType="end"/>
            </w:r>
          </w:hyperlink>
        </w:p>
        <w:p w14:paraId="4F319C3F" w14:textId="52013697" w:rsidR="00B745B6" w:rsidRPr="00C235CD" w:rsidRDefault="003B5836" w:rsidP="00C235CD">
          <w:pPr>
            <w:pStyle w:val="TOC2"/>
          </w:pPr>
          <w:hyperlink w:anchor="_Toc531103785" w:history="1">
            <w:r w:rsidR="00B745B6" w:rsidRPr="00C235CD">
              <w:rPr>
                <w:rStyle w:val="Hyperlink"/>
                <w:color w:val="auto"/>
              </w:rPr>
              <w:t xml:space="preserve">5.3 </w:t>
            </w:r>
            <w:r w:rsidR="00B745B6" w:rsidRPr="00C235CD">
              <w:tab/>
            </w:r>
            <w:r w:rsidR="00B745B6" w:rsidRPr="00C235CD">
              <w:rPr>
                <w:rStyle w:val="Hyperlink"/>
                <w:color w:val="auto"/>
              </w:rPr>
              <w:t>Definition of risks and mitigation measures</w:t>
            </w:r>
            <w:r w:rsidR="00B745B6" w:rsidRPr="00C235CD">
              <w:rPr>
                <w:webHidden/>
              </w:rPr>
              <w:tab/>
            </w:r>
            <w:r w:rsidR="00B745B6" w:rsidRPr="00C235CD">
              <w:rPr>
                <w:webHidden/>
              </w:rPr>
              <w:fldChar w:fldCharType="begin"/>
            </w:r>
            <w:r w:rsidR="00B745B6" w:rsidRPr="00C235CD">
              <w:rPr>
                <w:webHidden/>
              </w:rPr>
              <w:instrText xml:space="preserve"> PAGEREF _Toc531103785 \h </w:instrText>
            </w:r>
            <w:r w:rsidR="00B745B6" w:rsidRPr="00C235CD">
              <w:rPr>
                <w:webHidden/>
              </w:rPr>
            </w:r>
            <w:r w:rsidR="00B745B6" w:rsidRPr="00C235CD">
              <w:rPr>
                <w:webHidden/>
              </w:rPr>
              <w:fldChar w:fldCharType="separate"/>
            </w:r>
            <w:r w:rsidR="00C235CD">
              <w:rPr>
                <w:webHidden/>
              </w:rPr>
              <w:t>16</w:t>
            </w:r>
            <w:r w:rsidR="00B745B6" w:rsidRPr="00C235CD">
              <w:rPr>
                <w:webHidden/>
              </w:rPr>
              <w:fldChar w:fldCharType="end"/>
            </w:r>
          </w:hyperlink>
        </w:p>
        <w:p w14:paraId="3D43ED23" w14:textId="6337571E" w:rsidR="00B745B6" w:rsidRPr="00C235CD" w:rsidRDefault="003B5836" w:rsidP="00C235CD">
          <w:pPr>
            <w:pStyle w:val="TOC2"/>
          </w:pPr>
          <w:hyperlink w:anchor="_Toc531103786" w:history="1">
            <w:r w:rsidR="00B745B6" w:rsidRPr="00C235CD">
              <w:rPr>
                <w:rStyle w:val="Hyperlink"/>
                <w:color w:val="auto"/>
              </w:rPr>
              <w:t>5.4</w:t>
            </w:r>
            <w:r w:rsidR="00B745B6" w:rsidRPr="00C235CD">
              <w:tab/>
            </w:r>
            <w:r w:rsidR="00B745B6" w:rsidRPr="00C235CD">
              <w:rPr>
                <w:rStyle w:val="Hyperlink"/>
                <w:color w:val="auto"/>
              </w:rPr>
              <w:t xml:space="preserve"> Governance structure and mandate: establishment and oversight</w:t>
            </w:r>
            <w:r w:rsidR="00B745B6" w:rsidRPr="00C235CD">
              <w:rPr>
                <w:webHidden/>
              </w:rPr>
              <w:tab/>
            </w:r>
            <w:r w:rsidR="00B745B6" w:rsidRPr="00C235CD">
              <w:rPr>
                <w:webHidden/>
              </w:rPr>
              <w:fldChar w:fldCharType="begin"/>
            </w:r>
            <w:r w:rsidR="00B745B6" w:rsidRPr="00C235CD">
              <w:rPr>
                <w:webHidden/>
              </w:rPr>
              <w:instrText xml:space="preserve"> PAGEREF _Toc531103786 \h </w:instrText>
            </w:r>
            <w:r w:rsidR="00B745B6" w:rsidRPr="00C235CD">
              <w:rPr>
                <w:webHidden/>
              </w:rPr>
            </w:r>
            <w:r w:rsidR="00B745B6" w:rsidRPr="00C235CD">
              <w:rPr>
                <w:webHidden/>
              </w:rPr>
              <w:fldChar w:fldCharType="separate"/>
            </w:r>
            <w:r w:rsidR="00C235CD">
              <w:rPr>
                <w:webHidden/>
              </w:rPr>
              <w:t>17</w:t>
            </w:r>
            <w:r w:rsidR="00B745B6" w:rsidRPr="00C235CD">
              <w:rPr>
                <w:webHidden/>
              </w:rPr>
              <w:fldChar w:fldCharType="end"/>
            </w:r>
          </w:hyperlink>
        </w:p>
        <w:p w14:paraId="71ED1FCB" w14:textId="490A46A7" w:rsidR="00B745B6" w:rsidRPr="00C235CD" w:rsidRDefault="003B5836" w:rsidP="00C235CD">
          <w:pPr>
            <w:pStyle w:val="TOC2"/>
          </w:pPr>
          <w:hyperlink w:anchor="_Toc531103787" w:history="1">
            <w:r w:rsidR="00B745B6" w:rsidRPr="00C235CD">
              <w:rPr>
                <w:rStyle w:val="Hyperlink"/>
                <w:color w:val="auto"/>
              </w:rPr>
              <w:t xml:space="preserve">5.5 </w:t>
            </w:r>
            <w:r w:rsidR="00B745B6" w:rsidRPr="00C235CD">
              <w:tab/>
            </w:r>
            <w:r w:rsidR="00B745B6" w:rsidRPr="00C235CD">
              <w:rPr>
                <w:rStyle w:val="Hyperlink"/>
                <w:color w:val="auto"/>
              </w:rPr>
              <w:t>Formal agreement between partners</w:t>
            </w:r>
            <w:r w:rsidR="00B745B6" w:rsidRPr="00C235CD">
              <w:rPr>
                <w:webHidden/>
              </w:rPr>
              <w:tab/>
            </w:r>
            <w:r w:rsidR="00B745B6" w:rsidRPr="00C235CD">
              <w:rPr>
                <w:webHidden/>
              </w:rPr>
              <w:fldChar w:fldCharType="begin"/>
            </w:r>
            <w:r w:rsidR="00B745B6" w:rsidRPr="00C235CD">
              <w:rPr>
                <w:webHidden/>
              </w:rPr>
              <w:instrText xml:space="preserve"> PAGEREF _Toc531103787 \h </w:instrText>
            </w:r>
            <w:r w:rsidR="00B745B6" w:rsidRPr="00C235CD">
              <w:rPr>
                <w:webHidden/>
              </w:rPr>
            </w:r>
            <w:r w:rsidR="00B745B6" w:rsidRPr="00C235CD">
              <w:rPr>
                <w:webHidden/>
              </w:rPr>
              <w:fldChar w:fldCharType="separate"/>
            </w:r>
            <w:r w:rsidR="00C235CD">
              <w:rPr>
                <w:webHidden/>
              </w:rPr>
              <w:t>18</w:t>
            </w:r>
            <w:r w:rsidR="00B745B6" w:rsidRPr="00C235CD">
              <w:rPr>
                <w:webHidden/>
              </w:rPr>
              <w:fldChar w:fldCharType="end"/>
            </w:r>
          </w:hyperlink>
        </w:p>
        <w:p w14:paraId="30E9A4E9" w14:textId="00FC94C9" w:rsidR="00B745B6" w:rsidRPr="00C235CD" w:rsidRDefault="003B5836">
          <w:pPr>
            <w:pStyle w:val="TOC1"/>
            <w:tabs>
              <w:tab w:val="left" w:pos="440"/>
              <w:tab w:val="right" w:leader="dot" w:pos="9062"/>
            </w:tabs>
            <w:rPr>
              <w:rFonts w:asciiTheme="majorBidi" w:hAnsiTheme="majorBidi" w:cstheme="majorBidi"/>
              <w:noProof/>
            </w:rPr>
          </w:pPr>
          <w:hyperlink w:anchor="_Toc531103788" w:history="1">
            <w:r w:rsidR="00B745B6" w:rsidRPr="00C235CD">
              <w:rPr>
                <w:rStyle w:val="Hyperlink"/>
                <w:rFonts w:asciiTheme="majorBidi" w:hAnsiTheme="majorBidi" w:cstheme="majorBidi"/>
                <w:noProof/>
                <w:color w:val="auto"/>
              </w:rPr>
              <w:t>6.</w:t>
            </w:r>
            <w:r w:rsidR="00B745B6" w:rsidRPr="00C235CD">
              <w:rPr>
                <w:rFonts w:asciiTheme="majorBidi" w:hAnsiTheme="majorBidi" w:cstheme="majorBidi"/>
                <w:noProof/>
              </w:rPr>
              <w:tab/>
            </w:r>
            <w:r w:rsidR="00B745B6" w:rsidRPr="00C235CD">
              <w:rPr>
                <w:rStyle w:val="Hyperlink"/>
                <w:rFonts w:asciiTheme="majorBidi" w:hAnsiTheme="majorBidi" w:cstheme="majorBidi"/>
                <w:noProof/>
                <w:color w:val="auto"/>
              </w:rPr>
              <w:t>Conclusions and recommendations</w:t>
            </w:r>
            <w:r w:rsidR="00B745B6" w:rsidRPr="00C235CD">
              <w:rPr>
                <w:rFonts w:asciiTheme="majorBidi" w:hAnsiTheme="majorBidi" w:cstheme="majorBidi"/>
                <w:noProof/>
                <w:webHidden/>
              </w:rPr>
              <w:tab/>
            </w:r>
            <w:r w:rsidR="00B745B6" w:rsidRPr="00C235CD">
              <w:rPr>
                <w:rFonts w:asciiTheme="majorBidi" w:hAnsiTheme="majorBidi" w:cstheme="majorBidi"/>
                <w:noProof/>
                <w:webHidden/>
              </w:rPr>
              <w:fldChar w:fldCharType="begin"/>
            </w:r>
            <w:r w:rsidR="00B745B6" w:rsidRPr="00C235CD">
              <w:rPr>
                <w:rFonts w:asciiTheme="majorBidi" w:hAnsiTheme="majorBidi" w:cstheme="majorBidi"/>
                <w:noProof/>
                <w:webHidden/>
              </w:rPr>
              <w:instrText xml:space="preserve"> PAGEREF _Toc531103788 \h </w:instrText>
            </w:r>
            <w:r w:rsidR="00B745B6" w:rsidRPr="00C235CD">
              <w:rPr>
                <w:rFonts w:asciiTheme="majorBidi" w:hAnsiTheme="majorBidi" w:cstheme="majorBidi"/>
                <w:noProof/>
                <w:webHidden/>
              </w:rPr>
            </w:r>
            <w:r w:rsidR="00B745B6" w:rsidRPr="00C235CD">
              <w:rPr>
                <w:rFonts w:asciiTheme="majorBidi" w:hAnsiTheme="majorBidi" w:cstheme="majorBidi"/>
                <w:noProof/>
                <w:webHidden/>
              </w:rPr>
              <w:fldChar w:fldCharType="separate"/>
            </w:r>
            <w:r w:rsidR="00C235CD">
              <w:rPr>
                <w:rFonts w:asciiTheme="majorBidi" w:hAnsiTheme="majorBidi" w:cstheme="majorBidi"/>
                <w:noProof/>
                <w:webHidden/>
              </w:rPr>
              <w:t>19</w:t>
            </w:r>
            <w:r w:rsidR="00B745B6" w:rsidRPr="00C235CD">
              <w:rPr>
                <w:rFonts w:asciiTheme="majorBidi" w:hAnsiTheme="majorBidi" w:cstheme="majorBidi"/>
                <w:noProof/>
                <w:webHidden/>
              </w:rPr>
              <w:fldChar w:fldCharType="end"/>
            </w:r>
          </w:hyperlink>
        </w:p>
        <w:p w14:paraId="0E68435B" w14:textId="43D0E938" w:rsidR="00B745B6" w:rsidRPr="00C235CD" w:rsidRDefault="003B5836" w:rsidP="00C235CD">
          <w:pPr>
            <w:pStyle w:val="TOC2"/>
          </w:pPr>
          <w:hyperlink w:anchor="_Toc531103789" w:history="1">
            <w:r w:rsidR="00B745B6" w:rsidRPr="00C235CD">
              <w:rPr>
                <w:rStyle w:val="Hyperlink"/>
                <w:color w:val="auto"/>
              </w:rPr>
              <w:t xml:space="preserve">6.1 </w:t>
            </w:r>
            <w:r w:rsidR="00B745B6" w:rsidRPr="00C235CD">
              <w:tab/>
            </w:r>
            <w:r w:rsidR="00B745B6" w:rsidRPr="00C235CD">
              <w:rPr>
                <w:rStyle w:val="Hyperlink"/>
                <w:color w:val="auto"/>
              </w:rPr>
              <w:t>Recommendations on the development of the Basel Convention global multi-stakeholder Partnerships (“Partnerships”)</w:t>
            </w:r>
            <w:r w:rsidR="00B745B6" w:rsidRPr="00C235CD">
              <w:rPr>
                <w:webHidden/>
              </w:rPr>
              <w:tab/>
            </w:r>
            <w:r w:rsidR="00B745B6" w:rsidRPr="00C235CD">
              <w:rPr>
                <w:webHidden/>
              </w:rPr>
              <w:fldChar w:fldCharType="begin"/>
            </w:r>
            <w:r w:rsidR="00B745B6" w:rsidRPr="00C235CD">
              <w:rPr>
                <w:webHidden/>
              </w:rPr>
              <w:instrText xml:space="preserve"> PAGEREF _Toc531103789 \h </w:instrText>
            </w:r>
            <w:r w:rsidR="00B745B6" w:rsidRPr="00C235CD">
              <w:rPr>
                <w:webHidden/>
              </w:rPr>
            </w:r>
            <w:r w:rsidR="00B745B6" w:rsidRPr="00C235CD">
              <w:rPr>
                <w:webHidden/>
              </w:rPr>
              <w:fldChar w:fldCharType="separate"/>
            </w:r>
            <w:r w:rsidR="00C235CD">
              <w:rPr>
                <w:webHidden/>
              </w:rPr>
              <w:t>19</w:t>
            </w:r>
            <w:r w:rsidR="00B745B6" w:rsidRPr="00C235CD">
              <w:rPr>
                <w:webHidden/>
              </w:rPr>
              <w:fldChar w:fldCharType="end"/>
            </w:r>
          </w:hyperlink>
        </w:p>
        <w:p w14:paraId="50ECC330" w14:textId="7971DE9E" w:rsidR="00B745B6" w:rsidRPr="00C235CD" w:rsidRDefault="003B5836" w:rsidP="00C235CD">
          <w:pPr>
            <w:pStyle w:val="TOC2"/>
          </w:pPr>
          <w:hyperlink w:anchor="_Toc531103790" w:history="1">
            <w:r w:rsidR="00B745B6" w:rsidRPr="00C235CD">
              <w:rPr>
                <w:rStyle w:val="Hyperlink"/>
                <w:color w:val="auto"/>
              </w:rPr>
              <w:t xml:space="preserve">6.2 </w:t>
            </w:r>
            <w:r w:rsidR="00B745B6" w:rsidRPr="00C235CD">
              <w:tab/>
            </w:r>
            <w:r w:rsidR="00B745B6" w:rsidRPr="00C235CD">
              <w:rPr>
                <w:rStyle w:val="Hyperlink"/>
                <w:color w:val="auto"/>
              </w:rPr>
              <w:t>Recommendations on the development of the Secretariat involvement in partnerships (“partnerships”)</w:t>
            </w:r>
            <w:r w:rsidR="00B745B6" w:rsidRPr="00C235CD">
              <w:rPr>
                <w:webHidden/>
              </w:rPr>
              <w:tab/>
            </w:r>
            <w:r w:rsidR="00B745B6" w:rsidRPr="00C235CD">
              <w:rPr>
                <w:webHidden/>
              </w:rPr>
              <w:fldChar w:fldCharType="begin"/>
            </w:r>
            <w:r w:rsidR="00B745B6" w:rsidRPr="00C235CD">
              <w:rPr>
                <w:webHidden/>
              </w:rPr>
              <w:instrText xml:space="preserve"> PAGEREF _Toc531103790 \h </w:instrText>
            </w:r>
            <w:r w:rsidR="00B745B6" w:rsidRPr="00C235CD">
              <w:rPr>
                <w:webHidden/>
              </w:rPr>
            </w:r>
            <w:r w:rsidR="00B745B6" w:rsidRPr="00C235CD">
              <w:rPr>
                <w:webHidden/>
              </w:rPr>
              <w:fldChar w:fldCharType="separate"/>
            </w:r>
            <w:r w:rsidR="00C235CD">
              <w:rPr>
                <w:webHidden/>
              </w:rPr>
              <w:t>20</w:t>
            </w:r>
            <w:r w:rsidR="00B745B6" w:rsidRPr="00C235CD">
              <w:rPr>
                <w:webHidden/>
              </w:rPr>
              <w:fldChar w:fldCharType="end"/>
            </w:r>
          </w:hyperlink>
        </w:p>
        <w:p w14:paraId="56EF34FA" w14:textId="5F1A6571" w:rsidR="00357C38" w:rsidRPr="00CC3404" w:rsidRDefault="00357C38" w:rsidP="00AB64DD">
          <w:pPr>
            <w:rPr>
              <w:noProof/>
            </w:rPr>
          </w:pPr>
          <w:r w:rsidRPr="00CC3404">
            <w:rPr>
              <w:noProof/>
            </w:rPr>
            <w:fldChar w:fldCharType="end"/>
          </w:r>
          <w:r w:rsidRPr="00CC3404">
            <w:rPr>
              <w:noProof/>
            </w:rPr>
            <w:br w:type="page"/>
          </w:r>
        </w:p>
      </w:sdtContent>
    </w:sdt>
    <w:p w14:paraId="087A5857" w14:textId="2C6C593A" w:rsidR="00BE4647" w:rsidRPr="003724EF" w:rsidRDefault="00BE4647" w:rsidP="00AB64DD">
      <w:pPr>
        <w:pStyle w:val="Heading1"/>
        <w:rPr>
          <w:rFonts w:ascii="Times New Roman" w:hAnsi="Times New Roman" w:cs="Times New Roman"/>
          <w:b/>
          <w:bCs/>
          <w:color w:val="auto"/>
        </w:rPr>
      </w:pPr>
      <w:bookmarkStart w:id="1" w:name="_Toc531103762"/>
      <w:r w:rsidRPr="003724EF">
        <w:rPr>
          <w:rFonts w:ascii="Times New Roman" w:hAnsi="Times New Roman" w:cs="Times New Roman"/>
          <w:b/>
          <w:bCs/>
          <w:color w:val="auto"/>
        </w:rPr>
        <w:lastRenderedPageBreak/>
        <w:t>Executive Summary</w:t>
      </w:r>
      <w:bookmarkEnd w:id="1"/>
    </w:p>
    <w:p w14:paraId="405AF50D" w14:textId="2A29C5D1" w:rsidR="00105579" w:rsidRPr="00CC3404" w:rsidRDefault="005D6FF2" w:rsidP="00AB64DD">
      <w:pPr>
        <w:spacing w:before="120"/>
        <w:jc w:val="both"/>
        <w:rPr>
          <w:rFonts w:ascii="Times New Roman" w:hAnsi="Times New Roman" w:cs="Times New Roman"/>
        </w:rPr>
      </w:pPr>
      <w:r w:rsidRPr="00CC3404">
        <w:rPr>
          <w:rFonts w:ascii="Times New Roman" w:hAnsi="Times New Roman" w:cs="Times New Roman"/>
        </w:rPr>
        <w:t xml:space="preserve">Prepared in </w:t>
      </w:r>
      <w:r w:rsidR="00BE4647" w:rsidRPr="00CC3404">
        <w:rPr>
          <w:rFonts w:ascii="Times New Roman" w:hAnsi="Times New Roman" w:cs="Times New Roman"/>
        </w:rPr>
        <w:t>in response to Decision OEWG-11/13 on the Basel Partnership Programme</w:t>
      </w:r>
      <w:r w:rsidRPr="00CC3404">
        <w:rPr>
          <w:rFonts w:ascii="Times New Roman" w:hAnsi="Times New Roman" w:cs="Times New Roman"/>
        </w:rPr>
        <w:t xml:space="preserve">, this report </w:t>
      </w:r>
      <w:r w:rsidR="003B2BF8" w:rsidRPr="00CC3404">
        <w:rPr>
          <w:rFonts w:ascii="Times New Roman" w:hAnsi="Times New Roman" w:cs="Times New Roman"/>
        </w:rPr>
        <w:t>examines experiences with partnership activities under the Basel Convention and in the wider UN system, with the objective of identifying lessons learned and on this basis setting out conclusions and recommendations for consideration by the C</w:t>
      </w:r>
      <w:r w:rsidR="00B803CB" w:rsidRPr="00CC3404">
        <w:rPr>
          <w:rFonts w:ascii="Times New Roman" w:hAnsi="Times New Roman" w:cs="Times New Roman"/>
        </w:rPr>
        <w:t>onference of the Parties</w:t>
      </w:r>
      <w:r w:rsidR="00473691" w:rsidRPr="00CC3404">
        <w:rPr>
          <w:rFonts w:ascii="Times New Roman" w:hAnsi="Times New Roman" w:cs="Times New Roman"/>
        </w:rPr>
        <w:t xml:space="preserve"> at its fourteenth meeting</w:t>
      </w:r>
      <w:r w:rsidR="003B2BF8" w:rsidRPr="00CC3404">
        <w:rPr>
          <w:rFonts w:ascii="Times New Roman" w:hAnsi="Times New Roman" w:cs="Times New Roman"/>
        </w:rPr>
        <w:t>. I</w:t>
      </w:r>
      <w:r w:rsidR="00BE4647" w:rsidRPr="00CC3404">
        <w:rPr>
          <w:rFonts w:ascii="Times New Roman" w:hAnsi="Times New Roman" w:cs="Times New Roman"/>
        </w:rPr>
        <w:t xml:space="preserve">t first </w:t>
      </w:r>
      <w:r w:rsidR="003B2BF8" w:rsidRPr="00CC3404">
        <w:rPr>
          <w:rFonts w:ascii="Times New Roman" w:hAnsi="Times New Roman" w:cs="Times New Roman"/>
        </w:rPr>
        <w:t xml:space="preserve">discusses </w:t>
      </w:r>
      <w:r w:rsidR="00BE4647" w:rsidRPr="00CC3404">
        <w:rPr>
          <w:rFonts w:ascii="Times New Roman" w:hAnsi="Times New Roman" w:cs="Times New Roman"/>
        </w:rPr>
        <w:t xml:space="preserve">the </w:t>
      </w:r>
      <w:r w:rsidR="003B2BF8" w:rsidRPr="00CC3404">
        <w:rPr>
          <w:rFonts w:ascii="Times New Roman" w:hAnsi="Times New Roman" w:cs="Times New Roman"/>
        </w:rPr>
        <w:t xml:space="preserve">Basel </w:t>
      </w:r>
      <w:r w:rsidR="00BE4647" w:rsidRPr="00CC3404">
        <w:rPr>
          <w:rFonts w:ascii="Times New Roman" w:hAnsi="Times New Roman" w:cs="Times New Roman"/>
        </w:rPr>
        <w:t xml:space="preserve">Convention’s Partnership Programme and the </w:t>
      </w:r>
      <w:r w:rsidR="003E1A8C" w:rsidRPr="00CC3404">
        <w:rPr>
          <w:rFonts w:ascii="Times New Roman" w:hAnsi="Times New Roman" w:cs="Times New Roman"/>
        </w:rPr>
        <w:t xml:space="preserve">two </w:t>
      </w:r>
      <w:r w:rsidR="00105579" w:rsidRPr="00CC3404">
        <w:rPr>
          <w:rFonts w:ascii="Times New Roman" w:hAnsi="Times New Roman" w:cs="Times New Roman"/>
        </w:rPr>
        <w:t xml:space="preserve">types of partnership arrangements </w:t>
      </w:r>
      <w:r w:rsidR="003B2BF8" w:rsidRPr="00CC3404">
        <w:rPr>
          <w:rFonts w:ascii="Times New Roman" w:hAnsi="Times New Roman" w:cs="Times New Roman"/>
        </w:rPr>
        <w:t xml:space="preserve">that have emerged under the Convention. This is followed by a brief overview of the </w:t>
      </w:r>
      <w:r w:rsidR="00105579" w:rsidRPr="00CC3404">
        <w:rPr>
          <w:rFonts w:ascii="Times New Roman" w:hAnsi="Times New Roman" w:cs="Times New Roman"/>
        </w:rPr>
        <w:t xml:space="preserve">experience </w:t>
      </w:r>
      <w:r w:rsidR="001B1262" w:rsidRPr="00CC3404">
        <w:rPr>
          <w:rFonts w:ascii="Times New Roman" w:hAnsi="Times New Roman" w:cs="Times New Roman"/>
        </w:rPr>
        <w:t>of</w:t>
      </w:r>
      <w:r w:rsidR="00105579" w:rsidRPr="00CC3404">
        <w:rPr>
          <w:rFonts w:ascii="Times New Roman" w:hAnsi="Times New Roman" w:cs="Times New Roman"/>
        </w:rPr>
        <w:t xml:space="preserve"> the Stockholm Convention</w:t>
      </w:r>
      <w:r w:rsidR="00101D18" w:rsidRPr="00CC3404">
        <w:rPr>
          <w:rFonts w:ascii="Times New Roman" w:hAnsi="Times New Roman" w:cs="Times New Roman"/>
        </w:rPr>
        <w:t xml:space="preserve"> </w:t>
      </w:r>
      <w:r w:rsidR="00473691" w:rsidRPr="00CC3404">
        <w:rPr>
          <w:rFonts w:ascii="Times New Roman" w:hAnsi="Times New Roman" w:cs="Times New Roman"/>
        </w:rPr>
        <w:t xml:space="preserve">on Persistent Organic Pollutants </w:t>
      </w:r>
      <w:r w:rsidR="00101D18" w:rsidRPr="00CC3404">
        <w:rPr>
          <w:rFonts w:ascii="Times New Roman" w:hAnsi="Times New Roman" w:cs="Times New Roman"/>
        </w:rPr>
        <w:t>and the Strategic Approach to Chemicals Management</w:t>
      </w:r>
      <w:r w:rsidR="00473691" w:rsidRPr="00CC3404">
        <w:rPr>
          <w:rFonts w:ascii="Times New Roman" w:hAnsi="Times New Roman" w:cs="Times New Roman"/>
        </w:rPr>
        <w:t xml:space="preserve"> (SAICM)</w:t>
      </w:r>
      <w:r w:rsidR="00101D18" w:rsidRPr="00CC3404">
        <w:rPr>
          <w:rFonts w:ascii="Times New Roman" w:hAnsi="Times New Roman" w:cs="Times New Roman"/>
        </w:rPr>
        <w:t xml:space="preserve">, which are particularly relevant </w:t>
      </w:r>
      <w:r w:rsidR="00B803CB" w:rsidRPr="00CC3404">
        <w:rPr>
          <w:rFonts w:ascii="Times New Roman" w:hAnsi="Times New Roman" w:cs="Times New Roman"/>
        </w:rPr>
        <w:t>for</w:t>
      </w:r>
      <w:r w:rsidR="00101D18" w:rsidRPr="00CC3404">
        <w:rPr>
          <w:rFonts w:ascii="Times New Roman" w:hAnsi="Times New Roman" w:cs="Times New Roman"/>
        </w:rPr>
        <w:t xml:space="preserve"> the Basel Convention.</w:t>
      </w:r>
      <w:r w:rsidR="00105579" w:rsidRPr="00CC3404">
        <w:rPr>
          <w:rFonts w:ascii="Times New Roman" w:hAnsi="Times New Roman" w:cs="Times New Roman"/>
        </w:rPr>
        <w:t xml:space="preserve"> Turning to the wider UN system, </w:t>
      </w:r>
      <w:r w:rsidR="003B2BF8" w:rsidRPr="00CC3404">
        <w:rPr>
          <w:rFonts w:ascii="Times New Roman" w:hAnsi="Times New Roman" w:cs="Times New Roman"/>
        </w:rPr>
        <w:t xml:space="preserve">the report </w:t>
      </w:r>
      <w:r w:rsidR="00101D18" w:rsidRPr="00CC3404">
        <w:rPr>
          <w:rFonts w:ascii="Times New Roman" w:hAnsi="Times New Roman" w:cs="Times New Roman"/>
        </w:rPr>
        <w:t xml:space="preserve">then </w:t>
      </w:r>
      <w:r w:rsidR="003B2BF8" w:rsidRPr="00CC3404">
        <w:rPr>
          <w:rFonts w:ascii="Times New Roman" w:hAnsi="Times New Roman" w:cs="Times New Roman"/>
        </w:rPr>
        <w:t>examines</w:t>
      </w:r>
      <w:r w:rsidR="00105579" w:rsidRPr="00CC3404">
        <w:rPr>
          <w:rFonts w:ascii="Times New Roman" w:hAnsi="Times New Roman" w:cs="Times New Roman"/>
        </w:rPr>
        <w:t xml:space="preserve"> the definitions and</w:t>
      </w:r>
      <w:r w:rsidR="00991923" w:rsidRPr="00CC3404">
        <w:rPr>
          <w:rFonts w:ascii="Times New Roman" w:hAnsi="Times New Roman" w:cs="Times New Roman"/>
        </w:rPr>
        <w:t xml:space="preserve"> </w:t>
      </w:r>
      <w:r w:rsidR="00105579" w:rsidRPr="00CC3404">
        <w:rPr>
          <w:rFonts w:ascii="Times New Roman" w:hAnsi="Times New Roman" w:cs="Times New Roman"/>
        </w:rPr>
        <w:t>guidance related to partnership arrangements</w:t>
      </w:r>
      <w:r w:rsidR="003B2BF8" w:rsidRPr="00CC3404">
        <w:rPr>
          <w:rFonts w:ascii="Times New Roman" w:hAnsi="Times New Roman" w:cs="Times New Roman"/>
        </w:rPr>
        <w:t xml:space="preserve"> that have been</w:t>
      </w:r>
      <w:r w:rsidR="00105579" w:rsidRPr="00CC3404">
        <w:rPr>
          <w:rFonts w:ascii="Times New Roman" w:hAnsi="Times New Roman" w:cs="Times New Roman"/>
        </w:rPr>
        <w:t xml:space="preserve"> adopted by the UN General Assembly and other UN </w:t>
      </w:r>
      <w:r w:rsidR="00991923" w:rsidRPr="00CC3404">
        <w:rPr>
          <w:rFonts w:ascii="Times New Roman" w:hAnsi="Times New Roman" w:cs="Times New Roman"/>
        </w:rPr>
        <w:t>entities</w:t>
      </w:r>
      <w:r w:rsidR="00105579" w:rsidRPr="00CC3404">
        <w:rPr>
          <w:rFonts w:ascii="Times New Roman" w:hAnsi="Times New Roman" w:cs="Times New Roman"/>
        </w:rPr>
        <w:t>, including on the management of the risks inherent in cooperation with non-state actors.</w:t>
      </w:r>
      <w:r w:rsidR="00B803CB" w:rsidRPr="00CC3404">
        <w:rPr>
          <w:rFonts w:ascii="Times New Roman" w:hAnsi="Times New Roman" w:cs="Times New Roman"/>
        </w:rPr>
        <w:t xml:space="preserve"> The report discusses the key features and experiences of partnership arrangements within the UN system where this has been found to be </w:t>
      </w:r>
      <w:r w:rsidR="00473691" w:rsidRPr="00CC3404">
        <w:rPr>
          <w:rFonts w:ascii="Times New Roman" w:hAnsi="Times New Roman" w:cs="Times New Roman"/>
        </w:rPr>
        <w:t>relevant to further developing partnerships under the Basel Convention</w:t>
      </w:r>
      <w:r w:rsidR="00B803CB" w:rsidRPr="00CC3404">
        <w:rPr>
          <w:rFonts w:ascii="Times New Roman" w:hAnsi="Times New Roman" w:cs="Times New Roman"/>
        </w:rPr>
        <w:t xml:space="preserve">.  </w:t>
      </w:r>
      <w:r w:rsidR="00101D18" w:rsidRPr="00CC3404">
        <w:rPr>
          <w:rFonts w:ascii="Times New Roman" w:hAnsi="Times New Roman" w:cs="Times New Roman"/>
        </w:rPr>
        <w:t xml:space="preserve">In particular, few organizations distinguish between multi-stakeholder Partnerships </w:t>
      </w:r>
      <w:r w:rsidR="00A803EC" w:rsidRPr="00CC3404">
        <w:rPr>
          <w:rFonts w:ascii="Times New Roman" w:hAnsi="Times New Roman" w:cs="Times New Roman"/>
        </w:rPr>
        <w:t>established by their governing bodies in which the secretariat has the facilitating role, and partnerships led by other organizations in which the secretariat participates</w:t>
      </w:r>
      <w:r w:rsidR="008D317B" w:rsidRPr="00CC3404">
        <w:rPr>
          <w:rFonts w:ascii="Times New Roman" w:hAnsi="Times New Roman" w:cs="Times New Roman"/>
        </w:rPr>
        <w:t>, but some partnerships feature elements of both types</w:t>
      </w:r>
      <w:r w:rsidR="00A803EC" w:rsidRPr="00CC3404">
        <w:rPr>
          <w:rFonts w:ascii="Times New Roman" w:hAnsi="Times New Roman" w:cs="Times New Roman"/>
        </w:rPr>
        <w:t xml:space="preserve">. </w:t>
      </w:r>
      <w:r w:rsidR="001B1262" w:rsidRPr="00CC3404">
        <w:rPr>
          <w:rFonts w:ascii="Times New Roman" w:hAnsi="Times New Roman" w:cs="Times New Roman"/>
        </w:rPr>
        <w:t xml:space="preserve">Based on this analysis, the report </w:t>
      </w:r>
      <w:r w:rsidR="00704D07" w:rsidRPr="00CC3404">
        <w:rPr>
          <w:rFonts w:ascii="Times New Roman" w:hAnsi="Times New Roman" w:cs="Times New Roman"/>
        </w:rPr>
        <w:t xml:space="preserve">sets out </w:t>
      </w:r>
      <w:r w:rsidR="001B1262" w:rsidRPr="00CC3404">
        <w:rPr>
          <w:rFonts w:ascii="Times New Roman" w:hAnsi="Times New Roman" w:cs="Times New Roman"/>
        </w:rPr>
        <w:t xml:space="preserve">conclusions and recommendations for the further development of the </w:t>
      </w:r>
      <w:r w:rsidR="00473691" w:rsidRPr="00CC3404">
        <w:rPr>
          <w:rFonts w:ascii="Times New Roman" w:hAnsi="Times New Roman" w:cs="Times New Roman"/>
        </w:rPr>
        <w:t>p</w:t>
      </w:r>
      <w:r w:rsidR="001B1262" w:rsidRPr="00CC3404">
        <w:rPr>
          <w:rFonts w:ascii="Times New Roman" w:hAnsi="Times New Roman" w:cs="Times New Roman"/>
        </w:rPr>
        <w:t>artnership</w:t>
      </w:r>
      <w:r w:rsidR="00473691" w:rsidRPr="00CC3404">
        <w:rPr>
          <w:rFonts w:ascii="Times New Roman" w:hAnsi="Times New Roman" w:cs="Times New Roman"/>
        </w:rPr>
        <w:t>s</w:t>
      </w:r>
      <w:r w:rsidR="001B1262" w:rsidRPr="00CC3404">
        <w:rPr>
          <w:rFonts w:ascii="Times New Roman" w:hAnsi="Times New Roman" w:cs="Times New Roman"/>
        </w:rPr>
        <w:t xml:space="preserve"> under the Basel Convention.   </w:t>
      </w:r>
    </w:p>
    <w:p w14:paraId="7023E75D" w14:textId="3602B1CD" w:rsidR="005F44BC" w:rsidRPr="003724EF" w:rsidRDefault="005F44BC" w:rsidP="00CC3404">
      <w:pPr>
        <w:pStyle w:val="Heading1"/>
        <w:numPr>
          <w:ilvl w:val="0"/>
          <w:numId w:val="3"/>
        </w:numPr>
        <w:spacing w:after="240"/>
        <w:ind w:left="0" w:firstLine="0"/>
        <w:rPr>
          <w:rFonts w:ascii="Times New Roman" w:hAnsi="Times New Roman" w:cs="Times New Roman"/>
          <w:b/>
          <w:bCs/>
          <w:color w:val="auto"/>
        </w:rPr>
      </w:pPr>
      <w:bookmarkStart w:id="2" w:name="_Toc531103763"/>
      <w:r w:rsidRPr="003724EF">
        <w:rPr>
          <w:rFonts w:ascii="Times New Roman" w:hAnsi="Times New Roman" w:cs="Times New Roman"/>
          <w:b/>
          <w:bCs/>
          <w:color w:val="auto"/>
        </w:rPr>
        <w:t xml:space="preserve">Introduction </w:t>
      </w:r>
      <w:r w:rsidR="001B1262" w:rsidRPr="003724EF">
        <w:rPr>
          <w:rFonts w:ascii="Times New Roman" w:hAnsi="Times New Roman" w:cs="Times New Roman"/>
          <w:b/>
          <w:bCs/>
          <w:color w:val="auto"/>
        </w:rPr>
        <w:t>and mandate</w:t>
      </w:r>
      <w:bookmarkEnd w:id="2"/>
    </w:p>
    <w:p w14:paraId="5B666E19" w14:textId="24DBCC7E" w:rsidR="00F725E3" w:rsidRPr="00CC3404" w:rsidRDefault="00F725E3" w:rsidP="00CC3404">
      <w:pPr>
        <w:pStyle w:val="ListParagraph"/>
        <w:numPr>
          <w:ilvl w:val="0"/>
          <w:numId w:val="15"/>
        </w:numPr>
        <w:spacing w:before="120"/>
        <w:ind w:left="0" w:firstLine="0"/>
        <w:jc w:val="both"/>
        <w:rPr>
          <w:rFonts w:ascii="Times New Roman" w:hAnsi="Times New Roman" w:cs="Times New Roman"/>
        </w:rPr>
      </w:pPr>
      <w:r w:rsidRPr="00CC3404">
        <w:rPr>
          <w:rFonts w:ascii="Times New Roman" w:hAnsi="Times New Roman" w:cs="Times New Roman"/>
        </w:rPr>
        <w:t xml:space="preserve">Partnerships and similar cooperation arrangements have emerged as a method of engaging non-state actors in the work of a UN entity. Under the Basel Convention, such arrangements have been in place for a number of years. While </w:t>
      </w:r>
      <w:r w:rsidR="008E127F" w:rsidRPr="00CC3404">
        <w:rPr>
          <w:rFonts w:ascii="Times New Roman" w:hAnsi="Times New Roman" w:cs="Times New Roman"/>
        </w:rPr>
        <w:t xml:space="preserve">partnerships have </w:t>
      </w:r>
      <w:r w:rsidRPr="00CC3404">
        <w:rPr>
          <w:rFonts w:ascii="Times New Roman" w:hAnsi="Times New Roman" w:cs="Times New Roman"/>
        </w:rPr>
        <w:t>recognized benefits</w:t>
      </w:r>
      <w:r w:rsidR="008E127F" w:rsidRPr="00CC3404">
        <w:rPr>
          <w:rFonts w:ascii="Times New Roman" w:hAnsi="Times New Roman" w:cs="Times New Roman"/>
        </w:rPr>
        <w:t xml:space="preserve">, </w:t>
      </w:r>
      <w:r w:rsidRPr="00CC3404">
        <w:rPr>
          <w:rFonts w:ascii="Times New Roman" w:hAnsi="Times New Roman" w:cs="Times New Roman"/>
        </w:rPr>
        <w:t xml:space="preserve">there are also risks inherent in the </w:t>
      </w:r>
      <w:r w:rsidR="00DC4B17" w:rsidRPr="00CC3404">
        <w:rPr>
          <w:rFonts w:ascii="Times New Roman" w:hAnsi="Times New Roman" w:cs="Times New Roman"/>
        </w:rPr>
        <w:t>engagement</w:t>
      </w:r>
      <w:r w:rsidRPr="00CC3404">
        <w:rPr>
          <w:rFonts w:ascii="Times New Roman" w:hAnsi="Times New Roman" w:cs="Times New Roman"/>
        </w:rPr>
        <w:t xml:space="preserve"> of </w:t>
      </w:r>
      <w:r w:rsidR="008E127F" w:rsidRPr="00CC3404">
        <w:rPr>
          <w:rFonts w:ascii="Times New Roman" w:hAnsi="Times New Roman" w:cs="Times New Roman"/>
        </w:rPr>
        <w:t xml:space="preserve">a UN entity in </w:t>
      </w:r>
      <w:r w:rsidRPr="00CC3404">
        <w:rPr>
          <w:rFonts w:ascii="Times New Roman" w:hAnsi="Times New Roman" w:cs="Times New Roman"/>
        </w:rPr>
        <w:t>such arrangements</w:t>
      </w:r>
      <w:r w:rsidR="00DC4B17" w:rsidRPr="00CC3404">
        <w:rPr>
          <w:rFonts w:ascii="Times New Roman" w:hAnsi="Times New Roman" w:cs="Times New Roman"/>
        </w:rPr>
        <w:t xml:space="preserve"> with non-state actors</w:t>
      </w:r>
      <w:r w:rsidRPr="00CC3404">
        <w:rPr>
          <w:rFonts w:ascii="Times New Roman" w:hAnsi="Times New Roman" w:cs="Times New Roman"/>
        </w:rPr>
        <w:t xml:space="preserve">. This has been </w:t>
      </w:r>
      <w:r w:rsidR="00B65B25" w:rsidRPr="00CC3404">
        <w:rPr>
          <w:rFonts w:ascii="Times New Roman" w:hAnsi="Times New Roman" w:cs="Times New Roman"/>
        </w:rPr>
        <w:t>acknowledged</w:t>
      </w:r>
      <w:r w:rsidRPr="00CC3404">
        <w:rPr>
          <w:rFonts w:ascii="Times New Roman" w:hAnsi="Times New Roman" w:cs="Times New Roman"/>
        </w:rPr>
        <w:t xml:space="preserve"> throughout the UN system</w:t>
      </w:r>
      <w:r w:rsidR="008E127F" w:rsidRPr="00CC3404">
        <w:rPr>
          <w:rFonts w:ascii="Times New Roman" w:hAnsi="Times New Roman" w:cs="Times New Roman"/>
        </w:rPr>
        <w:t>,</w:t>
      </w:r>
      <w:r w:rsidRPr="00CC3404">
        <w:rPr>
          <w:rFonts w:ascii="Times New Roman" w:hAnsi="Times New Roman" w:cs="Times New Roman"/>
        </w:rPr>
        <w:t xml:space="preserve"> and different approaches have been developed to benefit from the positive contributions of partnerships</w:t>
      </w:r>
      <w:r w:rsidR="00DC4B17" w:rsidRPr="00CC3404">
        <w:rPr>
          <w:rFonts w:ascii="Times New Roman" w:hAnsi="Times New Roman" w:cs="Times New Roman"/>
        </w:rPr>
        <w:t xml:space="preserve"> to the work of a UN entity</w:t>
      </w:r>
      <w:r w:rsidRPr="00CC3404">
        <w:rPr>
          <w:rFonts w:ascii="Times New Roman" w:hAnsi="Times New Roman" w:cs="Times New Roman"/>
        </w:rPr>
        <w:t xml:space="preserve"> while containing the risks</w:t>
      </w:r>
      <w:r w:rsidR="00E05D5B" w:rsidRPr="00CC3404">
        <w:rPr>
          <w:rFonts w:ascii="Times New Roman" w:hAnsi="Times New Roman" w:cs="Times New Roman"/>
        </w:rPr>
        <w:t xml:space="preserve"> through the appropriate level of control by the governing body of the UN entity. </w:t>
      </w:r>
      <w:r w:rsidR="004D5032" w:rsidRPr="00CC3404">
        <w:rPr>
          <w:rFonts w:ascii="Times New Roman" w:hAnsi="Times New Roman" w:cs="Times New Roman"/>
        </w:rPr>
        <w:t xml:space="preserve">In this respect, particular attention is given to engagement with private sector entities. </w:t>
      </w:r>
    </w:p>
    <w:p w14:paraId="1F40B898" w14:textId="77777777" w:rsidR="00CC3404" w:rsidRPr="00CC3404" w:rsidRDefault="00CC3404" w:rsidP="00CC3404">
      <w:pPr>
        <w:pStyle w:val="ListParagraph"/>
        <w:spacing w:before="120"/>
        <w:ind w:left="0"/>
        <w:jc w:val="both"/>
        <w:rPr>
          <w:rFonts w:ascii="Times New Roman" w:hAnsi="Times New Roman" w:cs="Times New Roman"/>
        </w:rPr>
      </w:pPr>
    </w:p>
    <w:p w14:paraId="77409439" w14:textId="77777777" w:rsidR="00CC3404" w:rsidRPr="00CC3404" w:rsidRDefault="008E127F" w:rsidP="00CC3404">
      <w:pPr>
        <w:pStyle w:val="ListParagraph"/>
        <w:numPr>
          <w:ilvl w:val="0"/>
          <w:numId w:val="15"/>
        </w:numPr>
        <w:ind w:left="0" w:firstLine="0"/>
        <w:jc w:val="both"/>
        <w:rPr>
          <w:rFonts w:ascii="Times New Roman" w:hAnsi="Times New Roman" w:cs="Times New Roman"/>
        </w:rPr>
      </w:pPr>
      <w:r w:rsidRPr="00CC3404">
        <w:rPr>
          <w:rFonts w:ascii="Times New Roman" w:hAnsi="Times New Roman" w:cs="Times New Roman"/>
        </w:rPr>
        <w:t xml:space="preserve">By Decision OEWG-11/13 on the Basel Partnership Programme, the Open-ended Working Group requested the Secretariat to develop a report evaluating past and ongoing partnerships, and setting out recommendations on opportunities to further develop partnerships under the Basel Convention and on opportunities for stakeholders that are observers to the Convention to contribute to the objectives of the Basel Convention through other means of programmatic cooperation, taking into account the experience of relevant UN </w:t>
      </w:r>
      <w:r w:rsidR="003F2428" w:rsidRPr="00CC3404">
        <w:rPr>
          <w:rFonts w:ascii="Times New Roman" w:hAnsi="Times New Roman" w:cs="Times New Roman"/>
        </w:rPr>
        <w:t xml:space="preserve"> and other </w:t>
      </w:r>
      <w:r w:rsidRPr="00CC3404">
        <w:rPr>
          <w:rFonts w:ascii="Times New Roman" w:hAnsi="Times New Roman" w:cs="Times New Roman"/>
        </w:rPr>
        <w:t xml:space="preserve">bodies and </w:t>
      </w:r>
      <w:r w:rsidR="00D2311C" w:rsidRPr="00CC3404">
        <w:rPr>
          <w:rFonts w:ascii="Times New Roman" w:hAnsi="Times New Roman" w:cs="Times New Roman"/>
        </w:rPr>
        <w:t>multilateral environmental agreements (</w:t>
      </w:r>
      <w:r w:rsidRPr="00CC3404">
        <w:rPr>
          <w:rFonts w:ascii="Times New Roman" w:hAnsi="Times New Roman" w:cs="Times New Roman"/>
        </w:rPr>
        <w:t>MEAs</w:t>
      </w:r>
      <w:r w:rsidR="0052502F" w:rsidRPr="00CC3404">
        <w:rPr>
          <w:rFonts w:ascii="Times New Roman" w:hAnsi="Times New Roman" w:cs="Times New Roman"/>
        </w:rPr>
        <w:t>)</w:t>
      </w:r>
      <w:r w:rsidRPr="00CC3404">
        <w:rPr>
          <w:rFonts w:ascii="Times New Roman" w:hAnsi="Times New Roman" w:cs="Times New Roman"/>
        </w:rPr>
        <w:t xml:space="preserve">.  </w:t>
      </w:r>
      <w:r w:rsidR="00C01B58" w:rsidRPr="00CC3404">
        <w:rPr>
          <w:rFonts w:ascii="Times New Roman" w:hAnsi="Times New Roman" w:cs="Times New Roman"/>
        </w:rPr>
        <w:t xml:space="preserve">The recommendations are to be considered by the Conference of the Parties </w:t>
      </w:r>
      <w:r w:rsidR="00BE6CA5" w:rsidRPr="00CC3404">
        <w:rPr>
          <w:rFonts w:ascii="Times New Roman" w:hAnsi="Times New Roman" w:cs="Times New Roman"/>
        </w:rPr>
        <w:t xml:space="preserve">(COP) </w:t>
      </w:r>
      <w:r w:rsidR="00C01B58" w:rsidRPr="00CC3404">
        <w:rPr>
          <w:rFonts w:ascii="Times New Roman" w:hAnsi="Times New Roman" w:cs="Times New Roman"/>
        </w:rPr>
        <w:t>at its fourteenth meeting.</w:t>
      </w:r>
    </w:p>
    <w:p w14:paraId="157D9410" w14:textId="77777777" w:rsidR="00CC3404" w:rsidRPr="00CC3404" w:rsidRDefault="00CC3404" w:rsidP="00CC3404">
      <w:pPr>
        <w:pStyle w:val="ListParagraph"/>
        <w:ind w:left="0"/>
        <w:rPr>
          <w:rFonts w:ascii="Times New Roman" w:hAnsi="Times New Roman" w:cs="Times New Roman"/>
        </w:rPr>
      </w:pPr>
    </w:p>
    <w:p w14:paraId="5F4C58A8" w14:textId="0D6F05DC" w:rsidR="00F725E3" w:rsidRPr="00CC3404" w:rsidRDefault="00F725E3" w:rsidP="00CC3404">
      <w:pPr>
        <w:pStyle w:val="ListParagraph"/>
        <w:numPr>
          <w:ilvl w:val="0"/>
          <w:numId w:val="15"/>
        </w:numPr>
        <w:ind w:left="0" w:firstLine="0"/>
        <w:jc w:val="both"/>
        <w:rPr>
          <w:rFonts w:ascii="Times New Roman" w:hAnsi="Times New Roman" w:cs="Times New Roman"/>
        </w:rPr>
      </w:pPr>
      <w:r w:rsidRPr="00CC3404">
        <w:rPr>
          <w:rFonts w:ascii="Times New Roman" w:hAnsi="Times New Roman" w:cs="Times New Roman"/>
        </w:rPr>
        <w:t xml:space="preserve">This report </w:t>
      </w:r>
      <w:r w:rsidR="008E127F" w:rsidRPr="00CC3404">
        <w:rPr>
          <w:rFonts w:ascii="Times New Roman" w:hAnsi="Times New Roman" w:cs="Times New Roman"/>
        </w:rPr>
        <w:t>has been developed in response to that request</w:t>
      </w:r>
      <w:r w:rsidR="00921B44" w:rsidRPr="00CC3404">
        <w:rPr>
          <w:rFonts w:ascii="Times New Roman" w:hAnsi="Times New Roman" w:cs="Times New Roman"/>
        </w:rPr>
        <w:t>, thanks to a generous financial contribu</w:t>
      </w:r>
      <w:r w:rsidR="005B3416" w:rsidRPr="00CC3404">
        <w:rPr>
          <w:rFonts w:ascii="Times New Roman" w:hAnsi="Times New Roman" w:cs="Times New Roman"/>
        </w:rPr>
        <w:t>tion f</w:t>
      </w:r>
      <w:r w:rsidR="00921B44" w:rsidRPr="00CC3404">
        <w:rPr>
          <w:rFonts w:ascii="Times New Roman" w:hAnsi="Times New Roman" w:cs="Times New Roman"/>
        </w:rPr>
        <w:t>r</w:t>
      </w:r>
      <w:r w:rsidR="005B3416" w:rsidRPr="00CC3404">
        <w:rPr>
          <w:rFonts w:ascii="Times New Roman" w:hAnsi="Times New Roman" w:cs="Times New Roman"/>
        </w:rPr>
        <w:t>o</w:t>
      </w:r>
      <w:r w:rsidR="00921B44" w:rsidRPr="00CC3404">
        <w:rPr>
          <w:rFonts w:ascii="Times New Roman" w:hAnsi="Times New Roman" w:cs="Times New Roman"/>
        </w:rPr>
        <w:t>m the Government of Switzerland</w:t>
      </w:r>
      <w:r w:rsidR="008E127F" w:rsidRPr="00CC3404">
        <w:rPr>
          <w:rFonts w:ascii="Times New Roman" w:hAnsi="Times New Roman" w:cs="Times New Roman"/>
        </w:rPr>
        <w:t xml:space="preserve">. It </w:t>
      </w:r>
      <w:r w:rsidR="003469F8" w:rsidRPr="00CC3404">
        <w:rPr>
          <w:rFonts w:ascii="Times New Roman" w:hAnsi="Times New Roman" w:cs="Times New Roman"/>
        </w:rPr>
        <w:t>sets out</w:t>
      </w:r>
      <w:r w:rsidR="00E05D5B" w:rsidRPr="00CC3404">
        <w:rPr>
          <w:rFonts w:ascii="Times New Roman" w:hAnsi="Times New Roman" w:cs="Times New Roman"/>
        </w:rPr>
        <w:t xml:space="preserve"> </w:t>
      </w:r>
      <w:r w:rsidRPr="00CC3404">
        <w:rPr>
          <w:rFonts w:ascii="Times New Roman" w:hAnsi="Times New Roman" w:cs="Times New Roman"/>
        </w:rPr>
        <w:t>the development of partnerships under the B</w:t>
      </w:r>
      <w:r w:rsidR="003469F8" w:rsidRPr="00CC3404">
        <w:rPr>
          <w:rFonts w:ascii="Times New Roman" w:hAnsi="Times New Roman" w:cs="Times New Roman"/>
        </w:rPr>
        <w:t xml:space="preserve">asel Convention </w:t>
      </w:r>
      <w:r w:rsidRPr="00CC3404">
        <w:rPr>
          <w:rFonts w:ascii="Times New Roman" w:hAnsi="Times New Roman" w:cs="Times New Roman"/>
        </w:rPr>
        <w:t xml:space="preserve">as well as the experience under </w:t>
      </w:r>
      <w:r w:rsidR="0052502F" w:rsidRPr="00CC3404">
        <w:rPr>
          <w:rFonts w:ascii="Times New Roman" w:hAnsi="Times New Roman" w:cs="Times New Roman"/>
        </w:rPr>
        <w:t xml:space="preserve">UN </w:t>
      </w:r>
      <w:r w:rsidR="003F2428" w:rsidRPr="00CC3404">
        <w:rPr>
          <w:rFonts w:ascii="Times New Roman" w:hAnsi="Times New Roman" w:cs="Times New Roman"/>
        </w:rPr>
        <w:t xml:space="preserve">and other </w:t>
      </w:r>
      <w:r w:rsidR="0052502F" w:rsidRPr="00CC3404">
        <w:rPr>
          <w:rFonts w:ascii="Times New Roman" w:hAnsi="Times New Roman" w:cs="Times New Roman"/>
        </w:rPr>
        <w:t xml:space="preserve">bodies </w:t>
      </w:r>
      <w:r w:rsidRPr="00CC3404">
        <w:rPr>
          <w:rFonts w:ascii="Times New Roman" w:hAnsi="Times New Roman" w:cs="Times New Roman"/>
        </w:rPr>
        <w:t xml:space="preserve">and MEAs </w:t>
      </w:r>
      <w:r w:rsidR="0052502F" w:rsidRPr="00CC3404">
        <w:rPr>
          <w:rFonts w:ascii="Times New Roman" w:hAnsi="Times New Roman" w:cs="Times New Roman"/>
        </w:rPr>
        <w:t>that have established partnership arrangements comparable to those in place under the Basel Convention</w:t>
      </w:r>
      <w:r w:rsidR="003469F8" w:rsidRPr="00CC3404">
        <w:rPr>
          <w:rFonts w:ascii="Times New Roman" w:hAnsi="Times New Roman" w:cs="Times New Roman"/>
        </w:rPr>
        <w:t xml:space="preserve">. On this basis, it sets out possible ways in which engagement with non-state actors under the Basel Convention could be further developed in a way that benefits the Convention while minimizing the risks. </w:t>
      </w:r>
    </w:p>
    <w:p w14:paraId="41065BBD" w14:textId="36E6EF73" w:rsidR="005F44BC" w:rsidRPr="003724EF" w:rsidRDefault="005F44BC" w:rsidP="00CC3404">
      <w:pPr>
        <w:pStyle w:val="Heading1"/>
        <w:numPr>
          <w:ilvl w:val="0"/>
          <w:numId w:val="3"/>
        </w:numPr>
        <w:spacing w:after="240"/>
        <w:ind w:left="0" w:firstLine="0"/>
        <w:rPr>
          <w:rFonts w:ascii="Times New Roman" w:hAnsi="Times New Roman" w:cs="Times New Roman"/>
          <w:b/>
          <w:bCs/>
          <w:color w:val="auto"/>
        </w:rPr>
      </w:pPr>
      <w:bookmarkStart w:id="3" w:name="_Toc531103764"/>
      <w:r w:rsidRPr="003724EF">
        <w:rPr>
          <w:rFonts w:ascii="Times New Roman" w:hAnsi="Times New Roman" w:cs="Times New Roman"/>
          <w:b/>
          <w:bCs/>
          <w:color w:val="auto"/>
        </w:rPr>
        <w:lastRenderedPageBreak/>
        <w:t xml:space="preserve">Partnerships and similar cooperation arrangements </w:t>
      </w:r>
      <w:r w:rsidR="00187A7B" w:rsidRPr="003724EF">
        <w:rPr>
          <w:rFonts w:ascii="Times New Roman" w:hAnsi="Times New Roman" w:cs="Times New Roman"/>
          <w:b/>
          <w:bCs/>
          <w:color w:val="auto"/>
        </w:rPr>
        <w:t>under the Basel Convention</w:t>
      </w:r>
      <w:bookmarkEnd w:id="3"/>
    </w:p>
    <w:p w14:paraId="356A6B6F" w14:textId="7F10E9A3" w:rsidR="009B37CF" w:rsidRPr="00CC3404" w:rsidRDefault="00AB64DD" w:rsidP="00AB64DD">
      <w:pPr>
        <w:pStyle w:val="Heading2"/>
        <w:rPr>
          <w:rFonts w:ascii="Times New Roman" w:hAnsi="Times New Roman" w:cs="Times New Roman"/>
          <w:color w:val="auto"/>
          <w:u w:val="single"/>
        </w:rPr>
      </w:pPr>
      <w:bookmarkStart w:id="4" w:name="_Toc531103765"/>
      <w:r w:rsidRPr="00CC3404">
        <w:rPr>
          <w:rFonts w:ascii="Times New Roman" w:hAnsi="Times New Roman" w:cs="Times New Roman"/>
          <w:color w:val="auto"/>
        </w:rPr>
        <w:t xml:space="preserve">2.1 </w:t>
      </w:r>
      <w:r w:rsidR="005F46B6" w:rsidRPr="00CC3404">
        <w:rPr>
          <w:rFonts w:ascii="Times New Roman" w:hAnsi="Times New Roman" w:cs="Times New Roman"/>
          <w:color w:val="auto"/>
        </w:rPr>
        <w:tab/>
      </w:r>
      <w:r w:rsidR="005E2E8B" w:rsidRPr="003724EF">
        <w:rPr>
          <w:rFonts w:ascii="Times New Roman" w:hAnsi="Times New Roman" w:cs="Times New Roman"/>
          <w:b/>
          <w:bCs/>
          <w:color w:val="auto"/>
        </w:rPr>
        <w:t xml:space="preserve">The </w:t>
      </w:r>
      <w:r w:rsidR="009B37CF" w:rsidRPr="003724EF">
        <w:rPr>
          <w:rFonts w:ascii="Times New Roman" w:hAnsi="Times New Roman" w:cs="Times New Roman"/>
          <w:b/>
          <w:bCs/>
          <w:color w:val="auto"/>
        </w:rPr>
        <w:t>Basel Convention Partnership Programme</w:t>
      </w:r>
      <w:bookmarkEnd w:id="4"/>
    </w:p>
    <w:p w14:paraId="791BCA5B" w14:textId="77777777" w:rsidR="00CC3404" w:rsidRPr="00CC3404" w:rsidRDefault="00CC3404" w:rsidP="00CC3404">
      <w:pPr>
        <w:tabs>
          <w:tab w:val="left" w:pos="720"/>
        </w:tabs>
        <w:spacing w:before="120"/>
        <w:jc w:val="both"/>
        <w:rPr>
          <w:rFonts w:ascii="Times New Roman" w:hAnsi="Times New Roman" w:cs="Times New Roman"/>
        </w:rPr>
      </w:pPr>
      <w:r w:rsidRPr="00CC3404">
        <w:rPr>
          <w:rFonts w:ascii="Times New Roman" w:hAnsi="Times New Roman" w:cs="Times New Roman"/>
        </w:rPr>
        <w:t xml:space="preserve">4.    </w:t>
      </w:r>
      <w:r w:rsidRPr="00CC3404">
        <w:rPr>
          <w:rFonts w:ascii="Times New Roman" w:hAnsi="Times New Roman" w:cs="Times New Roman"/>
        </w:rPr>
        <w:tab/>
      </w:r>
      <w:r w:rsidR="00042889" w:rsidRPr="00CC3404">
        <w:rPr>
          <w:rFonts w:ascii="Times New Roman" w:hAnsi="Times New Roman" w:cs="Times New Roman"/>
        </w:rPr>
        <w:t xml:space="preserve">The </w:t>
      </w:r>
      <w:r w:rsidR="00F82B30" w:rsidRPr="00CC3404">
        <w:rPr>
          <w:rFonts w:ascii="Times New Roman" w:hAnsi="Times New Roman" w:cs="Times New Roman"/>
        </w:rPr>
        <w:t>Partnership Programme</w:t>
      </w:r>
      <w:r w:rsidR="00042889" w:rsidRPr="00CC3404">
        <w:rPr>
          <w:rFonts w:ascii="Times New Roman" w:hAnsi="Times New Roman" w:cs="Times New Roman"/>
        </w:rPr>
        <w:t xml:space="preserve"> was</w:t>
      </w:r>
      <w:r w:rsidR="00F82B30" w:rsidRPr="00CC3404">
        <w:rPr>
          <w:rFonts w:ascii="Times New Roman" w:hAnsi="Times New Roman" w:cs="Times New Roman"/>
        </w:rPr>
        <w:t xml:space="preserve"> </w:t>
      </w:r>
      <w:r w:rsidR="006A053D" w:rsidRPr="00CC3404">
        <w:rPr>
          <w:rFonts w:ascii="Times New Roman" w:hAnsi="Times New Roman" w:cs="Times New Roman"/>
        </w:rPr>
        <w:t xml:space="preserve">initiated </w:t>
      </w:r>
      <w:r w:rsidR="008016CA" w:rsidRPr="00CC3404">
        <w:rPr>
          <w:rFonts w:ascii="Times New Roman" w:hAnsi="Times New Roman" w:cs="Times New Roman"/>
        </w:rPr>
        <w:t>pursuant to</w:t>
      </w:r>
      <w:r w:rsidR="00BB36B0" w:rsidRPr="00CC3404">
        <w:rPr>
          <w:rFonts w:ascii="Times New Roman" w:hAnsi="Times New Roman" w:cs="Times New Roman"/>
        </w:rPr>
        <w:t xml:space="preserve"> the</w:t>
      </w:r>
      <w:r w:rsidR="00B75EBD" w:rsidRPr="00CC3404">
        <w:rPr>
          <w:rFonts w:ascii="Times New Roman" w:hAnsi="Times New Roman" w:cs="Times New Roman"/>
        </w:rPr>
        <w:t xml:space="preserve"> adoption of the </w:t>
      </w:r>
      <w:r w:rsidR="005F44BC" w:rsidRPr="00CC3404">
        <w:rPr>
          <w:rFonts w:ascii="Times New Roman" w:hAnsi="Times New Roman" w:cs="Times New Roman"/>
        </w:rPr>
        <w:t xml:space="preserve">Basel Declaration </w:t>
      </w:r>
      <w:r w:rsidR="00C5717C" w:rsidRPr="00CC3404">
        <w:rPr>
          <w:rFonts w:ascii="Times New Roman" w:hAnsi="Times New Roman" w:cs="Times New Roman"/>
        </w:rPr>
        <w:t xml:space="preserve">on Environmentally Sound Management </w:t>
      </w:r>
      <w:r w:rsidR="007F4817" w:rsidRPr="00CC3404">
        <w:rPr>
          <w:rFonts w:ascii="Times New Roman" w:hAnsi="Times New Roman" w:cs="Times New Roman"/>
        </w:rPr>
        <w:t>by</w:t>
      </w:r>
      <w:r w:rsidR="005F44BC" w:rsidRPr="00CC3404">
        <w:rPr>
          <w:rFonts w:ascii="Times New Roman" w:hAnsi="Times New Roman" w:cs="Times New Roman"/>
        </w:rPr>
        <w:t xml:space="preserve"> COP 5</w:t>
      </w:r>
      <w:r w:rsidR="00AB627E" w:rsidRPr="00CC3404">
        <w:rPr>
          <w:rFonts w:ascii="Times New Roman" w:hAnsi="Times New Roman" w:cs="Times New Roman"/>
        </w:rPr>
        <w:t xml:space="preserve"> in 1999</w:t>
      </w:r>
      <w:r w:rsidR="008016CA" w:rsidRPr="00CC3404">
        <w:rPr>
          <w:rFonts w:ascii="Times New Roman" w:hAnsi="Times New Roman" w:cs="Times New Roman"/>
        </w:rPr>
        <w:t>. The Declaration e</w:t>
      </w:r>
      <w:r w:rsidR="005F44BC" w:rsidRPr="00CC3404">
        <w:rPr>
          <w:rFonts w:ascii="Times New Roman" w:hAnsi="Times New Roman" w:cs="Times New Roman"/>
        </w:rPr>
        <w:t xml:space="preserve">mphasized the importance of partnerships with industry, NGOs and academia. </w:t>
      </w:r>
      <w:r w:rsidR="006A053D" w:rsidRPr="00CC3404">
        <w:rPr>
          <w:rFonts w:ascii="Times New Roman" w:hAnsi="Times New Roman" w:cs="Times New Roman"/>
        </w:rPr>
        <w:t xml:space="preserve">COP 5 </w:t>
      </w:r>
      <w:r w:rsidR="005F44BC" w:rsidRPr="00CC3404">
        <w:rPr>
          <w:rFonts w:ascii="Times New Roman" w:hAnsi="Times New Roman" w:cs="Times New Roman"/>
        </w:rPr>
        <w:t>requested the Secretariat to “pursue its cooperation with relevant areas of the industry sector and with environmental and other non-governmental organizations”, and to “explore ways and means of establishing partnerships with the industry sector and with non-governmental organizations”</w:t>
      </w:r>
      <w:r w:rsidR="005F44BC" w:rsidRPr="00CC3404">
        <w:rPr>
          <w:vertAlign w:val="superscript"/>
        </w:rPr>
        <w:footnoteReference w:id="1"/>
      </w:r>
      <w:r w:rsidR="005F44BC" w:rsidRPr="00CC3404">
        <w:rPr>
          <w:rFonts w:ascii="Times New Roman" w:hAnsi="Times New Roman" w:cs="Times New Roman"/>
        </w:rPr>
        <w:t>. COP 6 in 2002 laid the basis for the Basel Convention Partnership Programme by requesting the Secretariat to develop a work programme for cooperation with the industry and business sectors and NGOs for adoption by the OEWG</w:t>
      </w:r>
      <w:r w:rsidR="005F44BC" w:rsidRPr="00CC3404">
        <w:rPr>
          <w:vertAlign w:val="superscript"/>
        </w:rPr>
        <w:footnoteReference w:id="2"/>
      </w:r>
      <w:r w:rsidR="005F44BC" w:rsidRPr="00CC3404">
        <w:rPr>
          <w:rFonts w:ascii="Times New Roman" w:hAnsi="Times New Roman" w:cs="Times New Roman"/>
        </w:rPr>
        <w:t xml:space="preserve">. The OEWG subsequently adopted </w:t>
      </w:r>
      <w:r w:rsidR="00B75EBD" w:rsidRPr="00CC3404">
        <w:rPr>
          <w:rFonts w:ascii="Times New Roman" w:hAnsi="Times New Roman" w:cs="Times New Roman"/>
        </w:rPr>
        <w:t>the</w:t>
      </w:r>
      <w:r w:rsidR="005F44BC" w:rsidRPr="00CC3404">
        <w:rPr>
          <w:rFonts w:ascii="Times New Roman" w:hAnsi="Times New Roman" w:cs="Times New Roman"/>
        </w:rPr>
        <w:t xml:space="preserve"> work programme for the year 2004</w:t>
      </w:r>
      <w:r w:rsidR="00B75EBD" w:rsidRPr="00CC3404">
        <w:rPr>
          <w:rFonts w:ascii="Times New Roman" w:hAnsi="Times New Roman" w:cs="Times New Roman"/>
        </w:rPr>
        <w:t>. It</w:t>
      </w:r>
      <w:r w:rsidR="005F44BC" w:rsidRPr="00CC3404">
        <w:rPr>
          <w:rFonts w:ascii="Times New Roman" w:hAnsi="Times New Roman" w:cs="Times New Roman"/>
        </w:rPr>
        <w:t xml:space="preserve"> requested the Secretariat to commence</w:t>
      </w:r>
      <w:r w:rsidR="00B75EBD" w:rsidRPr="00CC3404">
        <w:rPr>
          <w:rFonts w:ascii="Times New Roman" w:hAnsi="Times New Roman" w:cs="Times New Roman"/>
        </w:rPr>
        <w:t xml:space="preserve"> its</w:t>
      </w:r>
      <w:r w:rsidR="005F44BC" w:rsidRPr="00CC3404">
        <w:rPr>
          <w:rFonts w:ascii="Times New Roman" w:hAnsi="Times New Roman" w:cs="Times New Roman"/>
        </w:rPr>
        <w:t xml:space="preserve"> implement</w:t>
      </w:r>
      <w:r w:rsidR="00B75EBD" w:rsidRPr="00CC3404">
        <w:rPr>
          <w:rFonts w:ascii="Times New Roman" w:hAnsi="Times New Roman" w:cs="Times New Roman"/>
        </w:rPr>
        <w:t xml:space="preserve">ation </w:t>
      </w:r>
      <w:r w:rsidR="00D00D7E" w:rsidRPr="00CC3404">
        <w:rPr>
          <w:rFonts w:ascii="Times New Roman" w:hAnsi="Times New Roman" w:cs="Times New Roman"/>
        </w:rPr>
        <w:t xml:space="preserve">with </w:t>
      </w:r>
      <w:r w:rsidR="005F44BC" w:rsidRPr="00CC3404">
        <w:rPr>
          <w:rFonts w:ascii="Times New Roman" w:hAnsi="Times New Roman" w:cs="Times New Roman"/>
        </w:rPr>
        <w:t>all relevant partners, and to keep the OEWG informed of progress</w:t>
      </w:r>
      <w:r w:rsidR="005F44BC" w:rsidRPr="00CC3404">
        <w:rPr>
          <w:vertAlign w:val="superscript"/>
        </w:rPr>
        <w:footnoteReference w:id="3"/>
      </w:r>
      <w:r w:rsidR="005F44BC" w:rsidRPr="00CC3404">
        <w:rPr>
          <w:rFonts w:ascii="Times New Roman" w:hAnsi="Times New Roman" w:cs="Times New Roman"/>
        </w:rPr>
        <w:t xml:space="preserve">. </w:t>
      </w:r>
    </w:p>
    <w:p w14:paraId="477822F1" w14:textId="7DAC0288" w:rsidR="009E167F" w:rsidRPr="00CC3404" w:rsidRDefault="00CC3404" w:rsidP="00CC3404">
      <w:pPr>
        <w:tabs>
          <w:tab w:val="left" w:pos="720"/>
        </w:tabs>
        <w:spacing w:before="120"/>
        <w:jc w:val="both"/>
        <w:rPr>
          <w:rFonts w:ascii="Times New Roman" w:hAnsi="Times New Roman" w:cs="Times New Roman"/>
        </w:rPr>
      </w:pPr>
      <w:r w:rsidRPr="00CC3404">
        <w:rPr>
          <w:rFonts w:ascii="Times New Roman" w:hAnsi="Times New Roman" w:cs="Times New Roman"/>
        </w:rPr>
        <w:t xml:space="preserve">5. </w:t>
      </w:r>
      <w:r w:rsidRPr="00CC3404">
        <w:rPr>
          <w:rFonts w:ascii="Times New Roman" w:hAnsi="Times New Roman" w:cs="Times New Roman"/>
        </w:rPr>
        <w:tab/>
      </w:r>
      <w:r w:rsidR="002F4A01" w:rsidRPr="00CC3404">
        <w:rPr>
          <w:rFonts w:ascii="Times New Roman" w:hAnsi="Times New Roman" w:cs="Times New Roman"/>
        </w:rPr>
        <w:t>COP 7 in 2004 adopted the work programme for the Basel Convention Partnership Programme for the years 2005-2006</w:t>
      </w:r>
      <w:r w:rsidR="002F4A01" w:rsidRPr="00CC3404">
        <w:rPr>
          <w:vertAlign w:val="superscript"/>
        </w:rPr>
        <w:footnoteReference w:id="4"/>
      </w:r>
      <w:r w:rsidR="009E167F" w:rsidRPr="00CC3404">
        <w:rPr>
          <w:rFonts w:ascii="Times New Roman" w:hAnsi="Times New Roman" w:cs="Times New Roman"/>
        </w:rPr>
        <w:t>, which laid the foundation for the development of the modalities of engagement with non-state actors</w:t>
      </w:r>
      <w:r w:rsidR="00E02089" w:rsidRPr="00CC3404">
        <w:rPr>
          <w:rFonts w:ascii="Times New Roman" w:hAnsi="Times New Roman" w:cs="Times New Roman"/>
        </w:rPr>
        <w:t xml:space="preserve"> under the Convention</w:t>
      </w:r>
      <w:r w:rsidR="009E167F" w:rsidRPr="00CC3404">
        <w:rPr>
          <w:rFonts w:ascii="Times New Roman" w:hAnsi="Times New Roman" w:cs="Times New Roman"/>
        </w:rPr>
        <w:t>.</w:t>
      </w:r>
      <w:r w:rsidR="00507355" w:rsidRPr="00CC3404">
        <w:rPr>
          <w:rFonts w:ascii="Times New Roman" w:hAnsi="Times New Roman" w:cs="Times New Roman"/>
        </w:rPr>
        <w:t xml:space="preserve"> The Programme</w:t>
      </w:r>
      <w:r w:rsidR="001548A6" w:rsidRPr="00CC3404">
        <w:rPr>
          <w:rFonts w:ascii="Times New Roman" w:hAnsi="Times New Roman" w:cs="Times New Roman"/>
        </w:rPr>
        <w:t xml:space="preserve"> was endorsed by </w:t>
      </w:r>
      <w:r w:rsidR="00AF0EBD" w:rsidRPr="00CC3404">
        <w:rPr>
          <w:rFonts w:ascii="Times New Roman" w:hAnsi="Times New Roman" w:cs="Times New Roman"/>
        </w:rPr>
        <w:t xml:space="preserve">the </w:t>
      </w:r>
      <w:r w:rsidR="001548A6" w:rsidRPr="00CC3404">
        <w:rPr>
          <w:rFonts w:ascii="Times New Roman" w:hAnsi="Times New Roman" w:cs="Times New Roman"/>
        </w:rPr>
        <w:t>Ministerial Declarations adopted at COP 7 in 2004 and COP 8 in 2006</w:t>
      </w:r>
      <w:r w:rsidR="001548A6" w:rsidRPr="00CC3404">
        <w:rPr>
          <w:vertAlign w:val="superscript"/>
        </w:rPr>
        <w:footnoteReference w:id="5"/>
      </w:r>
      <w:r w:rsidR="001548A6" w:rsidRPr="00CC3404">
        <w:rPr>
          <w:rFonts w:ascii="Times New Roman" w:hAnsi="Times New Roman" w:cs="Times New Roman"/>
        </w:rPr>
        <w:t xml:space="preserve">, lending it </w:t>
      </w:r>
      <w:r w:rsidR="00AF0EBD" w:rsidRPr="00CC3404">
        <w:rPr>
          <w:rFonts w:ascii="Times New Roman" w:hAnsi="Times New Roman" w:cs="Times New Roman"/>
        </w:rPr>
        <w:t xml:space="preserve">an </w:t>
      </w:r>
      <w:r w:rsidR="001548A6" w:rsidRPr="00CC3404">
        <w:rPr>
          <w:rFonts w:ascii="Times New Roman" w:hAnsi="Times New Roman" w:cs="Times New Roman"/>
        </w:rPr>
        <w:t xml:space="preserve">additional </w:t>
      </w:r>
      <w:r w:rsidR="00AF0EBD" w:rsidRPr="00CC3404">
        <w:rPr>
          <w:rFonts w:ascii="Times New Roman" w:hAnsi="Times New Roman" w:cs="Times New Roman"/>
        </w:rPr>
        <w:t xml:space="preserve">level of </w:t>
      </w:r>
      <w:r w:rsidR="001548A6" w:rsidRPr="00CC3404">
        <w:rPr>
          <w:rFonts w:ascii="Times New Roman" w:hAnsi="Times New Roman" w:cs="Times New Roman"/>
        </w:rPr>
        <w:t>authority.</w:t>
      </w:r>
      <w:r w:rsidR="004E5891" w:rsidRPr="00CC3404">
        <w:rPr>
          <w:rFonts w:ascii="Times New Roman" w:hAnsi="Times New Roman" w:cs="Times New Roman"/>
        </w:rPr>
        <w:t xml:space="preserve"> COPs 8 and 9</w:t>
      </w:r>
      <w:r w:rsidR="008016CA" w:rsidRPr="00CC3404">
        <w:rPr>
          <w:rFonts w:ascii="Times New Roman" w:hAnsi="Times New Roman" w:cs="Times New Roman"/>
        </w:rPr>
        <w:t xml:space="preserve"> subsequently adopted</w:t>
      </w:r>
      <w:r w:rsidR="004E5891" w:rsidRPr="00CC3404">
        <w:rPr>
          <w:rFonts w:ascii="Times New Roman" w:hAnsi="Times New Roman" w:cs="Times New Roman"/>
        </w:rPr>
        <w:t xml:space="preserve"> biennial work programmes for the Partnerships for the following </w:t>
      </w:r>
      <w:r w:rsidR="00AF0EBD" w:rsidRPr="00CC3404">
        <w:rPr>
          <w:rFonts w:ascii="Times New Roman" w:hAnsi="Times New Roman" w:cs="Times New Roman"/>
        </w:rPr>
        <w:t>years.</w:t>
      </w:r>
    </w:p>
    <w:p w14:paraId="73016D5C" w14:textId="0424A8EE" w:rsidR="00213F70" w:rsidRPr="00CC3404" w:rsidRDefault="00CC3404" w:rsidP="00AB64DD">
      <w:pPr>
        <w:jc w:val="both"/>
        <w:rPr>
          <w:rFonts w:ascii="Times New Roman" w:hAnsi="Times New Roman" w:cs="Times New Roman"/>
        </w:rPr>
      </w:pPr>
      <w:r w:rsidRPr="00CC3404">
        <w:rPr>
          <w:rFonts w:ascii="Times New Roman" w:hAnsi="Times New Roman" w:cs="Times New Roman"/>
        </w:rPr>
        <w:t>6.</w:t>
      </w:r>
      <w:r w:rsidRPr="00CC3404">
        <w:rPr>
          <w:rFonts w:ascii="Times New Roman" w:hAnsi="Times New Roman" w:cs="Times New Roman"/>
        </w:rPr>
        <w:tab/>
      </w:r>
      <w:r w:rsidR="00125720" w:rsidRPr="00CC3404">
        <w:rPr>
          <w:rFonts w:ascii="Times New Roman" w:hAnsi="Times New Roman" w:cs="Times New Roman"/>
        </w:rPr>
        <w:t xml:space="preserve">The </w:t>
      </w:r>
      <w:r w:rsidR="00F72C7C" w:rsidRPr="00CC3404">
        <w:rPr>
          <w:rFonts w:ascii="Times New Roman" w:hAnsi="Times New Roman" w:cs="Times New Roman"/>
        </w:rPr>
        <w:t xml:space="preserve">introductory section </w:t>
      </w:r>
      <w:r w:rsidR="008A49BC" w:rsidRPr="00CC3404">
        <w:rPr>
          <w:rFonts w:ascii="Times New Roman" w:hAnsi="Times New Roman" w:cs="Times New Roman"/>
        </w:rPr>
        <w:t xml:space="preserve">of the </w:t>
      </w:r>
      <w:r w:rsidR="008F2B17" w:rsidRPr="00CC3404">
        <w:rPr>
          <w:rFonts w:ascii="Times New Roman" w:hAnsi="Times New Roman" w:cs="Times New Roman"/>
        </w:rPr>
        <w:t xml:space="preserve">first </w:t>
      </w:r>
      <w:r w:rsidR="008A49BC" w:rsidRPr="00CC3404">
        <w:rPr>
          <w:rFonts w:ascii="Times New Roman" w:hAnsi="Times New Roman" w:cs="Times New Roman"/>
        </w:rPr>
        <w:t xml:space="preserve">work programme </w:t>
      </w:r>
      <w:r w:rsidR="00F72C7C" w:rsidRPr="00CC3404">
        <w:rPr>
          <w:rFonts w:ascii="Times New Roman" w:hAnsi="Times New Roman" w:cs="Times New Roman"/>
        </w:rPr>
        <w:t xml:space="preserve">expresses </w:t>
      </w:r>
      <w:r w:rsidR="00E02089" w:rsidRPr="00CC3404">
        <w:rPr>
          <w:rFonts w:ascii="Times New Roman" w:hAnsi="Times New Roman" w:cs="Times New Roman"/>
        </w:rPr>
        <w:t>an</w:t>
      </w:r>
      <w:r w:rsidR="00F72C7C" w:rsidRPr="00CC3404">
        <w:rPr>
          <w:rFonts w:ascii="Times New Roman" w:hAnsi="Times New Roman" w:cs="Times New Roman"/>
        </w:rPr>
        <w:t xml:space="preserve"> expectation that partnerships with non-state actors might help identify ways to de-link economic development from waste generation and to </w:t>
      </w:r>
      <w:r w:rsidR="008016CA" w:rsidRPr="00CC3404">
        <w:rPr>
          <w:rFonts w:ascii="Times New Roman" w:hAnsi="Times New Roman" w:cs="Times New Roman"/>
        </w:rPr>
        <w:t>shift</w:t>
      </w:r>
      <w:r w:rsidR="00F72C7C" w:rsidRPr="00CC3404">
        <w:rPr>
          <w:rFonts w:ascii="Times New Roman" w:hAnsi="Times New Roman" w:cs="Times New Roman"/>
        </w:rPr>
        <w:t xml:space="preserve"> the perception of the Convention as being relevant only for hazardous wastes and their transboundary movement to being seen as an instrument contributing to effective life cycle management of materials and products. </w:t>
      </w:r>
      <w:r w:rsidR="00417361" w:rsidRPr="00CC3404">
        <w:rPr>
          <w:rFonts w:ascii="Times New Roman" w:hAnsi="Times New Roman" w:cs="Times New Roman"/>
        </w:rPr>
        <w:t>T</w:t>
      </w:r>
      <w:r w:rsidR="00213F70" w:rsidRPr="00CC3404">
        <w:rPr>
          <w:rFonts w:ascii="Times New Roman" w:hAnsi="Times New Roman" w:cs="Times New Roman"/>
        </w:rPr>
        <w:t>he following benefits of Partnerships are extolled</w:t>
      </w:r>
      <w:r w:rsidR="00213F70" w:rsidRPr="00CC3404">
        <w:rPr>
          <w:rStyle w:val="FootnoteReference"/>
          <w:rFonts w:ascii="Times New Roman" w:hAnsi="Times New Roman" w:cs="Times New Roman"/>
        </w:rPr>
        <w:footnoteReference w:id="6"/>
      </w:r>
      <w:r w:rsidR="00213F70" w:rsidRPr="00CC3404">
        <w:rPr>
          <w:rFonts w:ascii="Times New Roman" w:hAnsi="Times New Roman" w:cs="Times New Roman"/>
        </w:rPr>
        <w:t xml:space="preserve">: </w:t>
      </w:r>
    </w:p>
    <w:p w14:paraId="18CD658D" w14:textId="77777777" w:rsidR="00213F70" w:rsidRPr="00CC3404" w:rsidRDefault="00213F70" w:rsidP="00E45D56">
      <w:pPr>
        <w:pStyle w:val="ListParagraph"/>
        <w:numPr>
          <w:ilvl w:val="0"/>
          <w:numId w:val="1"/>
        </w:numPr>
        <w:jc w:val="both"/>
        <w:rPr>
          <w:rFonts w:ascii="Times New Roman" w:hAnsi="Times New Roman" w:cs="Times New Roman"/>
        </w:rPr>
      </w:pPr>
      <w:r w:rsidRPr="00CC3404">
        <w:rPr>
          <w:rFonts w:ascii="Times New Roman" w:hAnsi="Times New Roman" w:cs="Times New Roman"/>
        </w:rPr>
        <w:t xml:space="preserve">Enhancing collaboration; </w:t>
      </w:r>
    </w:p>
    <w:p w14:paraId="1ABD80E8" w14:textId="77777777" w:rsidR="00213F70" w:rsidRPr="00CC3404" w:rsidRDefault="00213F70" w:rsidP="00E45D56">
      <w:pPr>
        <w:pStyle w:val="ListParagraph"/>
        <w:numPr>
          <w:ilvl w:val="0"/>
          <w:numId w:val="1"/>
        </w:numPr>
        <w:jc w:val="both"/>
        <w:rPr>
          <w:rFonts w:ascii="Times New Roman" w:hAnsi="Times New Roman" w:cs="Times New Roman"/>
        </w:rPr>
      </w:pPr>
      <w:r w:rsidRPr="00CC3404">
        <w:rPr>
          <w:rFonts w:ascii="Times New Roman" w:hAnsi="Times New Roman" w:cs="Times New Roman"/>
        </w:rPr>
        <w:t xml:space="preserve">Tapping into expertise and knowledge at a broader level; </w:t>
      </w:r>
    </w:p>
    <w:p w14:paraId="7306FDF9" w14:textId="0ABFD4BB" w:rsidR="00213F70" w:rsidRPr="00CC3404" w:rsidRDefault="00213F70" w:rsidP="00E45D56">
      <w:pPr>
        <w:pStyle w:val="ListParagraph"/>
        <w:numPr>
          <w:ilvl w:val="0"/>
          <w:numId w:val="1"/>
        </w:numPr>
        <w:jc w:val="both"/>
        <w:rPr>
          <w:rFonts w:ascii="Times New Roman" w:hAnsi="Times New Roman" w:cs="Times New Roman"/>
        </w:rPr>
      </w:pPr>
      <w:r w:rsidRPr="00CC3404">
        <w:rPr>
          <w:rFonts w:ascii="Times New Roman" w:hAnsi="Times New Roman" w:cs="Times New Roman"/>
        </w:rPr>
        <w:t xml:space="preserve">Bringing together experts and policy makers to develop guidance and guidelines leveraging scare resources at all levels; </w:t>
      </w:r>
    </w:p>
    <w:p w14:paraId="6E4A3469" w14:textId="5EC6C6A7" w:rsidR="00213F70" w:rsidRPr="00CC3404" w:rsidRDefault="00213F70" w:rsidP="00E45D56">
      <w:pPr>
        <w:pStyle w:val="ListParagraph"/>
        <w:numPr>
          <w:ilvl w:val="0"/>
          <w:numId w:val="1"/>
        </w:numPr>
        <w:jc w:val="both"/>
        <w:rPr>
          <w:rFonts w:ascii="Times New Roman" w:hAnsi="Times New Roman" w:cs="Times New Roman"/>
        </w:rPr>
      </w:pPr>
      <w:r w:rsidRPr="00CC3404">
        <w:rPr>
          <w:rFonts w:ascii="Times New Roman" w:hAnsi="Times New Roman" w:cs="Times New Roman"/>
        </w:rPr>
        <w:t xml:space="preserve">Reducing costs by working together to identify options and solutions and developing needed tools and strategies to enhance the environmentally sound management of used products and wastes. </w:t>
      </w:r>
    </w:p>
    <w:p w14:paraId="7526CD44" w14:textId="7EEE1946" w:rsidR="00F170B6" w:rsidRPr="00CC3404" w:rsidRDefault="00CC3404" w:rsidP="00AB64DD">
      <w:pPr>
        <w:jc w:val="both"/>
        <w:rPr>
          <w:rFonts w:ascii="Times New Roman" w:hAnsi="Times New Roman" w:cs="Times New Roman"/>
        </w:rPr>
      </w:pPr>
      <w:r w:rsidRPr="00CC3404">
        <w:rPr>
          <w:rFonts w:ascii="Times New Roman" w:hAnsi="Times New Roman" w:cs="Times New Roman"/>
        </w:rPr>
        <w:t>7.</w:t>
      </w:r>
      <w:r w:rsidRPr="00CC3404">
        <w:rPr>
          <w:rFonts w:ascii="Times New Roman" w:hAnsi="Times New Roman" w:cs="Times New Roman"/>
        </w:rPr>
        <w:tab/>
      </w:r>
      <w:r w:rsidR="008A49BC" w:rsidRPr="00CC3404">
        <w:rPr>
          <w:rFonts w:ascii="Times New Roman" w:hAnsi="Times New Roman" w:cs="Times New Roman"/>
        </w:rPr>
        <w:t xml:space="preserve">The </w:t>
      </w:r>
      <w:r w:rsidR="00417361" w:rsidRPr="00CC3404">
        <w:rPr>
          <w:rFonts w:ascii="Times New Roman" w:hAnsi="Times New Roman" w:cs="Times New Roman"/>
        </w:rPr>
        <w:t xml:space="preserve">first </w:t>
      </w:r>
      <w:r w:rsidR="00125720" w:rsidRPr="00CC3404">
        <w:rPr>
          <w:rFonts w:ascii="Times New Roman" w:hAnsi="Times New Roman" w:cs="Times New Roman"/>
        </w:rPr>
        <w:t xml:space="preserve">work </w:t>
      </w:r>
      <w:r w:rsidR="00E02089" w:rsidRPr="00CC3404">
        <w:rPr>
          <w:rFonts w:ascii="Times New Roman" w:hAnsi="Times New Roman" w:cs="Times New Roman"/>
        </w:rPr>
        <w:t>p</w:t>
      </w:r>
      <w:r w:rsidR="001C5232" w:rsidRPr="00CC3404">
        <w:rPr>
          <w:rFonts w:ascii="Times New Roman" w:hAnsi="Times New Roman" w:cs="Times New Roman"/>
        </w:rPr>
        <w:t>lan</w:t>
      </w:r>
      <w:r w:rsidR="00E02089" w:rsidRPr="00CC3404">
        <w:rPr>
          <w:rFonts w:ascii="Times New Roman" w:hAnsi="Times New Roman" w:cs="Times New Roman"/>
        </w:rPr>
        <w:t xml:space="preserve"> </w:t>
      </w:r>
      <w:r w:rsidR="00213F70" w:rsidRPr="00CC3404">
        <w:rPr>
          <w:rFonts w:ascii="Times New Roman" w:hAnsi="Times New Roman" w:cs="Times New Roman"/>
        </w:rPr>
        <w:t xml:space="preserve">of the Partnership Programme </w:t>
      </w:r>
      <w:r w:rsidR="00E02089" w:rsidRPr="00CC3404">
        <w:rPr>
          <w:rFonts w:ascii="Times New Roman" w:hAnsi="Times New Roman" w:cs="Times New Roman"/>
        </w:rPr>
        <w:t>includes</w:t>
      </w:r>
      <w:r w:rsidR="00341BE9" w:rsidRPr="00CC3404">
        <w:rPr>
          <w:rFonts w:ascii="Times New Roman" w:hAnsi="Times New Roman" w:cs="Times New Roman"/>
        </w:rPr>
        <w:t xml:space="preserve"> a s</w:t>
      </w:r>
      <w:r w:rsidR="00AD31A3" w:rsidRPr="00CC3404">
        <w:rPr>
          <w:rFonts w:ascii="Times New Roman" w:hAnsi="Times New Roman" w:cs="Times New Roman"/>
        </w:rPr>
        <w:t xml:space="preserve">ection on </w:t>
      </w:r>
      <w:r w:rsidR="00341BE9" w:rsidRPr="00CC3404">
        <w:rPr>
          <w:rFonts w:ascii="Times New Roman" w:hAnsi="Times New Roman" w:cs="Times New Roman"/>
        </w:rPr>
        <w:t>G</w:t>
      </w:r>
      <w:r w:rsidR="00AD31A3" w:rsidRPr="00CC3404">
        <w:rPr>
          <w:rFonts w:ascii="Times New Roman" w:hAnsi="Times New Roman" w:cs="Times New Roman"/>
        </w:rPr>
        <w:t xml:space="preserve">eneral </w:t>
      </w:r>
      <w:r w:rsidR="00341BE9" w:rsidRPr="00CC3404">
        <w:rPr>
          <w:rFonts w:ascii="Times New Roman" w:hAnsi="Times New Roman" w:cs="Times New Roman"/>
        </w:rPr>
        <w:t>P</w:t>
      </w:r>
      <w:r w:rsidR="00AD31A3" w:rsidRPr="00CC3404">
        <w:rPr>
          <w:rFonts w:ascii="Times New Roman" w:hAnsi="Times New Roman" w:cs="Times New Roman"/>
        </w:rPr>
        <w:t xml:space="preserve">rinciples, </w:t>
      </w:r>
      <w:r w:rsidR="00341BE9" w:rsidRPr="00CC3404">
        <w:rPr>
          <w:rFonts w:ascii="Times New Roman" w:hAnsi="Times New Roman" w:cs="Times New Roman"/>
        </w:rPr>
        <w:t xml:space="preserve">which </w:t>
      </w:r>
      <w:r w:rsidR="00213F70" w:rsidRPr="00CC3404">
        <w:rPr>
          <w:rFonts w:ascii="Times New Roman" w:hAnsi="Times New Roman" w:cs="Times New Roman"/>
        </w:rPr>
        <w:t>states</w:t>
      </w:r>
      <w:r w:rsidR="00AD31A3" w:rsidRPr="00CC3404">
        <w:rPr>
          <w:rFonts w:ascii="Times New Roman" w:hAnsi="Times New Roman" w:cs="Times New Roman"/>
        </w:rPr>
        <w:t xml:space="preserve"> that partnerships cannot abrogate the rights and responsibilities of Parties to the Convention</w:t>
      </w:r>
      <w:r w:rsidR="00011FA7" w:rsidRPr="00CC3404">
        <w:rPr>
          <w:rFonts w:ascii="Times New Roman" w:hAnsi="Times New Roman" w:cs="Times New Roman"/>
        </w:rPr>
        <w:t xml:space="preserve"> (</w:t>
      </w:r>
      <w:r w:rsidR="00316930" w:rsidRPr="00CC3404">
        <w:rPr>
          <w:rFonts w:ascii="Times New Roman" w:hAnsi="Times New Roman" w:cs="Times New Roman"/>
        </w:rPr>
        <w:t xml:space="preserve">subsequently </w:t>
      </w:r>
      <w:r w:rsidR="00011FA7" w:rsidRPr="00CC3404">
        <w:rPr>
          <w:rFonts w:ascii="Times New Roman" w:hAnsi="Times New Roman" w:cs="Times New Roman"/>
        </w:rPr>
        <w:t xml:space="preserve">reiterated in the </w:t>
      </w:r>
      <w:r w:rsidR="00316930" w:rsidRPr="00CC3404">
        <w:rPr>
          <w:rFonts w:ascii="Times New Roman" w:hAnsi="Times New Roman" w:cs="Times New Roman"/>
        </w:rPr>
        <w:t xml:space="preserve">COP decisions </w:t>
      </w:r>
      <w:r w:rsidR="00011FA7" w:rsidRPr="00CC3404">
        <w:rPr>
          <w:rFonts w:ascii="Times New Roman" w:hAnsi="Times New Roman" w:cs="Times New Roman"/>
        </w:rPr>
        <w:t>establish</w:t>
      </w:r>
      <w:r w:rsidR="00316930" w:rsidRPr="00CC3404">
        <w:rPr>
          <w:rFonts w:ascii="Times New Roman" w:hAnsi="Times New Roman" w:cs="Times New Roman"/>
        </w:rPr>
        <w:t>ing P</w:t>
      </w:r>
      <w:r w:rsidR="00011FA7" w:rsidRPr="00CC3404">
        <w:rPr>
          <w:rFonts w:ascii="Times New Roman" w:hAnsi="Times New Roman" w:cs="Times New Roman"/>
        </w:rPr>
        <w:t>ACE and ENFORCE)</w:t>
      </w:r>
      <w:r w:rsidR="00341BE9" w:rsidRPr="00CC3404">
        <w:rPr>
          <w:rFonts w:ascii="Times New Roman" w:hAnsi="Times New Roman" w:cs="Times New Roman"/>
        </w:rPr>
        <w:t>, and</w:t>
      </w:r>
      <w:r w:rsidR="00AD31A3" w:rsidRPr="00CC3404">
        <w:rPr>
          <w:rFonts w:ascii="Times New Roman" w:hAnsi="Times New Roman" w:cs="Times New Roman"/>
        </w:rPr>
        <w:t xml:space="preserve"> that the Partnership Programme is under the authority of the COP</w:t>
      </w:r>
      <w:r w:rsidR="00341BE9" w:rsidRPr="00CC3404">
        <w:rPr>
          <w:rFonts w:ascii="Times New Roman" w:hAnsi="Times New Roman" w:cs="Times New Roman"/>
        </w:rPr>
        <w:t xml:space="preserve">. It also refers to the UN </w:t>
      </w:r>
      <w:r w:rsidR="001D153A" w:rsidRPr="00CC3404">
        <w:rPr>
          <w:rFonts w:ascii="Times New Roman" w:hAnsi="Times New Roman" w:cs="Times New Roman"/>
        </w:rPr>
        <w:t>G</w:t>
      </w:r>
      <w:r w:rsidR="00341BE9" w:rsidRPr="00CC3404">
        <w:rPr>
          <w:rFonts w:ascii="Times New Roman" w:hAnsi="Times New Roman" w:cs="Times New Roman"/>
        </w:rPr>
        <w:t>uidelines</w:t>
      </w:r>
      <w:r w:rsidR="001D153A" w:rsidRPr="00CC3404">
        <w:rPr>
          <w:rFonts w:ascii="Times New Roman" w:hAnsi="Times New Roman" w:cs="Times New Roman"/>
        </w:rPr>
        <w:t xml:space="preserve"> (discussed in Section </w:t>
      </w:r>
      <w:r w:rsidR="005E2E8B" w:rsidRPr="00CC3404">
        <w:rPr>
          <w:rFonts w:ascii="Times New Roman" w:hAnsi="Times New Roman" w:cs="Times New Roman"/>
        </w:rPr>
        <w:t>4</w:t>
      </w:r>
      <w:r w:rsidR="001D153A" w:rsidRPr="00CC3404">
        <w:rPr>
          <w:rFonts w:ascii="Times New Roman" w:hAnsi="Times New Roman" w:cs="Times New Roman"/>
        </w:rPr>
        <w:t>.3. below)</w:t>
      </w:r>
      <w:r w:rsidR="007603EC" w:rsidRPr="00CC3404">
        <w:rPr>
          <w:rFonts w:ascii="Times New Roman" w:hAnsi="Times New Roman" w:cs="Times New Roman"/>
        </w:rPr>
        <w:t xml:space="preserve">, </w:t>
      </w:r>
      <w:r w:rsidR="00011FA7" w:rsidRPr="00CC3404">
        <w:rPr>
          <w:rFonts w:ascii="Times New Roman" w:hAnsi="Times New Roman" w:cs="Times New Roman"/>
        </w:rPr>
        <w:t>reiterat</w:t>
      </w:r>
      <w:r w:rsidR="007603EC" w:rsidRPr="00CC3404">
        <w:rPr>
          <w:rFonts w:ascii="Times New Roman" w:hAnsi="Times New Roman" w:cs="Times New Roman"/>
        </w:rPr>
        <w:t>ing</w:t>
      </w:r>
      <w:r w:rsidR="00011FA7" w:rsidRPr="00CC3404">
        <w:rPr>
          <w:rFonts w:ascii="Times New Roman" w:hAnsi="Times New Roman" w:cs="Times New Roman"/>
        </w:rPr>
        <w:t xml:space="preserve"> </w:t>
      </w:r>
      <w:r w:rsidR="00417361" w:rsidRPr="00CC3404">
        <w:rPr>
          <w:rFonts w:ascii="Times New Roman" w:hAnsi="Times New Roman" w:cs="Times New Roman"/>
        </w:rPr>
        <w:t>their</w:t>
      </w:r>
      <w:r w:rsidR="00011FA7" w:rsidRPr="00CC3404">
        <w:rPr>
          <w:rFonts w:ascii="Times New Roman" w:hAnsi="Times New Roman" w:cs="Times New Roman"/>
        </w:rPr>
        <w:t xml:space="preserve"> key principles for cooperation with non-state actors. </w:t>
      </w:r>
      <w:r w:rsidR="00E02089" w:rsidRPr="00CC3404">
        <w:rPr>
          <w:rFonts w:ascii="Times New Roman" w:hAnsi="Times New Roman" w:cs="Times New Roman"/>
        </w:rPr>
        <w:t xml:space="preserve">Although not explicitly stated, this addresses some of the perceived risks inherent in </w:t>
      </w:r>
      <w:r w:rsidR="005E2E8B" w:rsidRPr="00CC3404">
        <w:rPr>
          <w:rFonts w:ascii="Times New Roman" w:hAnsi="Times New Roman" w:cs="Times New Roman"/>
        </w:rPr>
        <w:t xml:space="preserve">such </w:t>
      </w:r>
      <w:r w:rsidR="00E02089" w:rsidRPr="00CC3404">
        <w:rPr>
          <w:rFonts w:ascii="Times New Roman" w:hAnsi="Times New Roman" w:cs="Times New Roman"/>
        </w:rPr>
        <w:t xml:space="preserve">cooperation. </w:t>
      </w:r>
    </w:p>
    <w:p w14:paraId="77697C94" w14:textId="03BD5238" w:rsidR="00F170B6" w:rsidRPr="00CC3404" w:rsidRDefault="00CC3404" w:rsidP="00AB64DD">
      <w:pPr>
        <w:jc w:val="both"/>
        <w:rPr>
          <w:rFonts w:ascii="Times New Roman" w:hAnsi="Times New Roman" w:cs="Times New Roman"/>
        </w:rPr>
      </w:pPr>
      <w:r w:rsidRPr="00CC3404">
        <w:rPr>
          <w:rFonts w:ascii="Times New Roman" w:hAnsi="Times New Roman" w:cs="Times New Roman"/>
        </w:rPr>
        <w:lastRenderedPageBreak/>
        <w:t>8.</w:t>
      </w:r>
      <w:r w:rsidRPr="00CC3404">
        <w:rPr>
          <w:rFonts w:ascii="Times New Roman" w:hAnsi="Times New Roman" w:cs="Times New Roman"/>
        </w:rPr>
        <w:tab/>
      </w:r>
      <w:r w:rsidR="00507355" w:rsidRPr="00CC3404">
        <w:rPr>
          <w:rFonts w:ascii="Times New Roman" w:hAnsi="Times New Roman" w:cs="Times New Roman"/>
        </w:rPr>
        <w:t xml:space="preserve">The </w:t>
      </w:r>
      <w:r w:rsidR="00806CAA" w:rsidRPr="00CC3404">
        <w:rPr>
          <w:rFonts w:ascii="Times New Roman" w:hAnsi="Times New Roman" w:cs="Times New Roman"/>
        </w:rPr>
        <w:t xml:space="preserve">stated </w:t>
      </w:r>
      <w:r w:rsidR="00507355" w:rsidRPr="00CC3404">
        <w:rPr>
          <w:rFonts w:ascii="Times New Roman" w:hAnsi="Times New Roman" w:cs="Times New Roman"/>
        </w:rPr>
        <w:t xml:space="preserve">objectives reflect an expectation of concrete outcomes, </w:t>
      </w:r>
      <w:r w:rsidR="001C5232" w:rsidRPr="00CC3404">
        <w:rPr>
          <w:rFonts w:ascii="Times New Roman" w:hAnsi="Times New Roman" w:cs="Times New Roman"/>
        </w:rPr>
        <w:t>including</w:t>
      </w:r>
      <w:r w:rsidR="00507355" w:rsidRPr="00CC3404">
        <w:rPr>
          <w:rFonts w:ascii="Times New Roman" w:hAnsi="Times New Roman" w:cs="Times New Roman"/>
        </w:rPr>
        <w:t xml:space="preserve"> practical project activity</w:t>
      </w:r>
      <w:r w:rsidR="001C5232" w:rsidRPr="00CC3404">
        <w:rPr>
          <w:rFonts w:ascii="Times New Roman" w:hAnsi="Times New Roman" w:cs="Times New Roman"/>
        </w:rPr>
        <w:t xml:space="preserve"> and a broadening of the resource and support base of the Convention, as well as improved stakeholder participation. The work plan identifies priority areas of </w:t>
      </w:r>
      <w:r w:rsidR="00806CAA" w:rsidRPr="00CC3404">
        <w:rPr>
          <w:rFonts w:ascii="Times New Roman" w:hAnsi="Times New Roman" w:cs="Times New Roman"/>
        </w:rPr>
        <w:t xml:space="preserve">partnership </w:t>
      </w:r>
      <w:r w:rsidR="001C5232" w:rsidRPr="00CC3404">
        <w:rPr>
          <w:rFonts w:ascii="Times New Roman" w:hAnsi="Times New Roman" w:cs="Times New Roman"/>
        </w:rPr>
        <w:t>engagement based on the 2002 Strategic Plan of Implementation. Th</w:t>
      </w:r>
      <w:r w:rsidR="007603EC" w:rsidRPr="00CC3404">
        <w:rPr>
          <w:rFonts w:ascii="Times New Roman" w:hAnsi="Times New Roman" w:cs="Times New Roman"/>
        </w:rPr>
        <w:t>ese</w:t>
      </w:r>
      <w:r w:rsidR="001C5232" w:rsidRPr="00CC3404">
        <w:rPr>
          <w:rFonts w:ascii="Times New Roman" w:hAnsi="Times New Roman" w:cs="Times New Roman"/>
        </w:rPr>
        <w:t xml:space="preserve"> were </w:t>
      </w:r>
      <w:r w:rsidR="00F170B6" w:rsidRPr="00CC3404">
        <w:rPr>
          <w:rFonts w:ascii="Times New Roman" w:hAnsi="Times New Roman" w:cs="Times New Roman"/>
        </w:rPr>
        <w:t>subsequently referred to as focus areas.</w:t>
      </w:r>
    </w:p>
    <w:p w14:paraId="085AF34B" w14:textId="3CE23B55" w:rsidR="001548A6" w:rsidRPr="00CC3404" w:rsidRDefault="00CC3404" w:rsidP="00AB64DD">
      <w:pPr>
        <w:jc w:val="both"/>
        <w:rPr>
          <w:rFonts w:ascii="Times New Roman" w:hAnsi="Times New Roman" w:cs="Times New Roman"/>
        </w:rPr>
      </w:pPr>
      <w:r w:rsidRPr="00CC3404">
        <w:rPr>
          <w:rFonts w:ascii="Times New Roman" w:hAnsi="Times New Roman" w:cs="Times New Roman"/>
        </w:rPr>
        <w:t>9.</w:t>
      </w:r>
      <w:r w:rsidRPr="00CC3404">
        <w:rPr>
          <w:rFonts w:ascii="Times New Roman" w:hAnsi="Times New Roman" w:cs="Times New Roman"/>
        </w:rPr>
        <w:tab/>
      </w:r>
      <w:r w:rsidR="00F170B6" w:rsidRPr="00CC3404">
        <w:rPr>
          <w:rFonts w:ascii="Times New Roman" w:hAnsi="Times New Roman" w:cs="Times New Roman"/>
        </w:rPr>
        <w:t xml:space="preserve">The </w:t>
      </w:r>
      <w:r w:rsidR="001C5232" w:rsidRPr="00CC3404">
        <w:rPr>
          <w:rFonts w:ascii="Times New Roman" w:hAnsi="Times New Roman" w:cs="Times New Roman"/>
        </w:rPr>
        <w:t>stakeholders</w:t>
      </w:r>
      <w:r w:rsidR="00F170B6" w:rsidRPr="00CC3404">
        <w:rPr>
          <w:rFonts w:ascii="Times New Roman" w:hAnsi="Times New Roman" w:cs="Times New Roman"/>
        </w:rPr>
        <w:t xml:space="preserve"> </w:t>
      </w:r>
      <w:r w:rsidR="007603EC" w:rsidRPr="00CC3404">
        <w:rPr>
          <w:rFonts w:ascii="Times New Roman" w:hAnsi="Times New Roman" w:cs="Times New Roman"/>
        </w:rPr>
        <w:t xml:space="preserve">eligible to participate </w:t>
      </w:r>
      <w:r w:rsidR="00417361" w:rsidRPr="00CC3404">
        <w:rPr>
          <w:rFonts w:ascii="Times New Roman" w:hAnsi="Times New Roman" w:cs="Times New Roman"/>
        </w:rPr>
        <w:t>are</w:t>
      </w:r>
      <w:r w:rsidR="00F170B6" w:rsidRPr="00CC3404">
        <w:rPr>
          <w:rFonts w:ascii="Times New Roman" w:hAnsi="Times New Roman" w:cs="Times New Roman"/>
        </w:rPr>
        <w:t xml:space="preserve"> not explicitly </w:t>
      </w:r>
      <w:r w:rsidR="00FF478F" w:rsidRPr="00CC3404">
        <w:rPr>
          <w:rFonts w:ascii="Times New Roman" w:hAnsi="Times New Roman" w:cs="Times New Roman"/>
        </w:rPr>
        <w:t>enumerated or defined</w:t>
      </w:r>
      <w:r w:rsidR="001C5232" w:rsidRPr="00CC3404">
        <w:rPr>
          <w:rFonts w:ascii="Times New Roman" w:hAnsi="Times New Roman" w:cs="Times New Roman"/>
        </w:rPr>
        <w:t xml:space="preserve">. The focus </w:t>
      </w:r>
      <w:r w:rsidR="00417361" w:rsidRPr="00CC3404">
        <w:rPr>
          <w:rFonts w:ascii="Times New Roman" w:hAnsi="Times New Roman" w:cs="Times New Roman"/>
        </w:rPr>
        <w:t>is</w:t>
      </w:r>
      <w:r w:rsidR="001C5232" w:rsidRPr="00CC3404">
        <w:rPr>
          <w:rFonts w:ascii="Times New Roman" w:hAnsi="Times New Roman" w:cs="Times New Roman"/>
        </w:rPr>
        <w:t xml:space="preserve"> on </w:t>
      </w:r>
      <w:r w:rsidR="00F170B6" w:rsidRPr="00CC3404">
        <w:rPr>
          <w:rFonts w:ascii="Times New Roman" w:hAnsi="Times New Roman" w:cs="Times New Roman"/>
        </w:rPr>
        <w:t>NGOs and philanthropic foundations, while industr</w:t>
      </w:r>
      <w:r w:rsidR="00526915" w:rsidRPr="00CC3404">
        <w:rPr>
          <w:rFonts w:ascii="Times New Roman" w:hAnsi="Times New Roman" w:cs="Times New Roman"/>
        </w:rPr>
        <w:t>ies</w:t>
      </w:r>
      <w:r w:rsidR="00F170B6" w:rsidRPr="00CC3404">
        <w:rPr>
          <w:rFonts w:ascii="Times New Roman" w:hAnsi="Times New Roman" w:cs="Times New Roman"/>
        </w:rPr>
        <w:t xml:space="preserve"> </w:t>
      </w:r>
      <w:r w:rsidR="00526915" w:rsidRPr="00CC3404">
        <w:rPr>
          <w:rFonts w:ascii="Times New Roman" w:hAnsi="Times New Roman" w:cs="Times New Roman"/>
        </w:rPr>
        <w:t xml:space="preserve">and businesses </w:t>
      </w:r>
      <w:r w:rsidR="00417361" w:rsidRPr="00CC3404">
        <w:rPr>
          <w:rFonts w:ascii="Times New Roman" w:hAnsi="Times New Roman" w:cs="Times New Roman"/>
        </w:rPr>
        <w:t>are</w:t>
      </w:r>
      <w:r w:rsidR="00F170B6" w:rsidRPr="00CC3404">
        <w:rPr>
          <w:rFonts w:ascii="Times New Roman" w:hAnsi="Times New Roman" w:cs="Times New Roman"/>
        </w:rPr>
        <w:t xml:space="preserve"> mentioned in passing. </w:t>
      </w:r>
      <w:r w:rsidR="001C5232" w:rsidRPr="00CC3404">
        <w:rPr>
          <w:rFonts w:ascii="Times New Roman" w:hAnsi="Times New Roman" w:cs="Times New Roman"/>
        </w:rPr>
        <w:t>The work plan set</w:t>
      </w:r>
      <w:r w:rsidR="00417361" w:rsidRPr="00CC3404">
        <w:rPr>
          <w:rFonts w:ascii="Times New Roman" w:hAnsi="Times New Roman" w:cs="Times New Roman"/>
        </w:rPr>
        <w:t>s</w:t>
      </w:r>
      <w:r w:rsidR="001548A6" w:rsidRPr="00CC3404">
        <w:rPr>
          <w:rFonts w:ascii="Times New Roman" w:hAnsi="Times New Roman" w:cs="Times New Roman"/>
        </w:rPr>
        <w:t xml:space="preserve"> out criteria for the selection of partners, including demonstrated commitment and expertise in the relevant areas of work. </w:t>
      </w:r>
    </w:p>
    <w:p w14:paraId="790786B4" w14:textId="215120AC" w:rsidR="004E5891" w:rsidRPr="00CC3404" w:rsidRDefault="00CC3404" w:rsidP="00AB64DD">
      <w:pPr>
        <w:jc w:val="both"/>
        <w:rPr>
          <w:rFonts w:ascii="Times New Roman" w:hAnsi="Times New Roman" w:cs="Times New Roman"/>
        </w:rPr>
      </w:pPr>
      <w:r w:rsidRPr="00CC3404">
        <w:rPr>
          <w:rFonts w:ascii="Times New Roman" w:hAnsi="Times New Roman" w:cs="Times New Roman"/>
        </w:rPr>
        <w:t>10.</w:t>
      </w:r>
      <w:r w:rsidRPr="00CC3404">
        <w:rPr>
          <w:rFonts w:ascii="Times New Roman" w:hAnsi="Times New Roman" w:cs="Times New Roman"/>
        </w:rPr>
        <w:tab/>
      </w:r>
      <w:r w:rsidR="00AD4FA3" w:rsidRPr="00CC3404">
        <w:rPr>
          <w:rFonts w:ascii="Times New Roman" w:hAnsi="Times New Roman" w:cs="Times New Roman"/>
        </w:rPr>
        <w:t xml:space="preserve">While </w:t>
      </w:r>
      <w:r w:rsidR="004E5891" w:rsidRPr="00CC3404">
        <w:rPr>
          <w:rFonts w:ascii="Times New Roman" w:hAnsi="Times New Roman" w:cs="Times New Roman"/>
        </w:rPr>
        <w:t>the Secretariat initially reported a</w:t>
      </w:r>
      <w:r w:rsidR="00AD4FA3" w:rsidRPr="00CC3404">
        <w:rPr>
          <w:rFonts w:ascii="Times New Roman" w:hAnsi="Times New Roman" w:cs="Times New Roman"/>
        </w:rPr>
        <w:t xml:space="preserve">ll activities involving cooperation with non-state actors </w:t>
      </w:r>
      <w:r w:rsidR="00CA1262" w:rsidRPr="00CC3404">
        <w:rPr>
          <w:rFonts w:ascii="Times New Roman" w:hAnsi="Times New Roman" w:cs="Times New Roman"/>
        </w:rPr>
        <w:t xml:space="preserve">to COP </w:t>
      </w:r>
      <w:r w:rsidR="00AD4FA3" w:rsidRPr="00CC3404">
        <w:rPr>
          <w:rFonts w:ascii="Times New Roman" w:hAnsi="Times New Roman" w:cs="Times New Roman"/>
        </w:rPr>
        <w:t xml:space="preserve">under the Partnership Programme, COP 9 in 2008 </w:t>
      </w:r>
      <w:r w:rsidR="00EC0A23" w:rsidRPr="00CC3404">
        <w:rPr>
          <w:rFonts w:ascii="Times New Roman" w:hAnsi="Times New Roman" w:cs="Times New Roman"/>
        </w:rPr>
        <w:t>determined that some of the activities</w:t>
      </w:r>
      <w:r w:rsidR="004A739F" w:rsidRPr="00CC3404">
        <w:rPr>
          <w:rFonts w:ascii="Times New Roman" w:hAnsi="Times New Roman" w:cs="Times New Roman"/>
        </w:rPr>
        <w:t xml:space="preserve">, in particular those with no multi-stakeholder participation, </w:t>
      </w:r>
      <w:r w:rsidR="008C41A9" w:rsidRPr="00CC3404">
        <w:rPr>
          <w:rFonts w:ascii="Times New Roman" w:hAnsi="Times New Roman" w:cs="Times New Roman"/>
        </w:rPr>
        <w:t xml:space="preserve">should be considered international cooperation projects and transferred to the BCRCs or </w:t>
      </w:r>
      <w:r w:rsidR="004A739F" w:rsidRPr="00CC3404">
        <w:rPr>
          <w:rFonts w:ascii="Times New Roman" w:hAnsi="Times New Roman" w:cs="Times New Roman"/>
        </w:rPr>
        <w:t>to other organizations</w:t>
      </w:r>
      <w:r w:rsidR="00AD31A3" w:rsidRPr="00CC3404">
        <w:rPr>
          <w:rStyle w:val="FootnoteReference"/>
          <w:rFonts w:ascii="Times New Roman" w:hAnsi="Times New Roman" w:cs="Times New Roman"/>
        </w:rPr>
        <w:footnoteReference w:id="7"/>
      </w:r>
      <w:r w:rsidR="00AD31A3" w:rsidRPr="00CC3404">
        <w:rPr>
          <w:rFonts w:ascii="Times New Roman" w:hAnsi="Times New Roman" w:cs="Times New Roman"/>
        </w:rPr>
        <w:t xml:space="preserve">. </w:t>
      </w:r>
      <w:r w:rsidR="004E5891" w:rsidRPr="00CC3404">
        <w:rPr>
          <w:rFonts w:ascii="Times New Roman" w:hAnsi="Times New Roman" w:cs="Times New Roman"/>
        </w:rPr>
        <w:t>Th</w:t>
      </w:r>
      <w:r w:rsidR="007C61E5" w:rsidRPr="00CC3404">
        <w:rPr>
          <w:rFonts w:ascii="Times New Roman" w:hAnsi="Times New Roman" w:cs="Times New Roman"/>
        </w:rPr>
        <w:t>is</w:t>
      </w:r>
      <w:r w:rsidR="004E5891" w:rsidRPr="00CC3404">
        <w:rPr>
          <w:rFonts w:ascii="Times New Roman" w:hAnsi="Times New Roman" w:cs="Times New Roman"/>
        </w:rPr>
        <w:t xml:space="preserve"> decision was in part linked to </w:t>
      </w:r>
      <w:r w:rsidR="007C61E5" w:rsidRPr="00CC3404">
        <w:rPr>
          <w:rFonts w:ascii="Times New Roman" w:hAnsi="Times New Roman" w:cs="Times New Roman"/>
        </w:rPr>
        <w:t xml:space="preserve">the proliferation of partnership proposals, </w:t>
      </w:r>
      <w:r w:rsidR="004E5891" w:rsidRPr="00CC3404">
        <w:rPr>
          <w:rFonts w:ascii="Times New Roman" w:hAnsi="Times New Roman" w:cs="Times New Roman"/>
        </w:rPr>
        <w:t>lack of extrabudgetary funding for the implementation of some of the partnerships</w:t>
      </w:r>
      <w:r w:rsidR="007C61E5" w:rsidRPr="00CC3404">
        <w:rPr>
          <w:rFonts w:ascii="Times New Roman" w:hAnsi="Times New Roman" w:cs="Times New Roman"/>
        </w:rPr>
        <w:t xml:space="preserve"> (</w:t>
      </w:r>
      <w:r w:rsidR="004E5891" w:rsidRPr="00CC3404">
        <w:rPr>
          <w:rFonts w:ascii="Times New Roman" w:hAnsi="Times New Roman" w:cs="Times New Roman"/>
        </w:rPr>
        <w:t>including in particular regional partnerships implemented by the BCRCs without multi-stakeholder participation</w:t>
      </w:r>
      <w:r w:rsidR="007C61E5" w:rsidRPr="00CC3404">
        <w:rPr>
          <w:rFonts w:ascii="Times New Roman" w:hAnsi="Times New Roman" w:cs="Times New Roman"/>
        </w:rPr>
        <w:t>)</w:t>
      </w:r>
      <w:r w:rsidR="004E5891" w:rsidRPr="00CC3404">
        <w:rPr>
          <w:rFonts w:ascii="Times New Roman" w:hAnsi="Times New Roman" w:cs="Times New Roman"/>
        </w:rPr>
        <w:t xml:space="preserve">, as well as to the discontinuation of the extrabudgetary Senior Programme Officer position due to lack of funding.  </w:t>
      </w:r>
    </w:p>
    <w:p w14:paraId="337AA91B" w14:textId="71693F40" w:rsidR="004E5891" w:rsidRPr="00CC3404" w:rsidRDefault="00CC3404" w:rsidP="00447D11">
      <w:pPr>
        <w:jc w:val="both"/>
        <w:rPr>
          <w:rFonts w:ascii="Times New Roman" w:hAnsi="Times New Roman" w:cs="Times New Roman"/>
        </w:rPr>
      </w:pPr>
      <w:r w:rsidRPr="00CC3404">
        <w:rPr>
          <w:rFonts w:ascii="Times New Roman" w:hAnsi="Times New Roman" w:cs="Times New Roman"/>
        </w:rPr>
        <w:t>11.</w:t>
      </w:r>
      <w:r w:rsidRPr="00CC3404">
        <w:rPr>
          <w:rFonts w:ascii="Times New Roman" w:hAnsi="Times New Roman" w:cs="Times New Roman"/>
        </w:rPr>
        <w:tab/>
      </w:r>
      <w:r w:rsidR="004A739F" w:rsidRPr="00CC3404">
        <w:rPr>
          <w:rFonts w:ascii="Times New Roman" w:hAnsi="Times New Roman" w:cs="Times New Roman"/>
        </w:rPr>
        <w:t>Th</w:t>
      </w:r>
      <w:r w:rsidR="00F0376D" w:rsidRPr="00CC3404">
        <w:rPr>
          <w:rFonts w:ascii="Times New Roman" w:hAnsi="Times New Roman" w:cs="Times New Roman"/>
        </w:rPr>
        <w:t xml:space="preserve">ese developments </w:t>
      </w:r>
      <w:r w:rsidR="004A739F" w:rsidRPr="00CC3404">
        <w:rPr>
          <w:rFonts w:ascii="Times New Roman" w:hAnsi="Times New Roman" w:cs="Times New Roman"/>
        </w:rPr>
        <w:t>gave rise to the distinction between two types of partnerships</w:t>
      </w:r>
      <w:r w:rsidR="00806CAA" w:rsidRPr="00CC3404">
        <w:rPr>
          <w:rFonts w:ascii="Times New Roman" w:hAnsi="Times New Roman" w:cs="Times New Roman"/>
        </w:rPr>
        <w:t xml:space="preserve"> under the Convention</w:t>
      </w:r>
      <w:r w:rsidR="004E5891" w:rsidRPr="00CC3404">
        <w:rPr>
          <w:rStyle w:val="FootnoteReference"/>
          <w:rFonts w:ascii="Times New Roman" w:hAnsi="Times New Roman" w:cs="Times New Roman"/>
        </w:rPr>
        <w:footnoteReference w:id="8"/>
      </w:r>
      <w:r w:rsidR="004E5891" w:rsidRPr="00CC3404">
        <w:rPr>
          <w:rFonts w:ascii="Times New Roman" w:hAnsi="Times New Roman" w:cs="Times New Roman"/>
        </w:rPr>
        <w:t>:</w:t>
      </w:r>
      <w:r w:rsidR="004A739F" w:rsidRPr="00CC3404">
        <w:rPr>
          <w:rFonts w:ascii="Times New Roman" w:hAnsi="Times New Roman" w:cs="Times New Roman"/>
        </w:rPr>
        <w:t xml:space="preserve"> </w:t>
      </w:r>
    </w:p>
    <w:p w14:paraId="16F75F40" w14:textId="336A1DD4" w:rsidR="004E5891" w:rsidRPr="00CC3404" w:rsidRDefault="004E5891" w:rsidP="00E45D56">
      <w:pPr>
        <w:pStyle w:val="ListParagraph"/>
        <w:numPr>
          <w:ilvl w:val="0"/>
          <w:numId w:val="2"/>
        </w:numPr>
        <w:ind w:left="1170" w:hanging="450"/>
        <w:jc w:val="both"/>
        <w:rPr>
          <w:rFonts w:ascii="Times New Roman" w:hAnsi="Times New Roman" w:cs="Times New Roman"/>
          <w:lang w:val="en-US"/>
        </w:rPr>
      </w:pPr>
      <w:r w:rsidRPr="00CC3404">
        <w:rPr>
          <w:rFonts w:ascii="Times New Roman" w:hAnsi="Times New Roman" w:cs="Times New Roman"/>
        </w:rPr>
        <w:t xml:space="preserve">Global multi-stakeholder partnerships established by the COP, where the COP adopts the </w:t>
      </w:r>
      <w:r w:rsidRPr="00CC3404">
        <w:rPr>
          <w:rFonts w:ascii="Times New Roman" w:hAnsi="Times New Roman" w:cs="Times New Roman"/>
          <w:lang w:val="en-US"/>
        </w:rPr>
        <w:t xml:space="preserve">Terms of Reference and work plans and approves the membership, and the Convention Secretariat has a facilitating role and provides expertise. </w:t>
      </w:r>
      <w:r w:rsidRPr="00CC3404">
        <w:rPr>
          <w:rFonts w:ascii="Times New Roman" w:hAnsi="Times New Roman" w:cs="Times New Roman"/>
        </w:rPr>
        <w:t xml:space="preserve">Their tasks include </w:t>
      </w:r>
      <w:r w:rsidR="00CB799F" w:rsidRPr="00CC3404">
        <w:rPr>
          <w:rFonts w:ascii="Times New Roman" w:hAnsi="Times New Roman" w:cs="Times New Roman"/>
        </w:rPr>
        <w:t xml:space="preserve">information exchange and, usually, </w:t>
      </w:r>
      <w:r w:rsidRPr="00CC3404">
        <w:rPr>
          <w:rFonts w:ascii="Times New Roman" w:hAnsi="Times New Roman" w:cs="Times New Roman"/>
        </w:rPr>
        <w:t xml:space="preserve">the development of guidance documents. </w:t>
      </w:r>
      <w:r w:rsidR="002D4F24" w:rsidRPr="00CC3404">
        <w:rPr>
          <w:rFonts w:ascii="Times New Roman" w:hAnsi="Times New Roman" w:cs="Times New Roman"/>
        </w:rPr>
        <w:t>For ease of reference, t</w:t>
      </w:r>
      <w:r w:rsidRPr="00CC3404">
        <w:rPr>
          <w:rFonts w:ascii="Times New Roman" w:hAnsi="Times New Roman" w:cs="Times New Roman"/>
        </w:rPr>
        <w:t xml:space="preserve">hey are referred to </w:t>
      </w:r>
      <w:r w:rsidR="00526915" w:rsidRPr="00CC3404">
        <w:rPr>
          <w:rFonts w:ascii="Times New Roman" w:hAnsi="Times New Roman" w:cs="Times New Roman"/>
        </w:rPr>
        <w:t xml:space="preserve">in this report </w:t>
      </w:r>
      <w:r w:rsidRPr="00CC3404">
        <w:rPr>
          <w:rFonts w:ascii="Times New Roman" w:hAnsi="Times New Roman" w:cs="Times New Roman"/>
        </w:rPr>
        <w:t>as “Partnerships” (capital P)</w:t>
      </w:r>
      <w:r w:rsidR="00E77AEB">
        <w:rPr>
          <w:rFonts w:ascii="Times New Roman" w:hAnsi="Times New Roman" w:cs="Times New Roman"/>
        </w:rPr>
        <w:t>;</w:t>
      </w:r>
      <w:r w:rsidRPr="00CC3404">
        <w:rPr>
          <w:rFonts w:ascii="Times New Roman" w:hAnsi="Times New Roman" w:cs="Times New Roman"/>
        </w:rPr>
        <w:t xml:space="preserve"> </w:t>
      </w:r>
    </w:p>
    <w:p w14:paraId="2B0DE7F4" w14:textId="7AC0BB8D" w:rsidR="004E5891" w:rsidRPr="00CC3404" w:rsidRDefault="004E5891" w:rsidP="00E45D56">
      <w:pPr>
        <w:pStyle w:val="ListParagraph"/>
        <w:numPr>
          <w:ilvl w:val="0"/>
          <w:numId w:val="2"/>
        </w:numPr>
        <w:ind w:left="1170" w:hanging="450"/>
        <w:jc w:val="both"/>
        <w:rPr>
          <w:rFonts w:ascii="Times New Roman" w:hAnsi="Times New Roman" w:cs="Times New Roman"/>
        </w:rPr>
      </w:pPr>
      <w:r w:rsidRPr="00CC3404">
        <w:rPr>
          <w:rFonts w:ascii="Times New Roman" w:hAnsi="Times New Roman" w:cs="Times New Roman"/>
          <w:lang w:val="en-US"/>
        </w:rPr>
        <w:t>Partnerships</w:t>
      </w:r>
      <w:r w:rsidRPr="00CC3404">
        <w:rPr>
          <w:rFonts w:ascii="Times New Roman" w:hAnsi="Times New Roman" w:cs="Times New Roman"/>
        </w:rPr>
        <w:t xml:space="preserve"> </w:t>
      </w:r>
      <w:r w:rsidRPr="00CC3404">
        <w:rPr>
          <w:rFonts w:ascii="Times New Roman" w:hAnsi="Times New Roman" w:cs="Times New Roman"/>
          <w:lang w:val="en-US"/>
        </w:rPr>
        <w:t>and technical cooperation initiatives led by other organizations in which the Secretariat participates as one of the partners</w:t>
      </w:r>
      <w:r w:rsidRPr="00CC3404">
        <w:rPr>
          <w:rFonts w:ascii="Times New Roman" w:hAnsi="Times New Roman" w:cs="Times New Roman"/>
        </w:rPr>
        <w:t xml:space="preserve"> with a view to promoting </w:t>
      </w:r>
      <w:r w:rsidRPr="00CC3404">
        <w:rPr>
          <w:rFonts w:ascii="Times New Roman" w:eastAsia="Eurostile" w:hAnsi="Times New Roman" w:cs="Times New Roman"/>
        </w:rPr>
        <w:t xml:space="preserve">the guidelines and tools developed under the Convention. </w:t>
      </w:r>
      <w:r w:rsidR="005031E1" w:rsidRPr="00CC3404">
        <w:rPr>
          <w:rFonts w:ascii="Times New Roman" w:hAnsi="Times New Roman" w:cs="Times New Roman"/>
        </w:rPr>
        <w:t>For ease of reference, t</w:t>
      </w:r>
      <w:r w:rsidRPr="00CC3404">
        <w:rPr>
          <w:rFonts w:ascii="Times New Roman" w:eastAsia="Eurostile" w:hAnsi="Times New Roman" w:cs="Times New Roman"/>
        </w:rPr>
        <w:t xml:space="preserve">hese are referred to </w:t>
      </w:r>
      <w:r w:rsidR="005031E1" w:rsidRPr="00CC3404">
        <w:rPr>
          <w:rFonts w:ascii="Times New Roman" w:eastAsia="Eurostile" w:hAnsi="Times New Roman" w:cs="Times New Roman"/>
        </w:rPr>
        <w:t xml:space="preserve">in this report </w:t>
      </w:r>
      <w:r w:rsidRPr="00CC3404">
        <w:rPr>
          <w:rFonts w:ascii="Times New Roman" w:eastAsia="Eurostile" w:hAnsi="Times New Roman" w:cs="Times New Roman"/>
        </w:rPr>
        <w:t xml:space="preserve">as “partnerships” (lower case p). </w:t>
      </w:r>
    </w:p>
    <w:p w14:paraId="5B3F38BC" w14:textId="2B1362AB" w:rsidR="00F34F61" w:rsidRPr="00CC3404" w:rsidRDefault="00CC3404" w:rsidP="00447D11">
      <w:pPr>
        <w:jc w:val="both"/>
        <w:rPr>
          <w:rFonts w:ascii="Times New Roman" w:hAnsi="Times New Roman" w:cs="Times New Roman"/>
        </w:rPr>
      </w:pPr>
      <w:r w:rsidRPr="00CC3404">
        <w:rPr>
          <w:rFonts w:ascii="Times New Roman" w:hAnsi="Times New Roman" w:cs="Times New Roman"/>
        </w:rPr>
        <w:t>12.</w:t>
      </w:r>
      <w:r w:rsidRPr="00CC3404">
        <w:rPr>
          <w:rFonts w:ascii="Times New Roman" w:hAnsi="Times New Roman" w:cs="Times New Roman"/>
        </w:rPr>
        <w:tab/>
      </w:r>
      <w:r w:rsidR="00F34F61" w:rsidRPr="00CC3404">
        <w:rPr>
          <w:rFonts w:ascii="Times New Roman" w:hAnsi="Times New Roman" w:cs="Times New Roman"/>
        </w:rPr>
        <w:t xml:space="preserve">In the framework of the synergies process, the concept of “partnership” was expanded to the Rotterdam and Stockholm Conventions in 2013, when the term was used to describe one of the four </w:t>
      </w:r>
      <w:r w:rsidR="00F17F8B" w:rsidRPr="00CC3404">
        <w:rPr>
          <w:rFonts w:ascii="Times New Roman" w:hAnsi="Times New Roman" w:cs="Times New Roman"/>
        </w:rPr>
        <w:t xml:space="preserve">components </w:t>
      </w:r>
      <w:r w:rsidR="00F34F61" w:rsidRPr="00CC3404">
        <w:rPr>
          <w:rFonts w:ascii="Times New Roman" w:hAnsi="Times New Roman" w:cs="Times New Roman"/>
        </w:rPr>
        <w:t xml:space="preserve">of </w:t>
      </w:r>
      <w:r w:rsidR="00417361" w:rsidRPr="00CC3404">
        <w:rPr>
          <w:rFonts w:ascii="Times New Roman" w:hAnsi="Times New Roman" w:cs="Times New Roman"/>
        </w:rPr>
        <w:t>the</w:t>
      </w:r>
      <w:r w:rsidR="00F34F61" w:rsidRPr="00CC3404">
        <w:rPr>
          <w:rFonts w:ascii="Times New Roman" w:hAnsi="Times New Roman" w:cs="Times New Roman"/>
        </w:rPr>
        <w:t xml:space="preserve"> newly synergized technical assistance programme</w:t>
      </w:r>
      <w:r w:rsidR="00417361" w:rsidRPr="00CC3404">
        <w:rPr>
          <w:rFonts w:ascii="Times New Roman" w:hAnsi="Times New Roman" w:cs="Times New Roman"/>
        </w:rPr>
        <w:t xml:space="preserve"> (</w:t>
      </w:r>
      <w:r w:rsidR="007C757D" w:rsidRPr="00CC3404">
        <w:rPr>
          <w:rFonts w:ascii="Times New Roman" w:hAnsi="Times New Roman" w:cs="Times New Roman"/>
        </w:rPr>
        <w:t>the other three being needs assessment and development of supporting tools and mechanisms; capacity development; and regional delivery</w:t>
      </w:r>
      <w:r w:rsidR="00417361" w:rsidRPr="00CC3404">
        <w:rPr>
          <w:rFonts w:ascii="Times New Roman" w:hAnsi="Times New Roman" w:cs="Times New Roman"/>
        </w:rPr>
        <w:t>)</w:t>
      </w:r>
      <w:r w:rsidR="00F34F61" w:rsidRPr="00CC3404">
        <w:rPr>
          <w:rStyle w:val="FootnoteReference"/>
          <w:rFonts w:ascii="Times New Roman" w:hAnsi="Times New Roman" w:cs="Times New Roman"/>
        </w:rPr>
        <w:footnoteReference w:id="9"/>
      </w:r>
      <w:r w:rsidR="00F34F61" w:rsidRPr="00CC3404">
        <w:rPr>
          <w:rFonts w:ascii="Times New Roman" w:hAnsi="Times New Roman" w:cs="Times New Roman"/>
        </w:rPr>
        <w:t>.</w:t>
      </w:r>
      <w:r w:rsidR="00F17F8B" w:rsidRPr="00CC3404">
        <w:rPr>
          <w:rFonts w:ascii="Times New Roman" w:hAnsi="Times New Roman" w:cs="Times New Roman"/>
        </w:rPr>
        <w:t xml:space="preserve"> </w:t>
      </w:r>
    </w:p>
    <w:p w14:paraId="20DBE8E7" w14:textId="6F17CC99" w:rsidR="00F34F61" w:rsidRPr="00CC3404" w:rsidRDefault="00865018" w:rsidP="00AB64DD">
      <w:pPr>
        <w:pStyle w:val="Heading2"/>
        <w:rPr>
          <w:rFonts w:ascii="Times New Roman" w:hAnsi="Times New Roman" w:cs="Times New Roman"/>
          <w:color w:val="auto"/>
        </w:rPr>
      </w:pPr>
      <w:bookmarkStart w:id="5" w:name="_Toc531103766"/>
      <w:r w:rsidRPr="00CC3404">
        <w:rPr>
          <w:rFonts w:ascii="Times New Roman" w:hAnsi="Times New Roman" w:cs="Times New Roman"/>
          <w:color w:val="auto"/>
        </w:rPr>
        <w:t xml:space="preserve">2.2 </w:t>
      </w:r>
      <w:r w:rsidR="005F46B6" w:rsidRPr="00CC3404">
        <w:rPr>
          <w:rFonts w:ascii="Times New Roman" w:hAnsi="Times New Roman" w:cs="Times New Roman"/>
          <w:color w:val="auto"/>
        </w:rPr>
        <w:tab/>
      </w:r>
      <w:r w:rsidR="00F34F61" w:rsidRPr="003724EF">
        <w:rPr>
          <w:rFonts w:ascii="Times New Roman" w:hAnsi="Times New Roman" w:cs="Times New Roman"/>
          <w:b/>
          <w:bCs/>
          <w:color w:val="auto"/>
        </w:rPr>
        <w:t>Global multi-stakeholder Partnerships established by</w:t>
      </w:r>
      <w:r w:rsidR="00806CAA" w:rsidRPr="003724EF">
        <w:rPr>
          <w:rFonts w:ascii="Times New Roman" w:hAnsi="Times New Roman" w:cs="Times New Roman"/>
          <w:b/>
          <w:bCs/>
          <w:color w:val="auto"/>
        </w:rPr>
        <w:t xml:space="preserve"> the</w:t>
      </w:r>
      <w:r w:rsidR="00F34F61" w:rsidRPr="003724EF">
        <w:rPr>
          <w:rFonts w:ascii="Times New Roman" w:hAnsi="Times New Roman" w:cs="Times New Roman"/>
          <w:b/>
          <w:bCs/>
          <w:color w:val="auto"/>
        </w:rPr>
        <w:t xml:space="preserve"> COP (“Partnerships”)</w:t>
      </w:r>
      <w:bookmarkEnd w:id="5"/>
    </w:p>
    <w:p w14:paraId="4A2D1B81" w14:textId="4B2DAEE9" w:rsidR="00883E64" w:rsidRPr="00CC3404" w:rsidRDefault="00CC3404" w:rsidP="00AB64DD">
      <w:pPr>
        <w:spacing w:before="120"/>
        <w:jc w:val="both"/>
        <w:rPr>
          <w:rFonts w:ascii="Times New Roman" w:hAnsi="Times New Roman" w:cs="Times New Roman"/>
        </w:rPr>
      </w:pPr>
      <w:r w:rsidRPr="00CC3404">
        <w:rPr>
          <w:rFonts w:ascii="Times New Roman" w:hAnsi="Times New Roman" w:cs="Times New Roman"/>
        </w:rPr>
        <w:t>13.</w:t>
      </w:r>
      <w:r w:rsidRPr="00CC3404">
        <w:rPr>
          <w:rFonts w:ascii="Times New Roman" w:hAnsi="Times New Roman" w:cs="Times New Roman"/>
        </w:rPr>
        <w:tab/>
      </w:r>
      <w:r w:rsidR="00883E64" w:rsidRPr="00CC3404">
        <w:rPr>
          <w:rFonts w:ascii="Times New Roman" w:hAnsi="Times New Roman" w:cs="Times New Roman"/>
        </w:rPr>
        <w:t xml:space="preserve">Four </w:t>
      </w:r>
      <w:r w:rsidR="00C5633A" w:rsidRPr="00CC3404">
        <w:rPr>
          <w:rFonts w:ascii="Times New Roman" w:hAnsi="Times New Roman" w:cs="Times New Roman"/>
        </w:rPr>
        <w:t xml:space="preserve">global multi-stakeholder </w:t>
      </w:r>
      <w:r w:rsidR="00883E64" w:rsidRPr="00CC3404">
        <w:rPr>
          <w:rFonts w:ascii="Times New Roman" w:hAnsi="Times New Roman" w:cs="Times New Roman"/>
        </w:rPr>
        <w:t>Partnerships</w:t>
      </w:r>
      <w:r w:rsidR="00C5633A" w:rsidRPr="00CC3404">
        <w:rPr>
          <w:rFonts w:ascii="Times New Roman" w:hAnsi="Times New Roman" w:cs="Times New Roman"/>
        </w:rPr>
        <w:t xml:space="preserve"> (“Partnerships) </w:t>
      </w:r>
      <w:r w:rsidR="00883E64" w:rsidRPr="00CC3404">
        <w:rPr>
          <w:rFonts w:ascii="Times New Roman" w:hAnsi="Times New Roman" w:cs="Times New Roman"/>
        </w:rPr>
        <w:t>have to date been established under the Partnership Programme:</w:t>
      </w:r>
    </w:p>
    <w:p w14:paraId="3F84F550" w14:textId="426369B2" w:rsidR="00883E64" w:rsidRPr="00CC3404" w:rsidRDefault="00883E64" w:rsidP="00E45D56">
      <w:pPr>
        <w:pStyle w:val="ListParagraph"/>
        <w:numPr>
          <w:ilvl w:val="0"/>
          <w:numId w:val="2"/>
        </w:numPr>
        <w:jc w:val="both"/>
        <w:rPr>
          <w:rFonts w:ascii="Times New Roman" w:hAnsi="Times New Roman" w:cs="Times New Roman"/>
        </w:rPr>
      </w:pPr>
      <w:r w:rsidRPr="00CC3404">
        <w:rPr>
          <w:rFonts w:ascii="Times New Roman" w:hAnsi="Times New Roman" w:cs="Times New Roman"/>
        </w:rPr>
        <w:t>The Mobile Phone Partnership (MPPI), established by COP 6 in 2002 and disbanded by COP 9 in 2008, with the objective of promot</w:t>
      </w:r>
      <w:r w:rsidR="00EA7C17" w:rsidRPr="00CC3404">
        <w:rPr>
          <w:rFonts w:ascii="Times New Roman" w:hAnsi="Times New Roman" w:cs="Times New Roman"/>
        </w:rPr>
        <w:t>ing</w:t>
      </w:r>
      <w:r w:rsidRPr="00CC3404">
        <w:rPr>
          <w:rFonts w:ascii="Times New Roman" w:hAnsi="Times New Roman" w:cs="Times New Roman"/>
        </w:rPr>
        <w:t xml:space="preserve"> the objectives of the Basel Convention in the area of the environmentally sound management of end-of-life mobile phones</w:t>
      </w:r>
      <w:r w:rsidR="00E77AEB">
        <w:rPr>
          <w:rFonts w:ascii="Times New Roman" w:hAnsi="Times New Roman" w:cs="Times New Roman"/>
        </w:rPr>
        <w:t>;</w:t>
      </w:r>
    </w:p>
    <w:p w14:paraId="6AC3C28B" w14:textId="7ADAB251" w:rsidR="00883E64" w:rsidRPr="00CC3404" w:rsidRDefault="00883E64" w:rsidP="00E45D56">
      <w:pPr>
        <w:pStyle w:val="ListParagraph"/>
        <w:numPr>
          <w:ilvl w:val="0"/>
          <w:numId w:val="2"/>
        </w:numPr>
        <w:jc w:val="both"/>
        <w:rPr>
          <w:rFonts w:ascii="Times New Roman" w:hAnsi="Times New Roman" w:cs="Times New Roman"/>
        </w:rPr>
      </w:pPr>
      <w:r w:rsidRPr="00CC3404">
        <w:rPr>
          <w:rFonts w:ascii="Times New Roman" w:hAnsi="Times New Roman" w:cs="Times New Roman"/>
        </w:rPr>
        <w:t xml:space="preserve">The Partnership for Action on Computing Equipment (PACE), established by COP 8 in 2009 and disbanded by COP 13 in 2017, with the objective of increasing the </w:t>
      </w:r>
      <w:r w:rsidRPr="00CC3404">
        <w:rPr>
          <w:rFonts w:ascii="Times New Roman" w:hAnsi="Times New Roman" w:cs="Times New Roman"/>
        </w:rPr>
        <w:lastRenderedPageBreak/>
        <w:t>environmentally sound management of used and end-of-life computing equipment, taking into account social responsibility and the concept of sustainable development, and promoting the sharing of information on life-cycle thinking</w:t>
      </w:r>
      <w:r w:rsidR="00E77AEB">
        <w:rPr>
          <w:rFonts w:ascii="Times New Roman" w:hAnsi="Times New Roman" w:cs="Times New Roman"/>
        </w:rPr>
        <w:t>;</w:t>
      </w:r>
    </w:p>
    <w:p w14:paraId="730B4F72" w14:textId="32F7D9C5" w:rsidR="00883E64" w:rsidRPr="00CC3404" w:rsidRDefault="00883E64" w:rsidP="00E45D56">
      <w:pPr>
        <w:pStyle w:val="ListParagraph"/>
        <w:numPr>
          <w:ilvl w:val="0"/>
          <w:numId w:val="2"/>
        </w:numPr>
        <w:jc w:val="both"/>
        <w:rPr>
          <w:rFonts w:ascii="Times New Roman" w:hAnsi="Times New Roman" w:cs="Times New Roman"/>
        </w:rPr>
      </w:pPr>
      <w:r w:rsidRPr="00CC3404">
        <w:rPr>
          <w:rFonts w:ascii="Times New Roman" w:hAnsi="Times New Roman" w:cs="Times New Roman"/>
        </w:rPr>
        <w:t>The Environmental Network for Optimizing Regulatory Compliance on Illegal Traffic (ENFORCE), established by COP 11 in 2013, with the objective of promoting compliance with the Convention’s provisions on preventing and combating illegal traffic through the better implementation and enforcement of national law</w:t>
      </w:r>
      <w:r w:rsidR="00417361" w:rsidRPr="00CC3404">
        <w:rPr>
          <w:rFonts w:ascii="Times New Roman" w:hAnsi="Times New Roman" w:cs="Times New Roman"/>
        </w:rPr>
        <w:t>,</w:t>
      </w:r>
      <w:r w:rsidRPr="00CC3404">
        <w:rPr>
          <w:rFonts w:ascii="Times New Roman" w:hAnsi="Times New Roman" w:cs="Times New Roman"/>
        </w:rPr>
        <w:t xml:space="preserve"> through a network of relevant experts</w:t>
      </w:r>
      <w:r w:rsidR="00E77AEB">
        <w:rPr>
          <w:rFonts w:ascii="Times New Roman" w:hAnsi="Times New Roman" w:cs="Times New Roman"/>
        </w:rPr>
        <w:t>;</w:t>
      </w:r>
    </w:p>
    <w:p w14:paraId="13F3B969" w14:textId="696A1648" w:rsidR="00883E64" w:rsidRPr="00CC3404" w:rsidRDefault="00883E64" w:rsidP="00E45D56">
      <w:pPr>
        <w:pStyle w:val="ListParagraph"/>
        <w:numPr>
          <w:ilvl w:val="0"/>
          <w:numId w:val="2"/>
        </w:numPr>
        <w:jc w:val="both"/>
        <w:rPr>
          <w:rFonts w:ascii="Times New Roman" w:hAnsi="Times New Roman" w:cs="Times New Roman"/>
        </w:rPr>
      </w:pPr>
      <w:r w:rsidRPr="00CC3404">
        <w:rPr>
          <w:rFonts w:ascii="Times New Roman" w:hAnsi="Times New Roman" w:cs="Times New Roman"/>
        </w:rPr>
        <w:t>The Household Waste Partnership</w:t>
      </w:r>
      <w:r w:rsidR="00417361" w:rsidRPr="00CC3404">
        <w:rPr>
          <w:rFonts w:ascii="Times New Roman" w:hAnsi="Times New Roman" w:cs="Times New Roman"/>
        </w:rPr>
        <w:t>,</w:t>
      </w:r>
      <w:r w:rsidRPr="00CC3404">
        <w:rPr>
          <w:rFonts w:ascii="Times New Roman" w:hAnsi="Times New Roman" w:cs="Times New Roman"/>
        </w:rPr>
        <w:t xml:space="preserve"> established by COP 12 in 2015, with the objective of promoting the environmentally sound management of household waste including its prevention and minimization, and enabling the decoupling of economic growth and environmental impacts associated with the generation of household waste and its initial handling by the public in their households</w:t>
      </w:r>
      <w:r w:rsidR="00E77AEB">
        <w:rPr>
          <w:rFonts w:ascii="Times New Roman" w:hAnsi="Times New Roman" w:cs="Times New Roman"/>
        </w:rPr>
        <w:t>.</w:t>
      </w:r>
    </w:p>
    <w:p w14:paraId="1E6A1BBA" w14:textId="1845AFA8" w:rsidR="00F72C7C" w:rsidRPr="00CC3404" w:rsidRDefault="00F72C7C" w:rsidP="00CC3404">
      <w:pPr>
        <w:pStyle w:val="Heading3"/>
        <w:numPr>
          <w:ilvl w:val="0"/>
          <w:numId w:val="4"/>
        </w:numPr>
        <w:spacing w:after="120"/>
        <w:rPr>
          <w:rFonts w:ascii="Times New Roman" w:hAnsi="Times New Roman" w:cs="Times New Roman"/>
          <w:color w:val="auto"/>
        </w:rPr>
      </w:pPr>
      <w:bookmarkStart w:id="6" w:name="_Toc531103767"/>
      <w:r w:rsidRPr="00CC3404">
        <w:rPr>
          <w:rFonts w:ascii="Times New Roman" w:hAnsi="Times New Roman" w:cs="Times New Roman"/>
          <w:color w:val="auto"/>
        </w:rPr>
        <w:t>Motivation and expectation</w:t>
      </w:r>
      <w:r w:rsidR="00EA7C17" w:rsidRPr="00CC3404">
        <w:rPr>
          <w:rFonts w:ascii="Times New Roman" w:hAnsi="Times New Roman" w:cs="Times New Roman"/>
          <w:color w:val="auto"/>
        </w:rPr>
        <w:t>s</w:t>
      </w:r>
      <w:bookmarkEnd w:id="6"/>
    </w:p>
    <w:p w14:paraId="382083C7" w14:textId="3734F90E" w:rsidR="00D431FE" w:rsidRPr="00CC3404" w:rsidRDefault="00CC3404" w:rsidP="00AB64DD">
      <w:pPr>
        <w:jc w:val="both"/>
        <w:rPr>
          <w:rFonts w:ascii="Times New Roman" w:hAnsi="Times New Roman" w:cs="Times New Roman"/>
        </w:rPr>
      </w:pPr>
      <w:r w:rsidRPr="00CC3404">
        <w:rPr>
          <w:rFonts w:ascii="Times New Roman" w:hAnsi="Times New Roman" w:cs="Times New Roman"/>
        </w:rPr>
        <w:t>14.</w:t>
      </w:r>
      <w:r w:rsidRPr="00CC3404">
        <w:rPr>
          <w:rFonts w:ascii="Times New Roman" w:hAnsi="Times New Roman" w:cs="Times New Roman"/>
        </w:rPr>
        <w:tab/>
      </w:r>
      <w:r w:rsidR="00EA7C17" w:rsidRPr="00CC3404">
        <w:rPr>
          <w:rFonts w:ascii="Times New Roman" w:hAnsi="Times New Roman" w:cs="Times New Roman"/>
        </w:rPr>
        <w:t xml:space="preserve">In accordance with the </w:t>
      </w:r>
      <w:r w:rsidR="00EF11D0" w:rsidRPr="00CC3404">
        <w:rPr>
          <w:rFonts w:ascii="Times New Roman" w:hAnsi="Times New Roman" w:cs="Times New Roman"/>
        </w:rPr>
        <w:t xml:space="preserve">first </w:t>
      </w:r>
      <w:r w:rsidR="00EA7C17" w:rsidRPr="00CC3404">
        <w:rPr>
          <w:rFonts w:ascii="Times New Roman" w:hAnsi="Times New Roman" w:cs="Times New Roman"/>
        </w:rPr>
        <w:t xml:space="preserve">work programme of the Partnerships Programme, each of the </w:t>
      </w:r>
      <w:r w:rsidR="00DF63AF" w:rsidRPr="00CC3404">
        <w:rPr>
          <w:rFonts w:ascii="Times New Roman" w:hAnsi="Times New Roman" w:cs="Times New Roman"/>
        </w:rPr>
        <w:t xml:space="preserve">four </w:t>
      </w:r>
      <w:r w:rsidR="00883E64" w:rsidRPr="00CC3404">
        <w:rPr>
          <w:rFonts w:ascii="Times New Roman" w:hAnsi="Times New Roman" w:cs="Times New Roman"/>
        </w:rPr>
        <w:t xml:space="preserve">Partnerships </w:t>
      </w:r>
      <w:r w:rsidR="00EA7C17" w:rsidRPr="00CC3404">
        <w:rPr>
          <w:rFonts w:ascii="Times New Roman" w:hAnsi="Times New Roman" w:cs="Times New Roman"/>
        </w:rPr>
        <w:t>was</w:t>
      </w:r>
      <w:r w:rsidR="00883E64" w:rsidRPr="00CC3404">
        <w:rPr>
          <w:rFonts w:ascii="Times New Roman" w:hAnsi="Times New Roman" w:cs="Times New Roman"/>
        </w:rPr>
        <w:t xml:space="preserve"> initiated to address an </w:t>
      </w:r>
      <w:bookmarkStart w:id="7" w:name="_Hlk529278784"/>
      <w:r w:rsidR="00883E64" w:rsidRPr="00CC3404">
        <w:rPr>
          <w:rFonts w:ascii="Times New Roman" w:hAnsi="Times New Roman" w:cs="Times New Roman"/>
        </w:rPr>
        <w:t xml:space="preserve">issue perceived as meriting attention and efforts for which </w:t>
      </w:r>
      <w:r w:rsidR="00CB799F" w:rsidRPr="00CC3404">
        <w:rPr>
          <w:rFonts w:ascii="Times New Roman" w:hAnsi="Times New Roman" w:cs="Times New Roman"/>
        </w:rPr>
        <w:t xml:space="preserve">a range of </w:t>
      </w:r>
      <w:r w:rsidR="00883E64" w:rsidRPr="00CC3404">
        <w:rPr>
          <w:rFonts w:ascii="Times New Roman" w:hAnsi="Times New Roman" w:cs="Times New Roman"/>
        </w:rPr>
        <w:t xml:space="preserve">expertise and experience of specific entities could complement that of Party representatives. </w:t>
      </w:r>
      <w:bookmarkEnd w:id="7"/>
      <w:r w:rsidR="00883E64" w:rsidRPr="00CC3404">
        <w:rPr>
          <w:rFonts w:ascii="Times New Roman" w:hAnsi="Times New Roman" w:cs="Times New Roman"/>
        </w:rPr>
        <w:t xml:space="preserve">This is reflected in </w:t>
      </w:r>
      <w:r w:rsidR="00EA7C17" w:rsidRPr="00CC3404">
        <w:rPr>
          <w:rFonts w:ascii="Times New Roman" w:hAnsi="Times New Roman" w:cs="Times New Roman"/>
        </w:rPr>
        <w:t>Decision</w:t>
      </w:r>
      <w:r w:rsidR="00011FA7" w:rsidRPr="00CC3404">
        <w:rPr>
          <w:rFonts w:ascii="Times New Roman" w:hAnsi="Times New Roman" w:cs="Times New Roman"/>
        </w:rPr>
        <w:t xml:space="preserve"> </w:t>
      </w:r>
      <w:r w:rsidR="00883E64" w:rsidRPr="00CC3404">
        <w:rPr>
          <w:rFonts w:ascii="Times New Roman" w:hAnsi="Times New Roman" w:cs="Times New Roman"/>
        </w:rPr>
        <w:t>BC-VII/4 on the establishment of MPPI</w:t>
      </w:r>
      <w:r w:rsidR="00EA7C17" w:rsidRPr="00CC3404">
        <w:rPr>
          <w:rFonts w:ascii="Times New Roman" w:hAnsi="Times New Roman" w:cs="Times New Roman"/>
        </w:rPr>
        <w:t xml:space="preserve">, which </w:t>
      </w:r>
      <w:r w:rsidR="00D9183A" w:rsidRPr="00CC3404">
        <w:rPr>
          <w:rFonts w:ascii="Times New Roman" w:hAnsi="Times New Roman" w:cs="Times New Roman"/>
        </w:rPr>
        <w:t xml:space="preserve">expresses the expectation </w:t>
      </w:r>
      <w:r w:rsidR="0004584C" w:rsidRPr="00CC3404">
        <w:rPr>
          <w:rFonts w:ascii="Times New Roman" w:hAnsi="Times New Roman" w:cs="Times New Roman"/>
        </w:rPr>
        <w:t>that partner</w:t>
      </w:r>
      <w:r w:rsidR="00D9183A" w:rsidRPr="00CC3404">
        <w:rPr>
          <w:rFonts w:ascii="Times New Roman" w:hAnsi="Times New Roman" w:cs="Times New Roman"/>
        </w:rPr>
        <w:t>ing</w:t>
      </w:r>
      <w:r w:rsidR="0004584C" w:rsidRPr="00CC3404">
        <w:rPr>
          <w:rFonts w:ascii="Times New Roman" w:hAnsi="Times New Roman" w:cs="Times New Roman"/>
        </w:rPr>
        <w:t xml:space="preserve"> </w:t>
      </w:r>
      <w:r w:rsidR="00883E64" w:rsidRPr="00CC3404">
        <w:rPr>
          <w:rFonts w:ascii="Times New Roman" w:hAnsi="Times New Roman" w:cs="Times New Roman"/>
        </w:rPr>
        <w:t xml:space="preserve">with environmental NGOs and with the industry and business sectors </w:t>
      </w:r>
      <w:r w:rsidR="00EA7C17" w:rsidRPr="00CC3404">
        <w:rPr>
          <w:rFonts w:ascii="Times New Roman" w:hAnsi="Times New Roman" w:cs="Times New Roman"/>
        </w:rPr>
        <w:t>c</w:t>
      </w:r>
      <w:r w:rsidR="00D9183A" w:rsidRPr="00CC3404">
        <w:rPr>
          <w:rFonts w:ascii="Times New Roman" w:hAnsi="Times New Roman" w:cs="Times New Roman"/>
        </w:rPr>
        <w:t>ould</w:t>
      </w:r>
      <w:r w:rsidR="00883E64" w:rsidRPr="00CC3404">
        <w:rPr>
          <w:rFonts w:ascii="Times New Roman" w:hAnsi="Times New Roman" w:cs="Times New Roman"/>
        </w:rPr>
        <w:t xml:space="preserve"> assist in the promotion of sustainable consumption and production patterns. The titles of </w:t>
      </w:r>
      <w:r w:rsidR="00EA7C17" w:rsidRPr="00CC3404">
        <w:rPr>
          <w:rFonts w:ascii="Times New Roman" w:hAnsi="Times New Roman" w:cs="Times New Roman"/>
        </w:rPr>
        <w:t xml:space="preserve">the </w:t>
      </w:r>
      <w:r w:rsidR="00883E64" w:rsidRPr="00CC3404">
        <w:rPr>
          <w:rFonts w:ascii="Times New Roman" w:hAnsi="Times New Roman" w:cs="Times New Roman"/>
        </w:rPr>
        <w:t>Decision</w:t>
      </w:r>
      <w:r w:rsidR="00EA7C17" w:rsidRPr="00CC3404">
        <w:rPr>
          <w:rFonts w:ascii="Times New Roman" w:hAnsi="Times New Roman" w:cs="Times New Roman"/>
        </w:rPr>
        <w:t>s establishing PACE and the Household Waste Partnership refer to “innovative solutions” to be created by the respective Partnerships</w:t>
      </w:r>
      <w:r w:rsidR="00EA7C17" w:rsidRPr="00CC3404">
        <w:rPr>
          <w:rStyle w:val="FootnoteReference"/>
          <w:rFonts w:ascii="Times New Roman" w:hAnsi="Times New Roman" w:cs="Times New Roman"/>
        </w:rPr>
        <w:footnoteReference w:id="10"/>
      </w:r>
      <w:r w:rsidR="00DB5AC4" w:rsidRPr="00CC3404">
        <w:rPr>
          <w:rFonts w:ascii="Times New Roman" w:hAnsi="Times New Roman" w:cs="Times New Roman"/>
        </w:rPr>
        <w:t xml:space="preserve">. </w:t>
      </w:r>
    </w:p>
    <w:p w14:paraId="4D65BF20" w14:textId="25E5BF72" w:rsidR="00883E64" w:rsidRPr="00CC3404" w:rsidRDefault="00CC3404" w:rsidP="00AB64DD">
      <w:pPr>
        <w:jc w:val="both"/>
        <w:rPr>
          <w:rFonts w:ascii="Times New Roman" w:hAnsi="Times New Roman" w:cs="Times New Roman"/>
        </w:rPr>
      </w:pPr>
      <w:r w:rsidRPr="00CC3404">
        <w:rPr>
          <w:rFonts w:ascii="Times New Roman" w:hAnsi="Times New Roman" w:cs="Times New Roman"/>
        </w:rPr>
        <w:t>15.</w:t>
      </w:r>
      <w:r w:rsidRPr="00CC3404">
        <w:rPr>
          <w:rFonts w:ascii="Times New Roman" w:hAnsi="Times New Roman" w:cs="Times New Roman"/>
        </w:rPr>
        <w:tab/>
      </w:r>
      <w:r w:rsidR="00883E64" w:rsidRPr="00CC3404">
        <w:rPr>
          <w:rFonts w:ascii="Times New Roman" w:hAnsi="Times New Roman" w:cs="Times New Roman"/>
        </w:rPr>
        <w:t xml:space="preserve">In the case of MPPI and PACE, the issue </w:t>
      </w:r>
      <w:r w:rsidR="000A1718" w:rsidRPr="00CC3404">
        <w:rPr>
          <w:rFonts w:ascii="Times New Roman" w:hAnsi="Times New Roman" w:cs="Times New Roman"/>
        </w:rPr>
        <w:t xml:space="preserve">in question </w:t>
      </w:r>
      <w:r w:rsidR="00883E64" w:rsidRPr="00CC3404">
        <w:rPr>
          <w:rFonts w:ascii="Times New Roman" w:hAnsi="Times New Roman" w:cs="Times New Roman"/>
        </w:rPr>
        <w:t xml:space="preserve">was the proliferation of electronic devices from the early 2000s, and problems related to unsound management of these devices at their end of life. ENFORCE aims to address the </w:t>
      </w:r>
      <w:r w:rsidR="001740A9" w:rsidRPr="00CC3404">
        <w:rPr>
          <w:rFonts w:ascii="Times New Roman" w:hAnsi="Times New Roman" w:cs="Times New Roman"/>
        </w:rPr>
        <w:t>persistent</w:t>
      </w:r>
      <w:r w:rsidR="00883E64" w:rsidRPr="00CC3404">
        <w:rPr>
          <w:rFonts w:ascii="Times New Roman" w:hAnsi="Times New Roman" w:cs="Times New Roman"/>
        </w:rPr>
        <w:t xml:space="preserve"> problem of lack of enforcement of national legislation</w:t>
      </w:r>
      <w:r w:rsidR="001D5500" w:rsidRPr="00CC3404">
        <w:rPr>
          <w:rFonts w:ascii="Times New Roman" w:hAnsi="Times New Roman" w:cs="Times New Roman"/>
        </w:rPr>
        <w:t>, which</w:t>
      </w:r>
      <w:r w:rsidR="00883E64" w:rsidRPr="00CC3404">
        <w:rPr>
          <w:rFonts w:ascii="Times New Roman" w:hAnsi="Times New Roman" w:cs="Times New Roman"/>
        </w:rPr>
        <w:t xml:space="preserve"> is a key obstacle to the achievement of the objectives of any multilateral treaty.  The Household Waste Partnership addresses a problem that has existed for a long time but has only recently been acknowledged</w:t>
      </w:r>
      <w:r w:rsidR="000A1718" w:rsidRPr="00CC3404">
        <w:rPr>
          <w:rFonts w:ascii="Times New Roman" w:hAnsi="Times New Roman" w:cs="Times New Roman"/>
        </w:rPr>
        <w:t xml:space="preserve"> in international policy</w:t>
      </w:r>
      <w:r w:rsidR="00883E64" w:rsidRPr="00CC3404">
        <w:rPr>
          <w:rFonts w:ascii="Times New Roman" w:hAnsi="Times New Roman" w:cs="Times New Roman"/>
        </w:rPr>
        <w:t xml:space="preserve">, namely the lack of capacity of municipalities </w:t>
      </w:r>
      <w:r w:rsidR="001D5500" w:rsidRPr="00CC3404">
        <w:rPr>
          <w:rFonts w:ascii="Times New Roman" w:hAnsi="Times New Roman" w:cs="Times New Roman"/>
        </w:rPr>
        <w:t xml:space="preserve">especially </w:t>
      </w:r>
      <w:r w:rsidR="00883E64" w:rsidRPr="00CC3404">
        <w:rPr>
          <w:rFonts w:ascii="Times New Roman" w:hAnsi="Times New Roman" w:cs="Times New Roman"/>
        </w:rPr>
        <w:t>in developing countries to manage household wastes, often complex mixtures containing hazardous wastes, and the resultant pollution and menace to human health and the environment. The Decisions establishing the</w:t>
      </w:r>
      <w:r w:rsidR="000A1718" w:rsidRPr="00CC3404">
        <w:rPr>
          <w:rFonts w:ascii="Times New Roman" w:hAnsi="Times New Roman" w:cs="Times New Roman"/>
        </w:rPr>
        <w:t>se</w:t>
      </w:r>
      <w:r w:rsidR="00883E64" w:rsidRPr="00CC3404">
        <w:rPr>
          <w:rFonts w:ascii="Times New Roman" w:hAnsi="Times New Roman" w:cs="Times New Roman"/>
        </w:rPr>
        <w:t xml:space="preserve"> Partnerships refer to Ministerial Declarations</w:t>
      </w:r>
      <w:r w:rsidR="00781D1A" w:rsidRPr="00CC3404">
        <w:rPr>
          <w:rFonts w:ascii="Times New Roman" w:hAnsi="Times New Roman" w:cs="Times New Roman"/>
        </w:rPr>
        <w:t xml:space="preserve"> adopted by the COP</w:t>
      </w:r>
      <w:r w:rsidR="00883E64" w:rsidRPr="00CC3404">
        <w:rPr>
          <w:rFonts w:ascii="Times New Roman" w:hAnsi="Times New Roman" w:cs="Times New Roman"/>
        </w:rPr>
        <w:t xml:space="preserve"> (e.g.</w:t>
      </w:r>
      <w:r w:rsidR="00E77AEB">
        <w:rPr>
          <w:rFonts w:ascii="Times New Roman" w:hAnsi="Times New Roman" w:cs="Times New Roman"/>
        </w:rPr>
        <w:t>,</w:t>
      </w:r>
      <w:r w:rsidR="00883E64" w:rsidRPr="00CC3404">
        <w:rPr>
          <w:rFonts w:ascii="Times New Roman" w:hAnsi="Times New Roman" w:cs="Times New Roman"/>
        </w:rPr>
        <w:t xml:space="preserve"> the Basel Declaration and the Nairobi Declaration) that </w:t>
      </w:r>
      <w:r w:rsidR="00781D1A" w:rsidRPr="00CC3404">
        <w:rPr>
          <w:rFonts w:ascii="Times New Roman" w:hAnsi="Times New Roman" w:cs="Times New Roman"/>
        </w:rPr>
        <w:t xml:space="preserve">call </w:t>
      </w:r>
      <w:r w:rsidR="00883E64" w:rsidRPr="00CC3404">
        <w:rPr>
          <w:rFonts w:ascii="Times New Roman" w:hAnsi="Times New Roman" w:cs="Times New Roman"/>
        </w:rPr>
        <w:t>upon Parties to engage in addressing the</w:t>
      </w:r>
      <w:r w:rsidR="00781D1A" w:rsidRPr="00CC3404">
        <w:rPr>
          <w:rFonts w:ascii="Times New Roman" w:hAnsi="Times New Roman" w:cs="Times New Roman"/>
        </w:rPr>
        <w:t xml:space="preserve"> issues, </w:t>
      </w:r>
      <w:r w:rsidR="000A1718" w:rsidRPr="00CC3404">
        <w:rPr>
          <w:rFonts w:ascii="Times New Roman" w:hAnsi="Times New Roman" w:cs="Times New Roman"/>
        </w:rPr>
        <w:t xml:space="preserve">a further indication </w:t>
      </w:r>
      <w:r w:rsidR="007C61E5" w:rsidRPr="00CC3404">
        <w:rPr>
          <w:rFonts w:ascii="Times New Roman" w:hAnsi="Times New Roman" w:cs="Times New Roman"/>
        </w:rPr>
        <w:t>of the</w:t>
      </w:r>
      <w:r w:rsidR="000A1718" w:rsidRPr="00CC3404">
        <w:rPr>
          <w:rFonts w:ascii="Times New Roman" w:hAnsi="Times New Roman" w:cs="Times New Roman"/>
        </w:rPr>
        <w:t xml:space="preserve"> high priority accorded to </w:t>
      </w:r>
      <w:r w:rsidR="007C61E5" w:rsidRPr="00CC3404">
        <w:rPr>
          <w:rFonts w:ascii="Times New Roman" w:hAnsi="Times New Roman" w:cs="Times New Roman"/>
        </w:rPr>
        <w:t>th</w:t>
      </w:r>
      <w:r w:rsidR="001D5500" w:rsidRPr="00CC3404">
        <w:rPr>
          <w:rFonts w:ascii="Times New Roman" w:hAnsi="Times New Roman" w:cs="Times New Roman"/>
        </w:rPr>
        <w:t>em</w:t>
      </w:r>
      <w:r w:rsidR="00883E64" w:rsidRPr="00CC3404">
        <w:rPr>
          <w:rFonts w:ascii="Times New Roman" w:hAnsi="Times New Roman" w:cs="Times New Roman"/>
        </w:rPr>
        <w:t xml:space="preserve">.  </w:t>
      </w:r>
    </w:p>
    <w:p w14:paraId="5361FD86" w14:textId="1804882E" w:rsidR="00883E64" w:rsidRPr="00CC3404" w:rsidRDefault="00CC3404" w:rsidP="00AB64DD">
      <w:pPr>
        <w:jc w:val="both"/>
        <w:rPr>
          <w:rFonts w:ascii="Times New Roman" w:hAnsi="Times New Roman" w:cs="Times New Roman"/>
        </w:rPr>
      </w:pPr>
      <w:r w:rsidRPr="00CC3404">
        <w:rPr>
          <w:rFonts w:ascii="Times New Roman" w:hAnsi="Times New Roman" w:cs="Times New Roman"/>
        </w:rPr>
        <w:t>16.</w:t>
      </w:r>
      <w:r w:rsidRPr="00CC3404">
        <w:rPr>
          <w:rFonts w:ascii="Times New Roman" w:hAnsi="Times New Roman" w:cs="Times New Roman"/>
        </w:rPr>
        <w:tab/>
      </w:r>
      <w:r w:rsidR="001740A9" w:rsidRPr="00CC3404">
        <w:rPr>
          <w:rFonts w:ascii="Times New Roman" w:hAnsi="Times New Roman" w:cs="Times New Roman"/>
        </w:rPr>
        <w:t>Although all</w:t>
      </w:r>
      <w:r w:rsidR="00781D1A" w:rsidRPr="00CC3404">
        <w:rPr>
          <w:rFonts w:ascii="Times New Roman" w:hAnsi="Times New Roman" w:cs="Times New Roman"/>
        </w:rPr>
        <w:t xml:space="preserve"> four</w:t>
      </w:r>
      <w:r w:rsidR="001740A9" w:rsidRPr="00CC3404">
        <w:rPr>
          <w:rFonts w:ascii="Times New Roman" w:hAnsi="Times New Roman" w:cs="Times New Roman"/>
        </w:rPr>
        <w:t xml:space="preserve"> Partnerships were established by the COP, t</w:t>
      </w:r>
      <w:r w:rsidR="00883E64" w:rsidRPr="00CC3404">
        <w:rPr>
          <w:rFonts w:ascii="Times New Roman" w:hAnsi="Times New Roman" w:cs="Times New Roman"/>
        </w:rPr>
        <w:t xml:space="preserve">here are some differences in the </w:t>
      </w:r>
      <w:r w:rsidR="001740A9" w:rsidRPr="00CC3404">
        <w:rPr>
          <w:rFonts w:ascii="Times New Roman" w:hAnsi="Times New Roman" w:cs="Times New Roman"/>
        </w:rPr>
        <w:t xml:space="preserve">modalities of their development. </w:t>
      </w:r>
      <w:r w:rsidR="00883E64" w:rsidRPr="00CC3404">
        <w:rPr>
          <w:rFonts w:ascii="Times New Roman" w:hAnsi="Times New Roman" w:cs="Times New Roman"/>
        </w:rPr>
        <w:t>The first Partnership, the MPPI, was launched as an initiative of the President of COP5 and developed through stakeholder consultations prior to being discussed by the COP. Preliminary work had already been undertaken, and 10 manufacturers of mobile phones had signed a declaration committing to participate in the future Partnership. PACE was likewise developed through an initiative of individual Parties, and an interim group was established, which was subsequently “welcomed” by the COP. In both cases, a core group of partners already existed, and the direction and modalities of the work had to some extent been determined before the Partnerships were formally established</w:t>
      </w:r>
      <w:r w:rsidR="001740A9" w:rsidRPr="00CC3404">
        <w:rPr>
          <w:rFonts w:ascii="Times New Roman" w:hAnsi="Times New Roman" w:cs="Times New Roman"/>
        </w:rPr>
        <w:t xml:space="preserve">, which </w:t>
      </w:r>
      <w:r w:rsidR="007C61E5" w:rsidRPr="00CC3404">
        <w:rPr>
          <w:rFonts w:ascii="Times New Roman" w:hAnsi="Times New Roman" w:cs="Times New Roman"/>
        </w:rPr>
        <w:t xml:space="preserve">had </w:t>
      </w:r>
      <w:r w:rsidR="001D5500" w:rsidRPr="00CC3404">
        <w:rPr>
          <w:rFonts w:ascii="Times New Roman" w:hAnsi="Times New Roman" w:cs="Times New Roman"/>
        </w:rPr>
        <w:t>some</w:t>
      </w:r>
      <w:r w:rsidR="007C61E5" w:rsidRPr="00CC3404">
        <w:rPr>
          <w:rFonts w:ascii="Times New Roman" w:hAnsi="Times New Roman" w:cs="Times New Roman"/>
        </w:rPr>
        <w:t xml:space="preserve"> </w:t>
      </w:r>
      <w:r w:rsidR="001740A9" w:rsidRPr="00CC3404">
        <w:rPr>
          <w:rFonts w:ascii="Times New Roman" w:hAnsi="Times New Roman" w:cs="Times New Roman"/>
        </w:rPr>
        <w:t>influence</w:t>
      </w:r>
      <w:r w:rsidR="007C61E5" w:rsidRPr="00CC3404">
        <w:rPr>
          <w:rFonts w:ascii="Times New Roman" w:hAnsi="Times New Roman" w:cs="Times New Roman"/>
        </w:rPr>
        <w:t xml:space="preserve"> on</w:t>
      </w:r>
      <w:r w:rsidR="001740A9" w:rsidRPr="00CC3404">
        <w:rPr>
          <w:rFonts w:ascii="Times New Roman" w:hAnsi="Times New Roman" w:cs="Times New Roman"/>
        </w:rPr>
        <w:t xml:space="preserve"> the COP’s discussions. </w:t>
      </w:r>
      <w:r w:rsidR="00883E64" w:rsidRPr="00CC3404">
        <w:rPr>
          <w:rFonts w:ascii="Times New Roman" w:hAnsi="Times New Roman" w:cs="Times New Roman"/>
        </w:rPr>
        <w:t>The modalities of work of the Partnership</w:t>
      </w:r>
      <w:r w:rsidR="007C61E5" w:rsidRPr="00CC3404">
        <w:rPr>
          <w:rFonts w:ascii="Times New Roman" w:hAnsi="Times New Roman" w:cs="Times New Roman"/>
        </w:rPr>
        <w:t>s</w:t>
      </w:r>
      <w:r w:rsidR="00883E64" w:rsidRPr="00CC3404">
        <w:rPr>
          <w:rFonts w:ascii="Times New Roman" w:hAnsi="Times New Roman" w:cs="Times New Roman"/>
        </w:rPr>
        <w:t xml:space="preserve"> and the</w:t>
      </w:r>
      <w:r w:rsidR="007C61E5" w:rsidRPr="00CC3404">
        <w:rPr>
          <w:rFonts w:ascii="Times New Roman" w:hAnsi="Times New Roman" w:cs="Times New Roman"/>
        </w:rPr>
        <w:t>ir</w:t>
      </w:r>
      <w:r w:rsidR="00883E64" w:rsidRPr="00CC3404">
        <w:rPr>
          <w:rFonts w:ascii="Times New Roman" w:hAnsi="Times New Roman" w:cs="Times New Roman"/>
        </w:rPr>
        <w:t xml:space="preserve"> interactions with the OEWG and the COP subsequently developed in a step-wise </w:t>
      </w:r>
      <w:r w:rsidR="007C61E5" w:rsidRPr="00CC3404">
        <w:rPr>
          <w:rFonts w:ascii="Times New Roman" w:hAnsi="Times New Roman" w:cs="Times New Roman"/>
        </w:rPr>
        <w:t xml:space="preserve">and not always systematic </w:t>
      </w:r>
      <w:r w:rsidR="00883E64" w:rsidRPr="00CC3404">
        <w:rPr>
          <w:rFonts w:ascii="Times New Roman" w:hAnsi="Times New Roman" w:cs="Times New Roman"/>
        </w:rPr>
        <w:t xml:space="preserve">approach. By contrast, the proposal to establish ENFORCE originated with the </w:t>
      </w:r>
      <w:r w:rsidR="003A1E29" w:rsidRPr="00CC3404">
        <w:rPr>
          <w:rFonts w:ascii="Times New Roman" w:hAnsi="Times New Roman" w:cs="Times New Roman"/>
        </w:rPr>
        <w:t xml:space="preserve">Committee Administering the Mechanism for Promoting </w:t>
      </w:r>
      <w:r w:rsidR="00883E64" w:rsidRPr="00CC3404">
        <w:rPr>
          <w:rFonts w:ascii="Times New Roman" w:hAnsi="Times New Roman" w:cs="Times New Roman"/>
        </w:rPr>
        <w:t>Implementation and Compliance</w:t>
      </w:r>
      <w:r w:rsidR="00CD6823" w:rsidRPr="00CC3404">
        <w:rPr>
          <w:rFonts w:ascii="Times New Roman" w:hAnsi="Times New Roman" w:cs="Times New Roman"/>
        </w:rPr>
        <w:t xml:space="preserve"> (herein after “the Implementation and Compliance Committee”)</w:t>
      </w:r>
      <w:r w:rsidR="0014013E" w:rsidRPr="00CC3404">
        <w:rPr>
          <w:rFonts w:ascii="Times New Roman" w:hAnsi="Times New Roman" w:cs="Times New Roman"/>
        </w:rPr>
        <w:t>. W</w:t>
      </w:r>
      <w:r w:rsidR="00883E64" w:rsidRPr="00CC3404">
        <w:rPr>
          <w:rFonts w:ascii="Times New Roman" w:hAnsi="Times New Roman" w:cs="Times New Roman"/>
        </w:rPr>
        <w:t xml:space="preserve">ork on </w:t>
      </w:r>
      <w:r w:rsidR="0014013E" w:rsidRPr="00CC3404">
        <w:rPr>
          <w:rFonts w:ascii="Times New Roman" w:hAnsi="Times New Roman" w:cs="Times New Roman"/>
        </w:rPr>
        <w:t xml:space="preserve">this Partnership </w:t>
      </w:r>
      <w:r w:rsidR="00883E64" w:rsidRPr="00CC3404">
        <w:rPr>
          <w:rFonts w:ascii="Times New Roman" w:hAnsi="Times New Roman" w:cs="Times New Roman"/>
        </w:rPr>
        <w:t xml:space="preserve">as well as the Household Waste Partnership was initiated only after </w:t>
      </w:r>
      <w:r w:rsidR="0014013E" w:rsidRPr="00CC3404">
        <w:rPr>
          <w:rFonts w:ascii="Times New Roman" w:hAnsi="Times New Roman" w:cs="Times New Roman"/>
        </w:rPr>
        <w:t xml:space="preserve">their </w:t>
      </w:r>
      <w:r w:rsidR="00883E64" w:rsidRPr="00CC3404">
        <w:rPr>
          <w:rFonts w:ascii="Times New Roman" w:hAnsi="Times New Roman" w:cs="Times New Roman"/>
        </w:rPr>
        <w:t>approval by the COP</w:t>
      </w:r>
      <w:r w:rsidR="001740A9" w:rsidRPr="00CC3404">
        <w:rPr>
          <w:rFonts w:ascii="Times New Roman" w:hAnsi="Times New Roman" w:cs="Times New Roman"/>
        </w:rPr>
        <w:t xml:space="preserve">, and in line with the </w:t>
      </w:r>
      <w:r w:rsidR="001740A9" w:rsidRPr="00CC3404">
        <w:rPr>
          <w:rFonts w:ascii="Times New Roman" w:hAnsi="Times New Roman" w:cs="Times New Roman"/>
        </w:rPr>
        <w:lastRenderedPageBreak/>
        <w:t>modalities set out in the COP Decisions</w:t>
      </w:r>
      <w:r w:rsidR="00883E64" w:rsidRPr="00CC3404">
        <w:rPr>
          <w:rFonts w:ascii="Times New Roman" w:hAnsi="Times New Roman" w:cs="Times New Roman"/>
        </w:rPr>
        <w:t>. In determining the</w:t>
      </w:r>
      <w:r w:rsidR="00BC5EC3" w:rsidRPr="00CC3404">
        <w:rPr>
          <w:rFonts w:ascii="Times New Roman" w:hAnsi="Times New Roman" w:cs="Times New Roman"/>
        </w:rPr>
        <w:t>se</w:t>
      </w:r>
      <w:r w:rsidR="00883E64" w:rsidRPr="00CC3404">
        <w:rPr>
          <w:rFonts w:ascii="Times New Roman" w:hAnsi="Times New Roman" w:cs="Times New Roman"/>
        </w:rPr>
        <w:t xml:space="preserve"> modalities, the COP could draw on the experience of the earlier Partnerships</w:t>
      </w:r>
      <w:r w:rsidR="00F17FFB" w:rsidRPr="00CC3404">
        <w:rPr>
          <w:rFonts w:ascii="Times New Roman" w:hAnsi="Times New Roman" w:cs="Times New Roman"/>
        </w:rPr>
        <w:t xml:space="preserve">. </w:t>
      </w:r>
      <w:r w:rsidR="00883E64" w:rsidRPr="00CC3404">
        <w:rPr>
          <w:rFonts w:ascii="Times New Roman" w:hAnsi="Times New Roman" w:cs="Times New Roman"/>
        </w:rPr>
        <w:t xml:space="preserve">  </w:t>
      </w:r>
    </w:p>
    <w:p w14:paraId="7147E1C8" w14:textId="518563E5" w:rsidR="00883E64" w:rsidRPr="00CC3404" w:rsidRDefault="00883E64" w:rsidP="005F46B6">
      <w:pPr>
        <w:pStyle w:val="Heading3"/>
        <w:numPr>
          <w:ilvl w:val="0"/>
          <w:numId w:val="4"/>
        </w:numPr>
        <w:spacing w:after="120"/>
        <w:rPr>
          <w:rFonts w:ascii="Times New Roman" w:hAnsi="Times New Roman" w:cs="Times New Roman"/>
          <w:color w:val="auto"/>
        </w:rPr>
      </w:pPr>
      <w:bookmarkStart w:id="8" w:name="_Toc531103768"/>
      <w:r w:rsidRPr="00CC3404">
        <w:rPr>
          <w:rFonts w:ascii="Times New Roman" w:hAnsi="Times New Roman" w:cs="Times New Roman"/>
          <w:color w:val="auto"/>
        </w:rPr>
        <w:t>TOR and work programme</w:t>
      </w:r>
      <w:bookmarkEnd w:id="8"/>
    </w:p>
    <w:p w14:paraId="6DADA945" w14:textId="66D9E095" w:rsidR="00883E64" w:rsidRPr="00CC3404" w:rsidRDefault="00CC3404" w:rsidP="00AB64DD">
      <w:pPr>
        <w:jc w:val="both"/>
        <w:rPr>
          <w:rFonts w:ascii="Times New Roman" w:hAnsi="Times New Roman" w:cs="Times New Roman"/>
        </w:rPr>
      </w:pPr>
      <w:r w:rsidRPr="00CC3404">
        <w:rPr>
          <w:rFonts w:ascii="Times New Roman" w:hAnsi="Times New Roman" w:cs="Times New Roman"/>
        </w:rPr>
        <w:t>17.</w:t>
      </w:r>
      <w:r w:rsidRPr="00CC3404">
        <w:rPr>
          <w:rFonts w:ascii="Times New Roman" w:hAnsi="Times New Roman" w:cs="Times New Roman"/>
        </w:rPr>
        <w:tab/>
      </w:r>
      <w:r w:rsidR="0014013E" w:rsidRPr="00CC3404">
        <w:rPr>
          <w:rFonts w:ascii="Times New Roman" w:hAnsi="Times New Roman" w:cs="Times New Roman"/>
        </w:rPr>
        <w:t xml:space="preserve">When </w:t>
      </w:r>
      <w:r w:rsidR="00883E64" w:rsidRPr="00CC3404">
        <w:rPr>
          <w:rFonts w:ascii="Times New Roman" w:hAnsi="Times New Roman" w:cs="Times New Roman"/>
        </w:rPr>
        <w:t xml:space="preserve">establishing </w:t>
      </w:r>
      <w:r w:rsidR="001D5500" w:rsidRPr="00CC3404">
        <w:rPr>
          <w:rFonts w:ascii="Times New Roman" w:hAnsi="Times New Roman" w:cs="Times New Roman"/>
        </w:rPr>
        <w:t xml:space="preserve">each of </w:t>
      </w:r>
      <w:r w:rsidR="00883E64" w:rsidRPr="00CC3404">
        <w:rPr>
          <w:rFonts w:ascii="Times New Roman" w:hAnsi="Times New Roman" w:cs="Times New Roman"/>
        </w:rPr>
        <w:t xml:space="preserve">the four Partnerships, the COP </w:t>
      </w:r>
      <w:r w:rsidR="0014013E" w:rsidRPr="00CC3404">
        <w:rPr>
          <w:rFonts w:ascii="Times New Roman" w:hAnsi="Times New Roman" w:cs="Times New Roman"/>
        </w:rPr>
        <w:t xml:space="preserve">also </w:t>
      </w:r>
      <w:r w:rsidR="00883E64" w:rsidRPr="00CC3404">
        <w:rPr>
          <w:rFonts w:ascii="Times New Roman" w:hAnsi="Times New Roman" w:cs="Times New Roman"/>
        </w:rPr>
        <w:t>adopted the</w:t>
      </w:r>
      <w:r w:rsidR="0014013E" w:rsidRPr="00CC3404">
        <w:rPr>
          <w:rFonts w:ascii="Times New Roman" w:hAnsi="Times New Roman" w:cs="Times New Roman"/>
        </w:rPr>
        <w:t>ir</w:t>
      </w:r>
      <w:r w:rsidR="00883E64" w:rsidRPr="00CC3404">
        <w:rPr>
          <w:rFonts w:ascii="Times New Roman" w:hAnsi="Times New Roman" w:cs="Times New Roman"/>
        </w:rPr>
        <w:t xml:space="preserve"> TOR and/or work programmes</w:t>
      </w:r>
      <w:r w:rsidR="0014013E" w:rsidRPr="00CC3404">
        <w:rPr>
          <w:rFonts w:ascii="Times New Roman" w:hAnsi="Times New Roman" w:cs="Times New Roman"/>
        </w:rPr>
        <w:t xml:space="preserve">. </w:t>
      </w:r>
      <w:r w:rsidR="00883E64" w:rsidRPr="00CC3404">
        <w:rPr>
          <w:rFonts w:ascii="Times New Roman" w:hAnsi="Times New Roman" w:cs="Times New Roman"/>
        </w:rPr>
        <w:t>In the case of MPPI and PACE, draft TORs had been elaborated by the previously established interim groups, and subsequently finalized under the mandate of the COP by the formal working groups it established. The Implementation and Compliance Committee prepared detailed TOR for ENFORCE</w:t>
      </w:r>
      <w:r w:rsidR="00D32266" w:rsidRPr="00CC3404">
        <w:rPr>
          <w:rFonts w:ascii="Times New Roman" w:hAnsi="Times New Roman" w:cs="Times New Roman"/>
        </w:rPr>
        <w:t xml:space="preserve"> in consultation with Parties and observers</w:t>
      </w:r>
      <w:r w:rsidR="00883E64" w:rsidRPr="00CC3404">
        <w:rPr>
          <w:rFonts w:ascii="Times New Roman" w:hAnsi="Times New Roman" w:cs="Times New Roman"/>
        </w:rPr>
        <w:t>, which were</w:t>
      </w:r>
      <w:r w:rsidR="00D32266" w:rsidRPr="00CC3404">
        <w:rPr>
          <w:rFonts w:ascii="Times New Roman" w:hAnsi="Times New Roman" w:cs="Times New Roman"/>
        </w:rPr>
        <w:t xml:space="preserve"> </w:t>
      </w:r>
      <w:r w:rsidR="00883E64" w:rsidRPr="00CC3404">
        <w:rPr>
          <w:rFonts w:ascii="Times New Roman" w:hAnsi="Times New Roman" w:cs="Times New Roman"/>
        </w:rPr>
        <w:t xml:space="preserve">submitted to the COP and approved when establishing the Partnership. Contrary to the earlier Partnerships, the TOR of </w:t>
      </w:r>
      <w:r w:rsidR="0063457D" w:rsidRPr="00CC3404">
        <w:rPr>
          <w:rFonts w:ascii="Times New Roman" w:hAnsi="Times New Roman" w:cs="Times New Roman"/>
        </w:rPr>
        <w:t xml:space="preserve">ENFORCE and </w:t>
      </w:r>
      <w:r w:rsidR="00883E64" w:rsidRPr="00CC3404">
        <w:rPr>
          <w:rFonts w:ascii="Times New Roman" w:hAnsi="Times New Roman" w:cs="Times New Roman"/>
        </w:rPr>
        <w:t xml:space="preserve">the Household Waste Partnership are very detailed, including </w:t>
      </w:r>
      <w:r w:rsidR="0014013E" w:rsidRPr="00CC3404">
        <w:rPr>
          <w:rFonts w:ascii="Times New Roman" w:hAnsi="Times New Roman" w:cs="Times New Roman"/>
        </w:rPr>
        <w:t xml:space="preserve">what can be seen as </w:t>
      </w:r>
      <w:r w:rsidR="00BC5EC3" w:rsidRPr="00CC3404">
        <w:rPr>
          <w:rFonts w:ascii="Times New Roman" w:hAnsi="Times New Roman" w:cs="Times New Roman"/>
        </w:rPr>
        <w:t xml:space="preserve">elements </w:t>
      </w:r>
      <w:r w:rsidR="0014013E" w:rsidRPr="00CC3404">
        <w:rPr>
          <w:rFonts w:ascii="Times New Roman" w:hAnsi="Times New Roman" w:cs="Times New Roman"/>
        </w:rPr>
        <w:t xml:space="preserve">of </w:t>
      </w:r>
      <w:r w:rsidR="00883E64" w:rsidRPr="00CC3404">
        <w:rPr>
          <w:rFonts w:ascii="Times New Roman" w:hAnsi="Times New Roman" w:cs="Times New Roman"/>
        </w:rPr>
        <w:t>rules of procedure for the meetings</w:t>
      </w:r>
      <w:r w:rsidR="00172914" w:rsidRPr="00CC3404">
        <w:rPr>
          <w:rFonts w:ascii="Times New Roman" w:hAnsi="Times New Roman" w:cs="Times New Roman"/>
        </w:rPr>
        <w:t xml:space="preserve"> of the Partnership’s bodies</w:t>
      </w:r>
      <w:r w:rsidR="00883E64" w:rsidRPr="00CC3404">
        <w:rPr>
          <w:rFonts w:ascii="Times New Roman" w:hAnsi="Times New Roman" w:cs="Times New Roman"/>
        </w:rPr>
        <w:t xml:space="preserve">, as well as on issues such as confidentiality, release of information, non-use of BC/UN logos, intellectual property rights, exclusion of liability, dispute resolution, and arbitration. </w:t>
      </w:r>
    </w:p>
    <w:p w14:paraId="3A43A065" w14:textId="2A6CDA06" w:rsidR="00883E64" w:rsidRPr="00CC3404" w:rsidRDefault="00883E64" w:rsidP="005F46B6">
      <w:pPr>
        <w:pStyle w:val="Heading3"/>
        <w:numPr>
          <w:ilvl w:val="0"/>
          <w:numId w:val="4"/>
        </w:numPr>
        <w:spacing w:after="120"/>
        <w:rPr>
          <w:rFonts w:ascii="Times New Roman" w:hAnsi="Times New Roman" w:cs="Times New Roman"/>
          <w:color w:val="auto"/>
        </w:rPr>
      </w:pPr>
      <w:bookmarkStart w:id="9" w:name="_Toc531103769"/>
      <w:r w:rsidRPr="00CC3404">
        <w:rPr>
          <w:rFonts w:ascii="Times New Roman" w:hAnsi="Times New Roman" w:cs="Times New Roman"/>
          <w:color w:val="auto"/>
        </w:rPr>
        <w:t>Governance structure and working arrangements</w:t>
      </w:r>
      <w:bookmarkEnd w:id="9"/>
    </w:p>
    <w:p w14:paraId="4F6D24EC" w14:textId="1572E8F4" w:rsidR="00883E64" w:rsidRPr="00CC3404" w:rsidRDefault="00CC3404" w:rsidP="00AB64DD">
      <w:pPr>
        <w:jc w:val="both"/>
        <w:rPr>
          <w:rFonts w:ascii="Times New Roman" w:hAnsi="Times New Roman" w:cs="Times New Roman"/>
        </w:rPr>
      </w:pPr>
      <w:r w:rsidRPr="00CC3404">
        <w:rPr>
          <w:rFonts w:ascii="Times New Roman" w:hAnsi="Times New Roman" w:cs="Times New Roman"/>
        </w:rPr>
        <w:t>18.</w:t>
      </w:r>
      <w:r w:rsidRPr="00CC3404">
        <w:rPr>
          <w:rFonts w:ascii="Times New Roman" w:hAnsi="Times New Roman" w:cs="Times New Roman"/>
        </w:rPr>
        <w:tab/>
      </w:r>
      <w:r w:rsidR="00883E64" w:rsidRPr="00CC3404">
        <w:rPr>
          <w:rFonts w:ascii="Times New Roman" w:hAnsi="Times New Roman" w:cs="Times New Roman"/>
        </w:rPr>
        <w:t xml:space="preserve">The COP determined the governance structure and working arrangements for all four Partnerships, and </w:t>
      </w:r>
      <w:r w:rsidR="00172914" w:rsidRPr="00CC3404">
        <w:rPr>
          <w:rFonts w:ascii="Times New Roman" w:hAnsi="Times New Roman" w:cs="Times New Roman"/>
        </w:rPr>
        <w:t>decided</w:t>
      </w:r>
      <w:r w:rsidR="00883E64" w:rsidRPr="00CC3404">
        <w:rPr>
          <w:rFonts w:ascii="Times New Roman" w:hAnsi="Times New Roman" w:cs="Times New Roman"/>
        </w:rPr>
        <w:t xml:space="preserve"> that they operate under the guidance of the OEWG and ultimately the COP. In the case of MPPI and PACE, the arrangements adopted by the COP built on the interim arrangements that had previously been put into place. The structure of these two Partnerships was similar, both featuring an overarching working group that subsequently established</w:t>
      </w:r>
      <w:r w:rsidR="00BC5EC3" w:rsidRPr="00CC3404">
        <w:rPr>
          <w:rFonts w:ascii="Times New Roman" w:hAnsi="Times New Roman" w:cs="Times New Roman"/>
        </w:rPr>
        <w:t xml:space="preserve">, under the mandate of the COP, </w:t>
      </w:r>
      <w:r w:rsidR="00883E64" w:rsidRPr="00CC3404">
        <w:rPr>
          <w:rFonts w:ascii="Times New Roman" w:hAnsi="Times New Roman" w:cs="Times New Roman"/>
        </w:rPr>
        <w:t xml:space="preserve">a number of subgroups to address the work streams </w:t>
      </w:r>
      <w:r w:rsidR="001D5500" w:rsidRPr="00CC3404">
        <w:rPr>
          <w:rFonts w:ascii="Times New Roman" w:hAnsi="Times New Roman" w:cs="Times New Roman"/>
        </w:rPr>
        <w:t>identified for</w:t>
      </w:r>
      <w:r w:rsidR="00883E64" w:rsidRPr="00CC3404">
        <w:rPr>
          <w:rFonts w:ascii="Times New Roman" w:hAnsi="Times New Roman" w:cs="Times New Roman"/>
        </w:rPr>
        <w:t xml:space="preserve"> the Partnerships. The Household Waste Partnership appears to follow </w:t>
      </w:r>
      <w:r w:rsidR="00172914" w:rsidRPr="00CC3404">
        <w:rPr>
          <w:rFonts w:ascii="Times New Roman" w:hAnsi="Times New Roman" w:cs="Times New Roman"/>
        </w:rPr>
        <w:t>the same</w:t>
      </w:r>
      <w:r w:rsidR="00883E64" w:rsidRPr="00CC3404">
        <w:rPr>
          <w:rFonts w:ascii="Times New Roman" w:hAnsi="Times New Roman" w:cs="Times New Roman"/>
        </w:rPr>
        <w:t xml:space="preserve"> approach: COP 12 called for the establishment of an informal group tasked with the development of a work plan, and COP 13 established a working group as the overarching mechanism of the Partnership, which </w:t>
      </w:r>
      <w:r w:rsidR="00BC5EC3" w:rsidRPr="00CC3404">
        <w:rPr>
          <w:rFonts w:ascii="Times New Roman" w:hAnsi="Times New Roman" w:cs="Times New Roman"/>
        </w:rPr>
        <w:t>may</w:t>
      </w:r>
      <w:r w:rsidR="00883E64" w:rsidRPr="00CC3404">
        <w:rPr>
          <w:rFonts w:ascii="Times New Roman" w:hAnsi="Times New Roman" w:cs="Times New Roman"/>
        </w:rPr>
        <w:t xml:space="preserve"> establish project groups. ENFORCE works through meetings </w:t>
      </w:r>
      <w:r w:rsidR="00174CAB" w:rsidRPr="00CC3404">
        <w:rPr>
          <w:rFonts w:ascii="Times New Roman" w:hAnsi="Times New Roman" w:cs="Times New Roman"/>
        </w:rPr>
        <w:t xml:space="preserve">of its members </w:t>
      </w:r>
      <w:r w:rsidR="00883E64" w:rsidRPr="00CC3404">
        <w:rPr>
          <w:rFonts w:ascii="Times New Roman" w:hAnsi="Times New Roman" w:cs="Times New Roman"/>
        </w:rPr>
        <w:t xml:space="preserve">organized at least once a year. Its modalities of work </w:t>
      </w:r>
      <w:r w:rsidR="001D5500" w:rsidRPr="00CC3404">
        <w:rPr>
          <w:rFonts w:ascii="Times New Roman" w:hAnsi="Times New Roman" w:cs="Times New Roman"/>
        </w:rPr>
        <w:t>show</w:t>
      </w:r>
      <w:r w:rsidR="00883E64" w:rsidRPr="00CC3404">
        <w:rPr>
          <w:rFonts w:ascii="Times New Roman" w:hAnsi="Times New Roman" w:cs="Times New Roman"/>
        </w:rPr>
        <w:t xml:space="preserve"> similarities </w:t>
      </w:r>
      <w:r w:rsidR="001D5500" w:rsidRPr="00CC3404">
        <w:rPr>
          <w:rFonts w:ascii="Times New Roman" w:hAnsi="Times New Roman" w:cs="Times New Roman"/>
        </w:rPr>
        <w:t>with</w:t>
      </w:r>
      <w:r w:rsidR="00883E64" w:rsidRPr="00CC3404">
        <w:rPr>
          <w:rFonts w:ascii="Times New Roman" w:hAnsi="Times New Roman" w:cs="Times New Roman"/>
        </w:rPr>
        <w:t xml:space="preserve"> the traditional subsidiary bodies of the Convention, e.g. rules on the election of the chair and vice chair for specified terms of office, rotation among regions, admission of observers, and the process for drafting reports. The working group of the Household Waste Partnership features some of the same elements. The Convention Secretariat serves as the secretariat of all four Partnerships, with minor differences. </w:t>
      </w:r>
      <w:r w:rsidR="00C42D3D" w:rsidRPr="00CC3404">
        <w:rPr>
          <w:rFonts w:ascii="Times New Roman" w:hAnsi="Times New Roman" w:cs="Times New Roman"/>
        </w:rPr>
        <w:t>For</w:t>
      </w:r>
      <w:r w:rsidR="00883E64" w:rsidRPr="00CC3404">
        <w:rPr>
          <w:rFonts w:ascii="Times New Roman" w:hAnsi="Times New Roman" w:cs="Times New Roman"/>
        </w:rPr>
        <w:t xml:space="preserve"> MPPI, the role of the Secretariat was the strongest: it was a member of the working group, charged with organizing the work and reporting to the OEWG. In establishing the Household Waste Partnership, the COP determined that the Secretariat should serve as the Partnership’s secretariat subject to availability of funding. </w:t>
      </w:r>
    </w:p>
    <w:p w14:paraId="292E5098" w14:textId="0CF59B74" w:rsidR="00883E64" w:rsidRPr="00CC3404" w:rsidRDefault="00174CAB" w:rsidP="005F46B6">
      <w:pPr>
        <w:pStyle w:val="Heading3"/>
        <w:spacing w:after="120"/>
        <w:ind w:firstLine="360"/>
        <w:rPr>
          <w:rFonts w:ascii="Times New Roman" w:hAnsi="Times New Roman" w:cs="Times New Roman"/>
          <w:color w:val="auto"/>
        </w:rPr>
      </w:pPr>
      <w:bookmarkStart w:id="10" w:name="_Toc531103770"/>
      <w:r w:rsidRPr="00CC3404">
        <w:rPr>
          <w:rFonts w:ascii="Times New Roman" w:hAnsi="Times New Roman" w:cs="Times New Roman"/>
          <w:color w:val="auto"/>
        </w:rPr>
        <w:t xml:space="preserve">d) </w:t>
      </w:r>
      <w:r w:rsidRPr="00CC3404">
        <w:rPr>
          <w:rFonts w:ascii="Times New Roman" w:hAnsi="Times New Roman" w:cs="Times New Roman"/>
          <w:color w:val="auto"/>
        </w:rPr>
        <w:tab/>
      </w:r>
      <w:r w:rsidR="00883E64" w:rsidRPr="00CC3404">
        <w:rPr>
          <w:rFonts w:ascii="Times New Roman" w:hAnsi="Times New Roman" w:cs="Times New Roman"/>
          <w:color w:val="auto"/>
        </w:rPr>
        <w:t>Mandate and outcomes</w:t>
      </w:r>
      <w:bookmarkEnd w:id="10"/>
    </w:p>
    <w:p w14:paraId="70D6AF68" w14:textId="39FC67FA" w:rsidR="00883E64" w:rsidRPr="00CC3404" w:rsidRDefault="00CC3404" w:rsidP="00AB64DD">
      <w:pPr>
        <w:jc w:val="both"/>
        <w:rPr>
          <w:rFonts w:ascii="Times New Roman" w:hAnsi="Times New Roman" w:cs="Times New Roman"/>
        </w:rPr>
      </w:pPr>
      <w:r w:rsidRPr="00CC3404">
        <w:rPr>
          <w:rFonts w:ascii="Times New Roman" w:hAnsi="Times New Roman" w:cs="Times New Roman"/>
        </w:rPr>
        <w:t>19.</w:t>
      </w:r>
      <w:r w:rsidRPr="00CC3404">
        <w:rPr>
          <w:rFonts w:ascii="Times New Roman" w:hAnsi="Times New Roman" w:cs="Times New Roman"/>
        </w:rPr>
        <w:tab/>
      </w:r>
      <w:r w:rsidR="00AF1FB9" w:rsidRPr="00CC3404">
        <w:rPr>
          <w:rFonts w:ascii="Times New Roman" w:hAnsi="Times New Roman" w:cs="Times New Roman"/>
        </w:rPr>
        <w:t xml:space="preserve">In line with the first work plan of the Partnership Programme, </w:t>
      </w:r>
      <w:r w:rsidR="00883E64" w:rsidRPr="00CC3404">
        <w:rPr>
          <w:rFonts w:ascii="Times New Roman" w:hAnsi="Times New Roman" w:cs="Times New Roman"/>
        </w:rPr>
        <w:t xml:space="preserve">the Basel Convention Partnerships </w:t>
      </w:r>
      <w:r w:rsidR="00AF1FB9" w:rsidRPr="00CC3404">
        <w:rPr>
          <w:rFonts w:ascii="Times New Roman" w:hAnsi="Times New Roman" w:cs="Times New Roman"/>
        </w:rPr>
        <w:t xml:space="preserve">each </w:t>
      </w:r>
      <w:r w:rsidR="00883E64" w:rsidRPr="00CC3404">
        <w:rPr>
          <w:rFonts w:ascii="Times New Roman" w:hAnsi="Times New Roman" w:cs="Times New Roman"/>
        </w:rPr>
        <w:t>have a mandate with expected outcomes, primarily the elaboration of guidance materials designed to assist Parties in achiev</w:t>
      </w:r>
      <w:r w:rsidR="007B6C6E" w:rsidRPr="00CC3404">
        <w:rPr>
          <w:rFonts w:ascii="Times New Roman" w:hAnsi="Times New Roman" w:cs="Times New Roman"/>
        </w:rPr>
        <w:t>ing</w:t>
      </w:r>
      <w:r w:rsidR="00883E64" w:rsidRPr="00CC3404">
        <w:rPr>
          <w:rFonts w:ascii="Times New Roman" w:hAnsi="Times New Roman" w:cs="Times New Roman"/>
        </w:rPr>
        <w:t xml:space="preserve"> the stated objectives of the Partnerships. The MPPI developed five technical guidelines and an overall guidance document, and initiated pilot projects to test these. PACE developed two guidelines, several manuals and reports, and a guidance document on environmentally sound management of used and end-of-life computing equipment summarizing the information compiled in these documents. These were adopted by the COP, a process that in </w:t>
      </w:r>
      <w:r w:rsidR="00C42D3D" w:rsidRPr="00CC3404">
        <w:rPr>
          <w:rFonts w:ascii="Times New Roman" w:hAnsi="Times New Roman" w:cs="Times New Roman"/>
        </w:rPr>
        <w:t>a few instances</w:t>
      </w:r>
      <w:r w:rsidR="00883E64" w:rsidRPr="00CC3404">
        <w:rPr>
          <w:rFonts w:ascii="Times New Roman" w:hAnsi="Times New Roman" w:cs="Times New Roman"/>
        </w:rPr>
        <w:t xml:space="preserve"> extended over several COP sessions. </w:t>
      </w:r>
      <w:r w:rsidR="000611B9" w:rsidRPr="00CC3404">
        <w:rPr>
          <w:rFonts w:ascii="Times New Roman" w:hAnsi="Times New Roman" w:cs="Times New Roman"/>
        </w:rPr>
        <w:t xml:space="preserve">Adoption by the COP gives the guidance materials </w:t>
      </w:r>
      <w:r w:rsidR="00AF1FB9" w:rsidRPr="00CC3404">
        <w:rPr>
          <w:rFonts w:ascii="Times New Roman" w:hAnsi="Times New Roman" w:cs="Times New Roman"/>
        </w:rPr>
        <w:t xml:space="preserve">an </w:t>
      </w:r>
      <w:r w:rsidR="00E020B4" w:rsidRPr="00CC3404">
        <w:rPr>
          <w:rFonts w:ascii="Times New Roman" w:hAnsi="Times New Roman" w:cs="Times New Roman"/>
        </w:rPr>
        <w:t>en</w:t>
      </w:r>
      <w:r w:rsidR="00DE2FB3" w:rsidRPr="00CC3404">
        <w:rPr>
          <w:rFonts w:ascii="Times New Roman" w:hAnsi="Times New Roman" w:cs="Times New Roman"/>
        </w:rPr>
        <w:t>hanced</w:t>
      </w:r>
      <w:r w:rsidR="00AF1FB9" w:rsidRPr="00CC3404">
        <w:rPr>
          <w:rFonts w:ascii="Times New Roman" w:hAnsi="Times New Roman" w:cs="Times New Roman"/>
        </w:rPr>
        <w:t xml:space="preserve"> level of authority. </w:t>
      </w:r>
      <w:r w:rsidR="00883E64" w:rsidRPr="00CC3404">
        <w:rPr>
          <w:rFonts w:ascii="Times New Roman" w:hAnsi="Times New Roman" w:cs="Times New Roman"/>
        </w:rPr>
        <w:t xml:space="preserve">The Household Waste Partnership has a somewhat broader mandate: in addition to the development of an overall guidance document on the management of household waste, it is tasked with the collection of case studies; the enhancement of awareness raising; and the coordination of outreach activities. </w:t>
      </w:r>
      <w:r w:rsidR="00D32266" w:rsidRPr="00CC3404">
        <w:rPr>
          <w:rFonts w:ascii="Times New Roman" w:hAnsi="Times New Roman" w:cs="Times New Roman"/>
        </w:rPr>
        <w:t xml:space="preserve">Given that the Household Waste Partnership operates under the ultimate authority of the COP, the guidance it develops will be submitted to COP for consideration and possible adoption. </w:t>
      </w:r>
      <w:r w:rsidR="00883E64" w:rsidRPr="00CC3404">
        <w:rPr>
          <w:rFonts w:ascii="Times New Roman" w:hAnsi="Times New Roman" w:cs="Times New Roman"/>
        </w:rPr>
        <w:t xml:space="preserve">The mandate of ENFORCE is more focused on </w:t>
      </w:r>
      <w:r w:rsidR="00D32266" w:rsidRPr="00CC3404">
        <w:rPr>
          <w:rFonts w:ascii="Times New Roman" w:hAnsi="Times New Roman" w:cs="Times New Roman"/>
        </w:rPr>
        <w:t>the technical assistance activities of its members and it has not, so far, been mandated to develop guidance materials and training tools</w:t>
      </w:r>
      <w:r w:rsidR="00883E64" w:rsidRPr="00CC3404">
        <w:rPr>
          <w:rFonts w:ascii="Times New Roman" w:hAnsi="Times New Roman" w:cs="Times New Roman"/>
        </w:rPr>
        <w:t xml:space="preserve">. </w:t>
      </w:r>
      <w:r w:rsidR="00D32266" w:rsidRPr="00CC3404">
        <w:rPr>
          <w:rFonts w:ascii="Times New Roman" w:hAnsi="Times New Roman" w:cs="Times New Roman"/>
        </w:rPr>
        <w:t xml:space="preserve">Activities of the members </w:t>
      </w:r>
      <w:r w:rsidR="00883E64" w:rsidRPr="00CC3404">
        <w:rPr>
          <w:rFonts w:ascii="Times New Roman" w:hAnsi="Times New Roman" w:cs="Times New Roman"/>
        </w:rPr>
        <w:t xml:space="preserve">include sharing and </w:t>
      </w:r>
      <w:r w:rsidR="00883E64" w:rsidRPr="00CC3404">
        <w:rPr>
          <w:rFonts w:ascii="Times New Roman" w:hAnsi="Times New Roman" w:cs="Times New Roman"/>
        </w:rPr>
        <w:lastRenderedPageBreak/>
        <w:t xml:space="preserve">developing training tools and materials, hosting and organizing workshops or electronic training and information sessions, facilitating information exchange in specified areas, and periodic monitoring of and reporting on the progress and effectiveness of the training activities and modules. </w:t>
      </w:r>
    </w:p>
    <w:p w14:paraId="771420F7" w14:textId="7FADC093" w:rsidR="00883E64" w:rsidRPr="00CC3404" w:rsidRDefault="00883E64" w:rsidP="00B745B6">
      <w:pPr>
        <w:pStyle w:val="Heading3"/>
        <w:numPr>
          <w:ilvl w:val="0"/>
          <w:numId w:val="5"/>
        </w:numPr>
        <w:spacing w:after="120"/>
        <w:ind w:left="720"/>
        <w:rPr>
          <w:rFonts w:ascii="Times New Roman" w:hAnsi="Times New Roman" w:cs="Times New Roman"/>
          <w:color w:val="auto"/>
        </w:rPr>
      </w:pPr>
      <w:bookmarkStart w:id="11" w:name="_Toc531103771"/>
      <w:r w:rsidRPr="00CC3404">
        <w:rPr>
          <w:rFonts w:ascii="Times New Roman" w:hAnsi="Times New Roman" w:cs="Times New Roman"/>
          <w:color w:val="auto"/>
        </w:rPr>
        <w:t>Membership</w:t>
      </w:r>
      <w:bookmarkEnd w:id="11"/>
    </w:p>
    <w:p w14:paraId="5A418B0E" w14:textId="789E999A" w:rsidR="00883E64" w:rsidRPr="00CC3404" w:rsidRDefault="00CC3404" w:rsidP="00AB64DD">
      <w:pPr>
        <w:jc w:val="both"/>
        <w:rPr>
          <w:rFonts w:ascii="Times New Roman" w:hAnsi="Times New Roman" w:cs="Times New Roman"/>
        </w:rPr>
      </w:pPr>
      <w:r w:rsidRPr="00CC3404">
        <w:rPr>
          <w:rFonts w:ascii="Times New Roman" w:hAnsi="Times New Roman" w:cs="Times New Roman"/>
        </w:rPr>
        <w:t>20.</w:t>
      </w:r>
      <w:r w:rsidRPr="00CC3404">
        <w:rPr>
          <w:rFonts w:ascii="Times New Roman" w:hAnsi="Times New Roman" w:cs="Times New Roman"/>
        </w:rPr>
        <w:tab/>
      </w:r>
      <w:r w:rsidR="00883E64" w:rsidRPr="00CC3404">
        <w:rPr>
          <w:rFonts w:ascii="Times New Roman" w:hAnsi="Times New Roman" w:cs="Times New Roman"/>
        </w:rPr>
        <w:t>Membership in all four Partnerships is defined by the COP</w:t>
      </w:r>
      <w:r w:rsidR="004D4E55" w:rsidRPr="00CC3404">
        <w:rPr>
          <w:rFonts w:ascii="Times New Roman" w:hAnsi="Times New Roman" w:cs="Times New Roman"/>
        </w:rPr>
        <w:t>. One characteristic is that all members, whether they are Party or observer representatives, participate on equal footing in the governing structure of the Partnership</w:t>
      </w:r>
      <w:r w:rsidR="00883E64" w:rsidRPr="00CC3404">
        <w:rPr>
          <w:rFonts w:ascii="Times New Roman" w:hAnsi="Times New Roman" w:cs="Times New Roman"/>
        </w:rPr>
        <w:t>. In line with the</w:t>
      </w:r>
      <w:r w:rsidR="000611B9" w:rsidRPr="00CC3404">
        <w:rPr>
          <w:rFonts w:ascii="Times New Roman" w:hAnsi="Times New Roman" w:cs="Times New Roman"/>
        </w:rPr>
        <w:t xml:space="preserve"> underlying motivation </w:t>
      </w:r>
      <w:r w:rsidR="009F533F" w:rsidRPr="00CC3404">
        <w:rPr>
          <w:rFonts w:ascii="Times New Roman" w:hAnsi="Times New Roman" w:cs="Times New Roman"/>
        </w:rPr>
        <w:t>of benefitting</w:t>
      </w:r>
      <w:r w:rsidR="00883E64" w:rsidRPr="00CC3404">
        <w:rPr>
          <w:rFonts w:ascii="Times New Roman" w:hAnsi="Times New Roman" w:cs="Times New Roman"/>
        </w:rPr>
        <w:t xml:space="preserve"> from </w:t>
      </w:r>
      <w:r w:rsidR="00B55A87" w:rsidRPr="00CC3404">
        <w:rPr>
          <w:rFonts w:ascii="Times New Roman" w:hAnsi="Times New Roman" w:cs="Times New Roman"/>
        </w:rPr>
        <w:t xml:space="preserve">a broader range of </w:t>
      </w:r>
      <w:r w:rsidR="00883E64" w:rsidRPr="00CC3404">
        <w:rPr>
          <w:rFonts w:ascii="Times New Roman" w:hAnsi="Times New Roman" w:cs="Times New Roman"/>
        </w:rPr>
        <w:t>experience and expertise, and the mandates to develop technical outcomes that require specific expertise, membership is not open to all interested actors. For MPPI, PACE and the Household Waste Partnership, the</w:t>
      </w:r>
      <w:r w:rsidR="009F533F" w:rsidRPr="00CC3404">
        <w:rPr>
          <w:rFonts w:ascii="Times New Roman" w:hAnsi="Times New Roman" w:cs="Times New Roman"/>
        </w:rPr>
        <w:t xml:space="preserve"> categories of</w:t>
      </w:r>
      <w:r w:rsidR="00883E64" w:rsidRPr="00CC3404">
        <w:rPr>
          <w:rFonts w:ascii="Times New Roman" w:hAnsi="Times New Roman" w:cs="Times New Roman"/>
        </w:rPr>
        <w:t xml:space="preserve"> non-state entities eligible for membership are listed</w:t>
      </w:r>
      <w:r w:rsidR="00DE2FB3" w:rsidRPr="00CC3404">
        <w:rPr>
          <w:rFonts w:ascii="Times New Roman" w:hAnsi="Times New Roman" w:cs="Times New Roman"/>
        </w:rPr>
        <w:t xml:space="preserve"> in the relevant COP Decisions</w:t>
      </w:r>
      <w:r w:rsidR="00883E64" w:rsidRPr="00CC3404">
        <w:rPr>
          <w:rFonts w:ascii="Times New Roman" w:hAnsi="Times New Roman" w:cs="Times New Roman"/>
        </w:rPr>
        <w:t xml:space="preserve">. They include private sector entities active in the relevant areas, environmental NGOs, relevant associations, academia, and BCRCs (as well as SCRCs in the case of the Household Waste Partnership). The representatives are required to have expertise and experience in the relevant areas of work. While the membership criteria are determined by the COP, the Partnerships’ working groups decide on the admission of members. On the </w:t>
      </w:r>
      <w:r w:rsidR="004D4E55" w:rsidRPr="00CC3404">
        <w:rPr>
          <w:rFonts w:ascii="Times New Roman" w:hAnsi="Times New Roman" w:cs="Times New Roman"/>
        </w:rPr>
        <w:t xml:space="preserve">States </w:t>
      </w:r>
      <w:r w:rsidR="00883E64" w:rsidRPr="00CC3404">
        <w:rPr>
          <w:rFonts w:ascii="Times New Roman" w:hAnsi="Times New Roman" w:cs="Times New Roman"/>
        </w:rPr>
        <w:t xml:space="preserve">side, Parties as well as signatories are eligible. ENFORCE has </w:t>
      </w:r>
      <w:r w:rsidR="001566F8" w:rsidRPr="00CC3404">
        <w:rPr>
          <w:rFonts w:ascii="Times New Roman" w:hAnsi="Times New Roman" w:cs="Times New Roman"/>
        </w:rPr>
        <w:t>a number of separate</w:t>
      </w:r>
      <w:r w:rsidR="00883E64" w:rsidRPr="00CC3404">
        <w:rPr>
          <w:rFonts w:ascii="Times New Roman" w:hAnsi="Times New Roman" w:cs="Times New Roman"/>
        </w:rPr>
        <w:t xml:space="preserve"> membership categories with different procedures for election. Membership is open to Parties (but not signatories), entities with a specific mandate to deliver implementation and enforcement capacity building activities, and entities with a specific role or relevance to the work of ENFORCE. The COP elects one representative of each of the five UN Regions and four representatives of the </w:t>
      </w:r>
      <w:r w:rsidR="009535AA" w:rsidRPr="00CC3404">
        <w:rPr>
          <w:rFonts w:ascii="Times New Roman" w:hAnsi="Times New Roman" w:cs="Times New Roman"/>
        </w:rPr>
        <w:t>BCRCs</w:t>
      </w:r>
      <w:r w:rsidR="00883E64" w:rsidRPr="00CC3404">
        <w:rPr>
          <w:rFonts w:ascii="Times New Roman" w:hAnsi="Times New Roman" w:cs="Times New Roman"/>
        </w:rPr>
        <w:t xml:space="preserve"> for a term of two years. Additional members may be accepted by decision of the members of ENFORCE. Current additional members include international organizations, enforcement organizations, and two NGOs. There is no private sector member at this time, and given the network’s focus on law enforcement, it appears unlikely that private sector organizations </w:t>
      </w:r>
      <w:r w:rsidR="00B75C7B" w:rsidRPr="00CC3404">
        <w:rPr>
          <w:rFonts w:ascii="Times New Roman" w:hAnsi="Times New Roman" w:cs="Times New Roman"/>
        </w:rPr>
        <w:t xml:space="preserve">would meet the criteria for </w:t>
      </w:r>
      <w:r w:rsidR="00883E64" w:rsidRPr="00CC3404">
        <w:rPr>
          <w:rFonts w:ascii="Times New Roman" w:hAnsi="Times New Roman" w:cs="Times New Roman"/>
        </w:rPr>
        <w:t>apply</w:t>
      </w:r>
      <w:r w:rsidR="00B75C7B" w:rsidRPr="00CC3404">
        <w:rPr>
          <w:rFonts w:ascii="Times New Roman" w:hAnsi="Times New Roman" w:cs="Times New Roman"/>
        </w:rPr>
        <w:t>ing</w:t>
      </w:r>
      <w:r w:rsidR="00883E64" w:rsidRPr="00CC3404">
        <w:rPr>
          <w:rFonts w:ascii="Times New Roman" w:hAnsi="Times New Roman" w:cs="Times New Roman"/>
        </w:rPr>
        <w:t xml:space="preserve"> for membership. </w:t>
      </w:r>
    </w:p>
    <w:p w14:paraId="67DF67DA" w14:textId="0A40DDFD" w:rsidR="00B75C7B" w:rsidRPr="00CC3404" w:rsidRDefault="00883E64" w:rsidP="00B745B6">
      <w:pPr>
        <w:pStyle w:val="Heading3"/>
        <w:numPr>
          <w:ilvl w:val="0"/>
          <w:numId w:val="5"/>
        </w:numPr>
        <w:spacing w:after="120"/>
        <w:ind w:left="720"/>
        <w:rPr>
          <w:rFonts w:ascii="Times New Roman" w:hAnsi="Times New Roman" w:cs="Times New Roman"/>
          <w:color w:val="auto"/>
        </w:rPr>
      </w:pPr>
      <w:bookmarkStart w:id="12" w:name="_Toc531103772"/>
      <w:r w:rsidRPr="00CC3404">
        <w:rPr>
          <w:rFonts w:ascii="Times New Roman" w:hAnsi="Times New Roman" w:cs="Times New Roman"/>
          <w:color w:val="auto"/>
        </w:rPr>
        <w:t>Funding</w:t>
      </w:r>
      <w:bookmarkEnd w:id="12"/>
      <w:r w:rsidRPr="00CC3404">
        <w:rPr>
          <w:rFonts w:ascii="Times New Roman" w:hAnsi="Times New Roman" w:cs="Times New Roman"/>
          <w:color w:val="auto"/>
        </w:rPr>
        <w:t xml:space="preserve"> </w:t>
      </w:r>
    </w:p>
    <w:p w14:paraId="0CF12924" w14:textId="3F6E4470" w:rsidR="001566F8" w:rsidRPr="00CC3404" w:rsidRDefault="00CC3404" w:rsidP="00AB64DD">
      <w:pPr>
        <w:jc w:val="both"/>
        <w:rPr>
          <w:rFonts w:ascii="Times New Roman" w:hAnsi="Times New Roman" w:cs="Times New Roman"/>
        </w:rPr>
      </w:pPr>
      <w:r w:rsidRPr="00CC3404">
        <w:rPr>
          <w:rFonts w:ascii="Times New Roman" w:hAnsi="Times New Roman" w:cs="Times New Roman"/>
        </w:rPr>
        <w:t>21.</w:t>
      </w:r>
      <w:r w:rsidRPr="00CC3404">
        <w:rPr>
          <w:rFonts w:ascii="Times New Roman" w:hAnsi="Times New Roman" w:cs="Times New Roman"/>
        </w:rPr>
        <w:tab/>
      </w:r>
      <w:r w:rsidR="00DE2FB3" w:rsidRPr="00CC3404">
        <w:rPr>
          <w:rFonts w:ascii="Times New Roman" w:hAnsi="Times New Roman" w:cs="Times New Roman"/>
        </w:rPr>
        <w:t xml:space="preserve">The </w:t>
      </w:r>
      <w:r w:rsidR="00883E64" w:rsidRPr="00CC3404">
        <w:rPr>
          <w:rFonts w:ascii="Times New Roman" w:hAnsi="Times New Roman" w:cs="Times New Roman"/>
        </w:rPr>
        <w:t xml:space="preserve">Partnerships are dependent on voluntary extrabudgetary contributions, as no allocation is made in the core budget of the Convention. The first two Partnerships, MPPI and PACE, received sufficient initial funding to allow them to </w:t>
      </w:r>
      <w:r w:rsidR="009535AA" w:rsidRPr="00CC3404">
        <w:rPr>
          <w:rFonts w:ascii="Times New Roman" w:hAnsi="Times New Roman" w:cs="Times New Roman"/>
        </w:rPr>
        <w:t xml:space="preserve">begin work, </w:t>
      </w:r>
      <w:r w:rsidR="00883E64" w:rsidRPr="00CC3404">
        <w:rPr>
          <w:rFonts w:ascii="Times New Roman" w:hAnsi="Times New Roman" w:cs="Times New Roman"/>
        </w:rPr>
        <w:t xml:space="preserve">including in particular from those Parties that had initiated their </w:t>
      </w:r>
      <w:r w:rsidR="001566F8" w:rsidRPr="00CC3404">
        <w:rPr>
          <w:rFonts w:ascii="Times New Roman" w:hAnsi="Times New Roman" w:cs="Times New Roman"/>
        </w:rPr>
        <w:t>launch</w:t>
      </w:r>
      <w:r w:rsidR="00883E64" w:rsidRPr="00CC3404">
        <w:rPr>
          <w:rFonts w:ascii="Times New Roman" w:hAnsi="Times New Roman" w:cs="Times New Roman"/>
        </w:rPr>
        <w:t>. MPPI received initial funding from two Parties and one private sector partner, and in-kind contributions from governments and stakeholders, whereas initial funding for PACE was provide</w:t>
      </w:r>
      <w:r w:rsidR="00DE2FB3" w:rsidRPr="00CC3404">
        <w:rPr>
          <w:rFonts w:ascii="Times New Roman" w:hAnsi="Times New Roman" w:cs="Times New Roman"/>
        </w:rPr>
        <w:t>d</w:t>
      </w:r>
      <w:r w:rsidR="00883E64" w:rsidRPr="00CC3404">
        <w:rPr>
          <w:rFonts w:ascii="Times New Roman" w:hAnsi="Times New Roman" w:cs="Times New Roman"/>
        </w:rPr>
        <w:t xml:space="preserve"> by two Parties. Subsequent COP Decisions invited voluntary contributions to the Partnerships. The working group subsequently developed biennial programme budgets and determined contributions for non-state actors.  The Household Waste Partnership has set contributions for the different types of partners</w:t>
      </w:r>
      <w:r w:rsidR="00781D1A" w:rsidRPr="00CC3404">
        <w:rPr>
          <w:rFonts w:ascii="Times New Roman" w:hAnsi="Times New Roman" w:cs="Times New Roman"/>
        </w:rPr>
        <w:t xml:space="preserve"> at the outset</w:t>
      </w:r>
      <w:r w:rsidR="00883E64" w:rsidRPr="00CC3404">
        <w:rPr>
          <w:rFonts w:ascii="Times New Roman" w:hAnsi="Times New Roman" w:cs="Times New Roman"/>
        </w:rPr>
        <w:t xml:space="preserve">. </w:t>
      </w:r>
      <w:r w:rsidR="004D4E55" w:rsidRPr="00CC3404">
        <w:rPr>
          <w:rFonts w:ascii="Times New Roman" w:hAnsi="Times New Roman" w:cs="Times New Roman"/>
        </w:rPr>
        <w:t>The budget for ENFORCE has so far almost exclusively been for holding meetings of its members.</w:t>
      </w:r>
    </w:p>
    <w:p w14:paraId="37C11AA1" w14:textId="22689125" w:rsidR="00B75C7B" w:rsidRPr="00CC3404" w:rsidRDefault="001D153A" w:rsidP="00B745B6">
      <w:pPr>
        <w:pStyle w:val="Heading3"/>
        <w:numPr>
          <w:ilvl w:val="0"/>
          <w:numId w:val="5"/>
        </w:numPr>
        <w:spacing w:after="120"/>
        <w:ind w:left="720"/>
        <w:rPr>
          <w:rFonts w:ascii="Times New Roman" w:hAnsi="Times New Roman" w:cs="Times New Roman"/>
          <w:color w:val="auto"/>
        </w:rPr>
      </w:pPr>
      <w:bookmarkStart w:id="13" w:name="_Toc531103773"/>
      <w:r w:rsidRPr="00CC3404">
        <w:rPr>
          <w:rFonts w:ascii="Times New Roman" w:hAnsi="Times New Roman" w:cs="Times New Roman"/>
          <w:color w:val="auto"/>
        </w:rPr>
        <w:t>Some l</w:t>
      </w:r>
      <w:r w:rsidR="00555A05" w:rsidRPr="00CC3404">
        <w:rPr>
          <w:rFonts w:ascii="Times New Roman" w:hAnsi="Times New Roman" w:cs="Times New Roman"/>
          <w:color w:val="auto"/>
        </w:rPr>
        <w:t>essons learned</w:t>
      </w:r>
      <w:bookmarkStart w:id="14" w:name="_Hlk530386732"/>
      <w:bookmarkEnd w:id="13"/>
    </w:p>
    <w:p w14:paraId="171F8CCC" w14:textId="6B59AEF0" w:rsidR="00C5633A" w:rsidRPr="00CC3404" w:rsidRDefault="00CC3404" w:rsidP="00AB64DD">
      <w:pPr>
        <w:jc w:val="both"/>
        <w:rPr>
          <w:rFonts w:ascii="Times New Roman" w:hAnsi="Times New Roman" w:cs="Times New Roman"/>
        </w:rPr>
      </w:pPr>
      <w:r w:rsidRPr="00CC3404">
        <w:rPr>
          <w:rFonts w:ascii="Times New Roman" w:hAnsi="Times New Roman" w:cs="Times New Roman"/>
        </w:rPr>
        <w:t>22.</w:t>
      </w:r>
      <w:r w:rsidRPr="00CC3404">
        <w:rPr>
          <w:rFonts w:ascii="Times New Roman" w:hAnsi="Times New Roman" w:cs="Times New Roman"/>
        </w:rPr>
        <w:tab/>
      </w:r>
      <w:r w:rsidR="00C5633A" w:rsidRPr="00CC3404">
        <w:rPr>
          <w:rFonts w:ascii="Times New Roman" w:hAnsi="Times New Roman" w:cs="Times New Roman"/>
        </w:rPr>
        <w:t>In comparing the four Partnerships, a general pattern emerges: the COP establishe</w:t>
      </w:r>
      <w:r w:rsidR="00CF5D71" w:rsidRPr="00CC3404">
        <w:rPr>
          <w:rFonts w:ascii="Times New Roman" w:hAnsi="Times New Roman" w:cs="Times New Roman"/>
        </w:rPr>
        <w:t>d</w:t>
      </w:r>
      <w:r w:rsidR="00C5633A" w:rsidRPr="00CC3404">
        <w:rPr>
          <w:rFonts w:ascii="Times New Roman" w:hAnsi="Times New Roman" w:cs="Times New Roman"/>
        </w:rPr>
        <w:t xml:space="preserve"> the Partnerships, defin</w:t>
      </w:r>
      <w:r w:rsidR="00CC284B" w:rsidRPr="00CC3404">
        <w:rPr>
          <w:rFonts w:ascii="Times New Roman" w:hAnsi="Times New Roman" w:cs="Times New Roman"/>
        </w:rPr>
        <w:t>e</w:t>
      </w:r>
      <w:r w:rsidR="00CF5D71" w:rsidRPr="00CC3404">
        <w:rPr>
          <w:rFonts w:ascii="Times New Roman" w:hAnsi="Times New Roman" w:cs="Times New Roman"/>
        </w:rPr>
        <w:t>d</w:t>
      </w:r>
      <w:r w:rsidR="00C5633A" w:rsidRPr="00CC3404">
        <w:rPr>
          <w:rFonts w:ascii="Times New Roman" w:hAnsi="Times New Roman" w:cs="Times New Roman"/>
        </w:rPr>
        <w:t xml:space="preserve"> their governance structure, objective, TOR and work plan, and membership, and adopt</w:t>
      </w:r>
      <w:r w:rsidR="0070470B" w:rsidRPr="00CC3404">
        <w:rPr>
          <w:rFonts w:ascii="Times New Roman" w:hAnsi="Times New Roman" w:cs="Times New Roman"/>
        </w:rPr>
        <w:t>ed</w:t>
      </w:r>
      <w:r w:rsidR="00C5633A" w:rsidRPr="00CC3404">
        <w:rPr>
          <w:rFonts w:ascii="Times New Roman" w:hAnsi="Times New Roman" w:cs="Times New Roman"/>
        </w:rPr>
        <w:t xml:space="preserve"> their outcomes. The Partnerships work under the guidance of the OEWG and ultimately the COP. The COP thus has a high level of control over the Partnerships.</w:t>
      </w:r>
      <w:r w:rsidR="00CC284B" w:rsidRPr="00CC3404">
        <w:rPr>
          <w:rFonts w:ascii="Times New Roman" w:hAnsi="Times New Roman" w:cs="Times New Roman"/>
        </w:rPr>
        <w:t xml:space="preserve"> </w:t>
      </w:r>
      <w:r w:rsidR="00C5633A" w:rsidRPr="00CC3404">
        <w:rPr>
          <w:rFonts w:ascii="Times New Roman" w:hAnsi="Times New Roman" w:cs="Times New Roman"/>
        </w:rPr>
        <w:t>All Partnerships are composed of different stakeholders (multi-stakeholder)</w:t>
      </w:r>
      <w:r w:rsidR="00CC284B" w:rsidRPr="00CC3404">
        <w:rPr>
          <w:rFonts w:ascii="Times New Roman" w:hAnsi="Times New Roman" w:cs="Times New Roman"/>
        </w:rPr>
        <w:t xml:space="preserve"> with a defined scope of expertise and experience in the field of work of the Partnership</w:t>
      </w:r>
      <w:r w:rsidR="003C1E7A" w:rsidRPr="00CC3404">
        <w:rPr>
          <w:rFonts w:ascii="Times New Roman" w:hAnsi="Times New Roman" w:cs="Times New Roman"/>
        </w:rPr>
        <w:t>,</w:t>
      </w:r>
      <w:r w:rsidR="001B138E" w:rsidRPr="00CC3404">
        <w:rPr>
          <w:rFonts w:ascii="Times New Roman" w:hAnsi="Times New Roman" w:cs="Times New Roman"/>
        </w:rPr>
        <w:t xml:space="preserve"> which participate on </w:t>
      </w:r>
      <w:r w:rsidR="003C1E7A" w:rsidRPr="00CC3404">
        <w:rPr>
          <w:rFonts w:ascii="Times New Roman" w:hAnsi="Times New Roman" w:cs="Times New Roman"/>
        </w:rPr>
        <w:t xml:space="preserve">an </w:t>
      </w:r>
      <w:r w:rsidR="001B138E" w:rsidRPr="00CC3404">
        <w:rPr>
          <w:rFonts w:ascii="Times New Roman" w:hAnsi="Times New Roman" w:cs="Times New Roman"/>
        </w:rPr>
        <w:t>equal footing in the work of the Partnership</w:t>
      </w:r>
      <w:r w:rsidR="003C1E7A" w:rsidRPr="00CC3404">
        <w:rPr>
          <w:rFonts w:ascii="Times New Roman" w:hAnsi="Times New Roman" w:cs="Times New Roman"/>
        </w:rPr>
        <w:t>. T</w:t>
      </w:r>
      <w:r w:rsidR="001B138E" w:rsidRPr="00CC3404">
        <w:rPr>
          <w:rFonts w:ascii="Times New Roman" w:hAnsi="Times New Roman" w:cs="Times New Roman"/>
        </w:rPr>
        <w:t xml:space="preserve">hey usually </w:t>
      </w:r>
      <w:r w:rsidR="00C5633A" w:rsidRPr="00CC3404">
        <w:rPr>
          <w:rFonts w:ascii="Times New Roman" w:hAnsi="Times New Roman" w:cs="Times New Roman"/>
        </w:rPr>
        <w:t xml:space="preserve">develop guidance </w:t>
      </w:r>
      <w:r w:rsidR="005A7042" w:rsidRPr="00CC3404">
        <w:rPr>
          <w:rFonts w:ascii="Times New Roman" w:hAnsi="Times New Roman" w:cs="Times New Roman"/>
        </w:rPr>
        <w:t xml:space="preserve">documents or </w:t>
      </w:r>
      <w:r w:rsidR="00C5633A" w:rsidRPr="00CC3404">
        <w:rPr>
          <w:rFonts w:ascii="Times New Roman" w:hAnsi="Times New Roman" w:cs="Times New Roman"/>
        </w:rPr>
        <w:t xml:space="preserve">tools for the use of Parties </w:t>
      </w:r>
      <w:r w:rsidR="001B138E" w:rsidRPr="00CC3404">
        <w:rPr>
          <w:rFonts w:ascii="Times New Roman" w:hAnsi="Times New Roman" w:cs="Times New Roman"/>
        </w:rPr>
        <w:t xml:space="preserve">and other stakeholders, as relevant, </w:t>
      </w:r>
      <w:r w:rsidR="00C5633A" w:rsidRPr="00CC3404">
        <w:rPr>
          <w:rFonts w:ascii="Times New Roman" w:hAnsi="Times New Roman" w:cs="Times New Roman"/>
        </w:rPr>
        <w:t>when dealing with a particular aspect of the implementation of the Convention</w:t>
      </w:r>
      <w:r w:rsidR="003047D1" w:rsidRPr="00CC3404">
        <w:rPr>
          <w:rFonts w:ascii="Times New Roman" w:hAnsi="Times New Roman" w:cs="Times New Roman"/>
        </w:rPr>
        <w:t xml:space="preserve">. </w:t>
      </w:r>
    </w:p>
    <w:bookmarkEnd w:id="14"/>
    <w:p w14:paraId="227C418B" w14:textId="4543FD72" w:rsidR="006A053D" w:rsidRPr="00CC3404" w:rsidRDefault="00CC3404" w:rsidP="00AB64DD">
      <w:pPr>
        <w:jc w:val="both"/>
        <w:rPr>
          <w:rFonts w:ascii="Times New Roman" w:hAnsi="Times New Roman" w:cs="Times New Roman"/>
        </w:rPr>
      </w:pPr>
      <w:r w:rsidRPr="00CC3404">
        <w:rPr>
          <w:rFonts w:ascii="Times New Roman" w:hAnsi="Times New Roman" w:cs="Times New Roman"/>
        </w:rPr>
        <w:lastRenderedPageBreak/>
        <w:t>23.</w:t>
      </w:r>
      <w:r w:rsidRPr="00CC3404">
        <w:rPr>
          <w:rFonts w:ascii="Times New Roman" w:hAnsi="Times New Roman" w:cs="Times New Roman"/>
        </w:rPr>
        <w:tab/>
      </w:r>
      <w:r w:rsidR="004B2DFD" w:rsidRPr="00CC3404">
        <w:rPr>
          <w:rFonts w:ascii="Times New Roman" w:hAnsi="Times New Roman" w:cs="Times New Roman"/>
        </w:rPr>
        <w:t>In advance of COP 9, lessons learned from the first Partnership, MPPI, were compiled</w:t>
      </w:r>
      <w:r w:rsidR="004B2DFD" w:rsidRPr="00CC3404">
        <w:rPr>
          <w:rStyle w:val="FootnoteReference"/>
          <w:rFonts w:ascii="Times New Roman" w:hAnsi="Times New Roman" w:cs="Times New Roman"/>
        </w:rPr>
        <w:footnoteReference w:id="11"/>
      </w:r>
      <w:r w:rsidR="004B2DFD" w:rsidRPr="00CC3404">
        <w:rPr>
          <w:rFonts w:ascii="Times New Roman" w:hAnsi="Times New Roman" w:cs="Times New Roman"/>
        </w:rPr>
        <w:t xml:space="preserve">.  These are summarized below:  </w:t>
      </w:r>
    </w:p>
    <w:p w14:paraId="6019111B" w14:textId="0907186C" w:rsidR="004B2DFD" w:rsidRPr="00CC3404" w:rsidRDefault="004B2DFD" w:rsidP="00E45D56">
      <w:pPr>
        <w:pStyle w:val="ListParagraph"/>
        <w:numPr>
          <w:ilvl w:val="0"/>
          <w:numId w:val="6"/>
        </w:numPr>
        <w:jc w:val="both"/>
        <w:rPr>
          <w:rFonts w:ascii="Times New Roman" w:hAnsi="Times New Roman" w:cs="Times New Roman"/>
        </w:rPr>
      </w:pPr>
      <w:r w:rsidRPr="00CC3404">
        <w:rPr>
          <w:rFonts w:ascii="Times New Roman" w:hAnsi="Times New Roman" w:cs="Times New Roman"/>
        </w:rPr>
        <w:t>Active involvement of all stakeholders</w:t>
      </w:r>
      <w:r w:rsidR="006B4C33" w:rsidRPr="00CC3404">
        <w:rPr>
          <w:rFonts w:ascii="Times New Roman" w:hAnsi="Times New Roman" w:cs="Times New Roman"/>
        </w:rPr>
        <w:t>,</w:t>
      </w:r>
      <w:r w:rsidRPr="00CC3404">
        <w:rPr>
          <w:rFonts w:ascii="Times New Roman" w:hAnsi="Times New Roman" w:cs="Times New Roman"/>
        </w:rPr>
        <w:t xml:space="preserve"> and transparency</w:t>
      </w:r>
      <w:r w:rsidR="0081182C">
        <w:rPr>
          <w:rFonts w:ascii="Times New Roman" w:hAnsi="Times New Roman" w:cs="Times New Roman"/>
        </w:rPr>
        <w:t>;</w:t>
      </w:r>
    </w:p>
    <w:p w14:paraId="171D74FF" w14:textId="3B29DB08" w:rsidR="004B2DFD" w:rsidRPr="00CC3404" w:rsidRDefault="004B2DFD" w:rsidP="00E45D56">
      <w:pPr>
        <w:pStyle w:val="ListParagraph"/>
        <w:numPr>
          <w:ilvl w:val="0"/>
          <w:numId w:val="6"/>
        </w:numPr>
        <w:jc w:val="both"/>
        <w:rPr>
          <w:rFonts w:ascii="Times New Roman" w:hAnsi="Times New Roman" w:cs="Times New Roman"/>
        </w:rPr>
      </w:pPr>
      <w:r w:rsidRPr="00CC3404">
        <w:rPr>
          <w:rFonts w:ascii="Times New Roman" w:hAnsi="Times New Roman" w:cs="Times New Roman"/>
        </w:rPr>
        <w:t xml:space="preserve">A </w:t>
      </w:r>
      <w:r w:rsidR="009B37CF" w:rsidRPr="00CC3404">
        <w:rPr>
          <w:rFonts w:ascii="Times New Roman" w:hAnsi="Times New Roman" w:cs="Times New Roman"/>
        </w:rPr>
        <w:t>self-funding</w:t>
      </w:r>
      <w:r w:rsidRPr="00CC3404">
        <w:rPr>
          <w:rFonts w:ascii="Times New Roman" w:hAnsi="Times New Roman" w:cs="Times New Roman"/>
        </w:rPr>
        <w:t xml:space="preserve"> mechanism for the whole partnership to ensure availability of resources</w:t>
      </w:r>
      <w:r w:rsidR="0081182C">
        <w:rPr>
          <w:rFonts w:ascii="Times New Roman" w:hAnsi="Times New Roman" w:cs="Times New Roman"/>
        </w:rPr>
        <w:t>;</w:t>
      </w:r>
    </w:p>
    <w:p w14:paraId="5DD006BC" w14:textId="5B7F69F0" w:rsidR="006B4C33" w:rsidRPr="00CC3404" w:rsidRDefault="004B2DFD" w:rsidP="00E45D56">
      <w:pPr>
        <w:pStyle w:val="ListParagraph"/>
        <w:numPr>
          <w:ilvl w:val="0"/>
          <w:numId w:val="6"/>
        </w:numPr>
        <w:jc w:val="both"/>
        <w:rPr>
          <w:rFonts w:ascii="Times New Roman" w:hAnsi="Times New Roman" w:cs="Times New Roman"/>
        </w:rPr>
      </w:pPr>
      <w:r w:rsidRPr="00CC3404">
        <w:rPr>
          <w:rFonts w:ascii="Times New Roman" w:hAnsi="Times New Roman" w:cs="Times New Roman"/>
        </w:rPr>
        <w:t>Balanced participation between developed and developing countries and between types of stakeholders, allocation of funds for developing country participation, good understanding of the different viewpoints</w:t>
      </w:r>
      <w:r w:rsidR="006B4C33" w:rsidRPr="00CC3404">
        <w:rPr>
          <w:rFonts w:ascii="Times New Roman" w:hAnsi="Times New Roman" w:cs="Times New Roman"/>
        </w:rPr>
        <w:t xml:space="preserve"> of the stakeholders to avoid misunderstandings and conflicts</w:t>
      </w:r>
    </w:p>
    <w:p w14:paraId="7D2433CA" w14:textId="4FC49B98" w:rsidR="004B2DFD" w:rsidRPr="00CC3404" w:rsidRDefault="004B2DFD" w:rsidP="00E45D56">
      <w:pPr>
        <w:pStyle w:val="ListParagraph"/>
        <w:numPr>
          <w:ilvl w:val="0"/>
          <w:numId w:val="6"/>
        </w:numPr>
        <w:jc w:val="both"/>
        <w:rPr>
          <w:rFonts w:ascii="Times New Roman" w:hAnsi="Times New Roman" w:cs="Times New Roman"/>
        </w:rPr>
      </w:pPr>
      <w:r w:rsidRPr="00CC3404">
        <w:rPr>
          <w:rFonts w:ascii="Times New Roman" w:hAnsi="Times New Roman" w:cs="Times New Roman"/>
        </w:rPr>
        <w:t>Sound coordination of activities throughout the process</w:t>
      </w:r>
      <w:r w:rsidR="0081182C">
        <w:rPr>
          <w:rFonts w:ascii="Times New Roman" w:hAnsi="Times New Roman" w:cs="Times New Roman"/>
        </w:rPr>
        <w:t>;</w:t>
      </w:r>
      <w:r w:rsidRPr="00CC3404">
        <w:rPr>
          <w:rFonts w:ascii="Times New Roman" w:hAnsi="Times New Roman" w:cs="Times New Roman"/>
        </w:rPr>
        <w:t xml:space="preserve"> </w:t>
      </w:r>
    </w:p>
    <w:p w14:paraId="74E4B2B4" w14:textId="44920051" w:rsidR="004B2DFD" w:rsidRPr="00CC3404" w:rsidRDefault="006B4C33" w:rsidP="00E45D56">
      <w:pPr>
        <w:pStyle w:val="ListParagraph"/>
        <w:numPr>
          <w:ilvl w:val="0"/>
          <w:numId w:val="6"/>
        </w:numPr>
        <w:jc w:val="both"/>
        <w:rPr>
          <w:rFonts w:ascii="Times New Roman" w:hAnsi="Times New Roman" w:cs="Times New Roman"/>
        </w:rPr>
      </w:pPr>
      <w:r w:rsidRPr="00CC3404">
        <w:rPr>
          <w:rFonts w:ascii="Times New Roman" w:hAnsi="Times New Roman" w:cs="Times New Roman"/>
        </w:rPr>
        <w:t>C</w:t>
      </w:r>
      <w:r w:rsidR="004B2DFD" w:rsidRPr="00CC3404">
        <w:rPr>
          <w:rFonts w:ascii="Times New Roman" w:hAnsi="Times New Roman" w:cs="Times New Roman"/>
        </w:rPr>
        <w:t xml:space="preserve">ommitted </w:t>
      </w:r>
      <w:r w:rsidRPr="00CC3404">
        <w:rPr>
          <w:rFonts w:ascii="Times New Roman" w:hAnsi="Times New Roman" w:cs="Times New Roman"/>
        </w:rPr>
        <w:t>individuals from among the partners and within the Secretariat</w:t>
      </w:r>
      <w:r w:rsidR="0081182C">
        <w:rPr>
          <w:rFonts w:ascii="Times New Roman" w:hAnsi="Times New Roman" w:cs="Times New Roman"/>
        </w:rPr>
        <w:t>;</w:t>
      </w:r>
      <w:r w:rsidRPr="00CC3404">
        <w:rPr>
          <w:rFonts w:ascii="Times New Roman" w:hAnsi="Times New Roman" w:cs="Times New Roman"/>
        </w:rPr>
        <w:t xml:space="preserve"> </w:t>
      </w:r>
    </w:p>
    <w:p w14:paraId="57B3F8E7" w14:textId="7040A8DE" w:rsidR="004B2DFD" w:rsidRPr="00CC3404" w:rsidRDefault="004B2DFD" w:rsidP="00E45D56">
      <w:pPr>
        <w:pStyle w:val="ListParagraph"/>
        <w:numPr>
          <w:ilvl w:val="0"/>
          <w:numId w:val="6"/>
        </w:numPr>
        <w:jc w:val="both"/>
        <w:rPr>
          <w:rFonts w:ascii="Times New Roman" w:hAnsi="Times New Roman" w:cs="Times New Roman"/>
        </w:rPr>
      </w:pPr>
      <w:r w:rsidRPr="00CC3404">
        <w:rPr>
          <w:rFonts w:ascii="Times New Roman" w:hAnsi="Times New Roman" w:cs="Times New Roman"/>
        </w:rPr>
        <w:t xml:space="preserve">Mechanisms </w:t>
      </w:r>
      <w:r w:rsidR="006B4C33" w:rsidRPr="00CC3404">
        <w:rPr>
          <w:rFonts w:ascii="Times New Roman" w:hAnsi="Times New Roman" w:cs="Times New Roman"/>
        </w:rPr>
        <w:t xml:space="preserve">to reach </w:t>
      </w:r>
      <w:r w:rsidR="009B37CF" w:rsidRPr="00CC3404">
        <w:rPr>
          <w:rFonts w:ascii="Times New Roman" w:hAnsi="Times New Roman" w:cs="Times New Roman"/>
        </w:rPr>
        <w:t>consensus</w:t>
      </w:r>
      <w:r w:rsidR="006B4C33" w:rsidRPr="00CC3404">
        <w:rPr>
          <w:rFonts w:ascii="Times New Roman" w:hAnsi="Times New Roman" w:cs="Times New Roman"/>
        </w:rPr>
        <w:t xml:space="preserve"> or resolve conflicts</w:t>
      </w:r>
      <w:r w:rsidR="0081182C">
        <w:rPr>
          <w:rFonts w:ascii="Times New Roman" w:hAnsi="Times New Roman" w:cs="Times New Roman"/>
        </w:rPr>
        <w:t>;</w:t>
      </w:r>
    </w:p>
    <w:p w14:paraId="5456B2DD" w14:textId="7B9B5158" w:rsidR="004B2DFD" w:rsidRPr="00CC3404" w:rsidRDefault="006B4C33" w:rsidP="00E45D56">
      <w:pPr>
        <w:pStyle w:val="ListParagraph"/>
        <w:numPr>
          <w:ilvl w:val="0"/>
          <w:numId w:val="6"/>
        </w:numPr>
        <w:jc w:val="both"/>
        <w:rPr>
          <w:rFonts w:ascii="Times New Roman" w:hAnsi="Times New Roman" w:cs="Times New Roman"/>
        </w:rPr>
      </w:pPr>
      <w:r w:rsidRPr="00CC3404">
        <w:rPr>
          <w:rFonts w:ascii="Times New Roman" w:hAnsi="Times New Roman" w:cs="Times New Roman"/>
        </w:rPr>
        <w:t>Flexible work programme with room for adjustment along the way</w:t>
      </w:r>
      <w:r w:rsidR="0081182C">
        <w:rPr>
          <w:rFonts w:ascii="Times New Roman" w:hAnsi="Times New Roman" w:cs="Times New Roman"/>
        </w:rPr>
        <w:t>;</w:t>
      </w:r>
    </w:p>
    <w:p w14:paraId="0D94F7C1" w14:textId="0C9F9FE6" w:rsidR="00765659" w:rsidRPr="00CC3404" w:rsidRDefault="006B4C33" w:rsidP="00E45D56">
      <w:pPr>
        <w:pStyle w:val="ListParagraph"/>
        <w:numPr>
          <w:ilvl w:val="0"/>
          <w:numId w:val="6"/>
        </w:numPr>
        <w:jc w:val="both"/>
        <w:rPr>
          <w:rFonts w:ascii="Times New Roman" w:hAnsi="Times New Roman" w:cs="Times New Roman"/>
        </w:rPr>
      </w:pPr>
      <w:r w:rsidRPr="00CC3404">
        <w:rPr>
          <w:rFonts w:ascii="Times New Roman" w:hAnsi="Times New Roman" w:cs="Times New Roman"/>
        </w:rPr>
        <w:t>A mechanism f</w:t>
      </w:r>
      <w:r w:rsidR="004B2DFD" w:rsidRPr="00CC3404">
        <w:rPr>
          <w:rFonts w:ascii="Times New Roman" w:hAnsi="Times New Roman" w:cs="Times New Roman"/>
        </w:rPr>
        <w:t>or sending legal interpretive questions to the Parties for resolution</w:t>
      </w:r>
      <w:r w:rsidR="0081182C">
        <w:rPr>
          <w:rFonts w:ascii="Times New Roman" w:hAnsi="Times New Roman" w:cs="Times New Roman"/>
        </w:rPr>
        <w:t>.</w:t>
      </w:r>
      <w:r w:rsidRPr="00CC3404">
        <w:rPr>
          <w:rFonts w:ascii="Times New Roman" w:hAnsi="Times New Roman" w:cs="Times New Roman"/>
        </w:rPr>
        <w:t xml:space="preserve"> </w:t>
      </w:r>
    </w:p>
    <w:p w14:paraId="00DB9482" w14:textId="51EA1CAD" w:rsidR="00555A05" w:rsidRPr="00CC3404" w:rsidRDefault="00CC3404" w:rsidP="00AB64DD">
      <w:pPr>
        <w:jc w:val="both"/>
        <w:rPr>
          <w:rFonts w:ascii="Times New Roman" w:hAnsi="Times New Roman" w:cs="Times New Roman"/>
        </w:rPr>
      </w:pPr>
      <w:r w:rsidRPr="00CC3404">
        <w:rPr>
          <w:rFonts w:ascii="Times New Roman" w:hAnsi="Times New Roman" w:cs="Times New Roman"/>
        </w:rPr>
        <w:t>24.</w:t>
      </w:r>
      <w:r w:rsidRPr="00CC3404">
        <w:rPr>
          <w:rFonts w:ascii="Times New Roman" w:hAnsi="Times New Roman" w:cs="Times New Roman"/>
        </w:rPr>
        <w:tab/>
      </w:r>
      <w:r w:rsidR="001566F8" w:rsidRPr="00CC3404">
        <w:rPr>
          <w:rFonts w:ascii="Times New Roman" w:hAnsi="Times New Roman" w:cs="Times New Roman"/>
        </w:rPr>
        <w:t xml:space="preserve">Sustainable funding </w:t>
      </w:r>
      <w:r w:rsidR="006B4C33" w:rsidRPr="00CC3404">
        <w:rPr>
          <w:rFonts w:ascii="Times New Roman" w:hAnsi="Times New Roman" w:cs="Times New Roman"/>
        </w:rPr>
        <w:t>has played an important role throughout the life of the Partnership Programme.</w:t>
      </w:r>
      <w:r w:rsidR="001566F8" w:rsidRPr="00CC3404">
        <w:rPr>
          <w:rFonts w:ascii="Times New Roman" w:hAnsi="Times New Roman" w:cs="Times New Roman"/>
        </w:rPr>
        <w:t xml:space="preserve"> </w:t>
      </w:r>
      <w:r w:rsidR="006B4C33" w:rsidRPr="00CC3404">
        <w:rPr>
          <w:rFonts w:ascii="Times New Roman" w:hAnsi="Times New Roman" w:cs="Times New Roman"/>
        </w:rPr>
        <w:t xml:space="preserve">In order to be viable, proposed Partnerships must attract sufficient </w:t>
      </w:r>
      <w:r w:rsidR="001566F8" w:rsidRPr="00CC3404">
        <w:rPr>
          <w:rFonts w:ascii="Times New Roman" w:hAnsi="Times New Roman" w:cs="Times New Roman"/>
        </w:rPr>
        <w:t xml:space="preserve">long-term </w:t>
      </w:r>
      <w:r w:rsidR="006B4C33" w:rsidRPr="00CC3404">
        <w:rPr>
          <w:rFonts w:ascii="Times New Roman" w:hAnsi="Times New Roman" w:cs="Times New Roman"/>
        </w:rPr>
        <w:t xml:space="preserve">interest </w:t>
      </w:r>
      <w:r w:rsidR="00555A05" w:rsidRPr="00CC3404">
        <w:rPr>
          <w:rFonts w:ascii="Times New Roman" w:hAnsi="Times New Roman" w:cs="Times New Roman"/>
        </w:rPr>
        <w:t xml:space="preserve">from Parties and stakeholders to </w:t>
      </w:r>
      <w:r w:rsidR="006B4C33" w:rsidRPr="00CC3404">
        <w:rPr>
          <w:rFonts w:ascii="Times New Roman" w:hAnsi="Times New Roman" w:cs="Times New Roman"/>
        </w:rPr>
        <w:t xml:space="preserve">merit financial engagement, either </w:t>
      </w:r>
      <w:r w:rsidR="00EA2740" w:rsidRPr="00CC3404">
        <w:rPr>
          <w:rFonts w:ascii="Times New Roman" w:hAnsi="Times New Roman" w:cs="Times New Roman"/>
        </w:rPr>
        <w:t xml:space="preserve">through voluntary contributions </w:t>
      </w:r>
      <w:r w:rsidR="006B4C33" w:rsidRPr="00CC3404">
        <w:rPr>
          <w:rFonts w:ascii="Times New Roman" w:hAnsi="Times New Roman" w:cs="Times New Roman"/>
        </w:rPr>
        <w:t xml:space="preserve">or through adherence </w:t>
      </w:r>
      <w:r w:rsidR="00166C55" w:rsidRPr="00CC3404">
        <w:rPr>
          <w:rFonts w:ascii="Times New Roman" w:hAnsi="Times New Roman" w:cs="Times New Roman"/>
        </w:rPr>
        <w:t xml:space="preserve">as paying partners. </w:t>
      </w:r>
      <w:r w:rsidR="00555A05" w:rsidRPr="00CC3404">
        <w:rPr>
          <w:rFonts w:ascii="Times New Roman" w:hAnsi="Times New Roman" w:cs="Times New Roman"/>
        </w:rPr>
        <w:t xml:space="preserve">Likewise, proponents of </w:t>
      </w:r>
      <w:r w:rsidR="001566F8" w:rsidRPr="00CC3404">
        <w:rPr>
          <w:rFonts w:ascii="Times New Roman" w:hAnsi="Times New Roman" w:cs="Times New Roman"/>
        </w:rPr>
        <w:t xml:space="preserve">new </w:t>
      </w:r>
      <w:r w:rsidR="00555A05" w:rsidRPr="00CC3404">
        <w:rPr>
          <w:rFonts w:ascii="Times New Roman" w:hAnsi="Times New Roman" w:cs="Times New Roman"/>
        </w:rPr>
        <w:t xml:space="preserve">Partnerships must convince the COP to endorse their establishment. </w:t>
      </w:r>
      <w:r w:rsidR="0089515D" w:rsidRPr="00CC3404">
        <w:rPr>
          <w:rFonts w:ascii="Times New Roman" w:hAnsi="Times New Roman" w:cs="Times New Roman"/>
        </w:rPr>
        <w:t>Prior to COP 9,</w:t>
      </w:r>
      <w:r w:rsidR="00EA2740" w:rsidRPr="00CC3404">
        <w:rPr>
          <w:rFonts w:ascii="Times New Roman" w:hAnsi="Times New Roman" w:cs="Times New Roman"/>
        </w:rPr>
        <w:t xml:space="preserve"> an increasing number of partnerships had been proposed, </w:t>
      </w:r>
      <w:r w:rsidR="00555A05" w:rsidRPr="00CC3404">
        <w:rPr>
          <w:rFonts w:ascii="Times New Roman" w:hAnsi="Times New Roman" w:cs="Times New Roman"/>
        </w:rPr>
        <w:t xml:space="preserve">but many of these did not go forward, either because they failed to attract </w:t>
      </w:r>
      <w:r w:rsidR="001566F8" w:rsidRPr="00CC3404">
        <w:rPr>
          <w:rFonts w:ascii="Times New Roman" w:hAnsi="Times New Roman" w:cs="Times New Roman"/>
        </w:rPr>
        <w:t xml:space="preserve">sufficient </w:t>
      </w:r>
      <w:r w:rsidR="00555A05" w:rsidRPr="00CC3404">
        <w:rPr>
          <w:rFonts w:ascii="Times New Roman" w:hAnsi="Times New Roman" w:cs="Times New Roman"/>
        </w:rPr>
        <w:t>funding, or because the COP was not convinced of their validity. For example, the Convention’s Programme of Work and Budget for the biennia 2005-6 and 2007-8 provided for the establishment of a Basel Convention Partners Forum to formalize regular discussion between non-governmental partners of the Convention</w:t>
      </w:r>
      <w:r w:rsidR="00555A05" w:rsidRPr="00CC3404">
        <w:rPr>
          <w:vertAlign w:val="superscript"/>
        </w:rPr>
        <w:footnoteReference w:id="12"/>
      </w:r>
      <w:r w:rsidR="00555A05" w:rsidRPr="00CC3404">
        <w:rPr>
          <w:rFonts w:ascii="Times New Roman" w:hAnsi="Times New Roman" w:cs="Times New Roman"/>
        </w:rPr>
        <w:t>; this was not implemented. In 2009, on the basis of its experiences with partnership work, the Secretariat proposed the establishment of a Basel Business Forum and a Basel NGO Forum as well as a mandate to explore the potential of a clean development mechanism partnership with the UNFCCC, and to develop a partnership toolkit. COP8 did not approve the establishment of the two forums. The toolkit was approved but not developed due to lack of funding</w:t>
      </w:r>
      <w:r w:rsidR="0094264A" w:rsidRPr="00CC3404">
        <w:rPr>
          <w:rFonts w:ascii="Times New Roman" w:hAnsi="Times New Roman" w:cs="Times New Roman"/>
        </w:rPr>
        <w:t xml:space="preserve">, the </w:t>
      </w:r>
      <w:r w:rsidR="0011220C" w:rsidRPr="00CC3404">
        <w:rPr>
          <w:rFonts w:ascii="Times New Roman" w:hAnsi="Times New Roman" w:cs="Times New Roman"/>
        </w:rPr>
        <w:t xml:space="preserve">report on lessons learnt from MPPI </w:t>
      </w:r>
      <w:r w:rsidR="001566F8" w:rsidRPr="00CC3404">
        <w:rPr>
          <w:rFonts w:ascii="Times New Roman" w:hAnsi="Times New Roman" w:cs="Times New Roman"/>
        </w:rPr>
        <w:t>being</w:t>
      </w:r>
      <w:r w:rsidR="0011220C" w:rsidRPr="00CC3404">
        <w:rPr>
          <w:rFonts w:ascii="Times New Roman" w:hAnsi="Times New Roman" w:cs="Times New Roman"/>
        </w:rPr>
        <w:t xml:space="preserve"> </w:t>
      </w:r>
      <w:r w:rsidR="0094264A" w:rsidRPr="00CC3404">
        <w:rPr>
          <w:rFonts w:ascii="Times New Roman" w:hAnsi="Times New Roman" w:cs="Times New Roman"/>
        </w:rPr>
        <w:t>the only output</w:t>
      </w:r>
      <w:r w:rsidR="0011220C" w:rsidRPr="00CC3404">
        <w:rPr>
          <w:rFonts w:ascii="Times New Roman" w:hAnsi="Times New Roman" w:cs="Times New Roman"/>
        </w:rPr>
        <w:t xml:space="preserve">. The </w:t>
      </w:r>
      <w:r w:rsidR="00555A05" w:rsidRPr="00CC3404">
        <w:rPr>
          <w:rFonts w:ascii="Times New Roman" w:hAnsi="Times New Roman" w:cs="Times New Roman"/>
        </w:rPr>
        <w:t>consultations with the UNFCCC Secretariat on a clean development partnership</w:t>
      </w:r>
      <w:r w:rsidR="0011220C" w:rsidRPr="00CC3404">
        <w:rPr>
          <w:rFonts w:ascii="Times New Roman" w:hAnsi="Times New Roman" w:cs="Times New Roman"/>
        </w:rPr>
        <w:t xml:space="preserve"> between 2009 and 2011 </w:t>
      </w:r>
      <w:r w:rsidR="00555A05" w:rsidRPr="00CC3404">
        <w:rPr>
          <w:rFonts w:ascii="Times New Roman" w:hAnsi="Times New Roman" w:cs="Times New Roman"/>
        </w:rPr>
        <w:t xml:space="preserve">did not produce results; </w:t>
      </w:r>
      <w:r w:rsidR="00D77F72" w:rsidRPr="00CC3404">
        <w:rPr>
          <w:rFonts w:ascii="Times New Roman" w:hAnsi="Times New Roman" w:cs="Times New Roman"/>
        </w:rPr>
        <w:t>the proposed activities</w:t>
      </w:r>
      <w:r w:rsidR="0094264A" w:rsidRPr="00CC3404">
        <w:rPr>
          <w:rFonts w:ascii="Times New Roman" w:hAnsi="Times New Roman" w:cs="Times New Roman"/>
        </w:rPr>
        <w:t xml:space="preserve"> </w:t>
      </w:r>
      <w:r w:rsidR="00D77F72" w:rsidRPr="00CC3404">
        <w:rPr>
          <w:rFonts w:ascii="Times New Roman" w:hAnsi="Times New Roman" w:cs="Times New Roman"/>
        </w:rPr>
        <w:t xml:space="preserve">were </w:t>
      </w:r>
      <w:r w:rsidR="00095896" w:rsidRPr="00CC3404">
        <w:rPr>
          <w:rFonts w:ascii="Times New Roman" w:hAnsi="Times New Roman" w:cs="Times New Roman"/>
        </w:rPr>
        <w:t xml:space="preserve">eventually integrated into a project </w:t>
      </w:r>
      <w:r w:rsidR="00D77F72" w:rsidRPr="00CC3404">
        <w:rPr>
          <w:rFonts w:ascii="Times New Roman" w:hAnsi="Times New Roman" w:cs="Times New Roman"/>
        </w:rPr>
        <w:t>implemented</w:t>
      </w:r>
      <w:r w:rsidR="00095896" w:rsidRPr="00CC3404">
        <w:rPr>
          <w:rFonts w:ascii="Times New Roman" w:hAnsi="Times New Roman" w:cs="Times New Roman"/>
        </w:rPr>
        <w:t xml:space="preserve"> by BCRC CAM</w:t>
      </w:r>
      <w:r w:rsidR="00555A05" w:rsidRPr="00CC3404">
        <w:rPr>
          <w:vertAlign w:val="superscript"/>
        </w:rPr>
        <w:footnoteReference w:id="13"/>
      </w:r>
      <w:r w:rsidR="00555A05" w:rsidRPr="00CC3404">
        <w:rPr>
          <w:rFonts w:ascii="Times New Roman" w:hAnsi="Times New Roman" w:cs="Times New Roman"/>
        </w:rPr>
        <w:t xml:space="preserve">. </w:t>
      </w:r>
      <w:r w:rsidR="0011220C" w:rsidRPr="00CC3404">
        <w:rPr>
          <w:rFonts w:ascii="Times New Roman" w:hAnsi="Times New Roman" w:cs="Times New Roman"/>
        </w:rPr>
        <w:t>The adoption of a budget for a specified period and a system of contributions by stakeholders</w:t>
      </w:r>
      <w:r w:rsidR="00246232" w:rsidRPr="00CC3404">
        <w:rPr>
          <w:rFonts w:ascii="Times New Roman" w:hAnsi="Times New Roman" w:cs="Times New Roman"/>
        </w:rPr>
        <w:t xml:space="preserve">, as has been done by the working groups of PACE and the Household Waste Partnership, </w:t>
      </w:r>
      <w:r w:rsidR="005A7042" w:rsidRPr="00CC3404">
        <w:rPr>
          <w:rFonts w:ascii="Times New Roman" w:hAnsi="Times New Roman" w:cs="Times New Roman"/>
        </w:rPr>
        <w:t xml:space="preserve">appears to be </w:t>
      </w:r>
      <w:r w:rsidR="0011220C" w:rsidRPr="00CC3404">
        <w:rPr>
          <w:rFonts w:ascii="Times New Roman" w:hAnsi="Times New Roman" w:cs="Times New Roman"/>
        </w:rPr>
        <w:t>an efficient way to ensure predictable fundin</w:t>
      </w:r>
      <w:r w:rsidR="002713B3" w:rsidRPr="00CC3404">
        <w:rPr>
          <w:rFonts w:ascii="Times New Roman" w:hAnsi="Times New Roman" w:cs="Times New Roman"/>
        </w:rPr>
        <w:t>g</w:t>
      </w:r>
      <w:r w:rsidR="00B56930" w:rsidRPr="00CC3404">
        <w:rPr>
          <w:rFonts w:ascii="Times New Roman" w:hAnsi="Times New Roman" w:cs="Times New Roman"/>
        </w:rPr>
        <w:t xml:space="preserve"> so as to avoid these problems</w:t>
      </w:r>
      <w:r w:rsidR="002713B3" w:rsidRPr="00CC3404">
        <w:rPr>
          <w:rFonts w:ascii="Times New Roman" w:hAnsi="Times New Roman" w:cs="Times New Roman"/>
        </w:rPr>
        <w:t xml:space="preserve">. </w:t>
      </w:r>
    </w:p>
    <w:p w14:paraId="3F2F2CA8" w14:textId="4491AF16" w:rsidR="00721665" w:rsidRPr="00CC3404" w:rsidRDefault="00CC3404" w:rsidP="00AB64DD">
      <w:pPr>
        <w:jc w:val="both"/>
        <w:rPr>
          <w:rFonts w:ascii="Times New Roman" w:hAnsi="Times New Roman" w:cs="Times New Roman"/>
        </w:rPr>
      </w:pPr>
      <w:r w:rsidRPr="00CC3404">
        <w:rPr>
          <w:rFonts w:ascii="Times New Roman" w:hAnsi="Times New Roman" w:cs="Times New Roman"/>
        </w:rPr>
        <w:t>25.</w:t>
      </w:r>
      <w:r w:rsidRPr="00CC3404">
        <w:rPr>
          <w:rFonts w:ascii="Times New Roman" w:hAnsi="Times New Roman" w:cs="Times New Roman"/>
        </w:rPr>
        <w:tab/>
      </w:r>
      <w:r w:rsidR="001566F8" w:rsidRPr="00CC3404">
        <w:rPr>
          <w:rFonts w:ascii="Times New Roman" w:hAnsi="Times New Roman" w:cs="Times New Roman"/>
        </w:rPr>
        <w:t xml:space="preserve">Ongoing support and engagement </w:t>
      </w:r>
      <w:r w:rsidR="00EA2740" w:rsidRPr="00CC3404">
        <w:rPr>
          <w:rFonts w:ascii="Times New Roman" w:hAnsi="Times New Roman" w:cs="Times New Roman"/>
        </w:rPr>
        <w:t>by key countries and</w:t>
      </w:r>
      <w:r w:rsidR="00D77F72" w:rsidRPr="00CC3404">
        <w:rPr>
          <w:rFonts w:ascii="Times New Roman" w:hAnsi="Times New Roman" w:cs="Times New Roman"/>
        </w:rPr>
        <w:t xml:space="preserve"> </w:t>
      </w:r>
      <w:r w:rsidR="00EA2740" w:rsidRPr="00CC3404">
        <w:rPr>
          <w:rFonts w:ascii="Times New Roman" w:hAnsi="Times New Roman" w:cs="Times New Roman"/>
        </w:rPr>
        <w:t>committed individuals are also key, as evidenced by the early success of MPPI and PACE,</w:t>
      </w:r>
      <w:r w:rsidR="0011220C" w:rsidRPr="00CC3404">
        <w:rPr>
          <w:rFonts w:ascii="Times New Roman" w:hAnsi="Times New Roman" w:cs="Times New Roman"/>
        </w:rPr>
        <w:t xml:space="preserve"> which were </w:t>
      </w:r>
      <w:r w:rsidR="0094264A" w:rsidRPr="00CC3404">
        <w:rPr>
          <w:rFonts w:ascii="Times New Roman" w:hAnsi="Times New Roman" w:cs="Times New Roman"/>
        </w:rPr>
        <w:t>initiated</w:t>
      </w:r>
      <w:r w:rsidR="00182202" w:rsidRPr="00CC3404">
        <w:rPr>
          <w:rFonts w:ascii="Times New Roman" w:hAnsi="Times New Roman" w:cs="Times New Roman"/>
        </w:rPr>
        <w:t xml:space="preserve"> and funded</w:t>
      </w:r>
      <w:r w:rsidR="0011220C" w:rsidRPr="00CC3404">
        <w:rPr>
          <w:rFonts w:ascii="Times New Roman" w:hAnsi="Times New Roman" w:cs="Times New Roman"/>
        </w:rPr>
        <w:t xml:space="preserve"> through the initiative of a small number of committed Party representatives</w:t>
      </w:r>
      <w:r w:rsidR="00F82A6A" w:rsidRPr="00CC3404">
        <w:rPr>
          <w:rFonts w:ascii="Times New Roman" w:hAnsi="Times New Roman" w:cs="Times New Roman"/>
        </w:rPr>
        <w:t xml:space="preserve"> prior to </w:t>
      </w:r>
      <w:r w:rsidR="0011220C" w:rsidRPr="00CC3404">
        <w:rPr>
          <w:rFonts w:ascii="Times New Roman" w:hAnsi="Times New Roman" w:cs="Times New Roman"/>
        </w:rPr>
        <w:t xml:space="preserve">being formally established by the COP. </w:t>
      </w:r>
    </w:p>
    <w:p w14:paraId="6F664C6B" w14:textId="772F0CF3" w:rsidR="00DD649E" w:rsidRPr="00CC3404" w:rsidRDefault="00CC3404" w:rsidP="00AB64DD">
      <w:pPr>
        <w:jc w:val="both"/>
        <w:rPr>
          <w:rFonts w:ascii="Times New Roman" w:hAnsi="Times New Roman" w:cs="Times New Roman"/>
        </w:rPr>
      </w:pPr>
      <w:r w:rsidRPr="00CC3404">
        <w:rPr>
          <w:rFonts w:ascii="Times New Roman" w:hAnsi="Times New Roman" w:cs="Times New Roman"/>
        </w:rPr>
        <w:t>26.</w:t>
      </w:r>
      <w:r w:rsidRPr="00CC3404">
        <w:rPr>
          <w:rFonts w:ascii="Times New Roman" w:hAnsi="Times New Roman" w:cs="Times New Roman"/>
        </w:rPr>
        <w:tab/>
      </w:r>
      <w:r w:rsidR="005A7042" w:rsidRPr="00CC3404">
        <w:rPr>
          <w:rFonts w:ascii="Times New Roman" w:hAnsi="Times New Roman" w:cs="Times New Roman"/>
        </w:rPr>
        <w:t xml:space="preserve">One element to bear in mind </w:t>
      </w:r>
      <w:r w:rsidR="009535AA" w:rsidRPr="00CC3404">
        <w:rPr>
          <w:rFonts w:ascii="Times New Roman" w:hAnsi="Times New Roman" w:cs="Times New Roman"/>
        </w:rPr>
        <w:t>is</w:t>
      </w:r>
      <w:r w:rsidR="006378A2" w:rsidRPr="00CC3404">
        <w:rPr>
          <w:rFonts w:ascii="Times New Roman" w:hAnsi="Times New Roman" w:cs="Times New Roman"/>
        </w:rPr>
        <w:t xml:space="preserve"> the status of the </w:t>
      </w:r>
      <w:r w:rsidR="002713B3" w:rsidRPr="00CC3404">
        <w:rPr>
          <w:rFonts w:ascii="Times New Roman" w:hAnsi="Times New Roman" w:cs="Times New Roman"/>
        </w:rPr>
        <w:t>working groups of the Partnerships established by the COP, and t</w:t>
      </w:r>
      <w:r w:rsidR="006378A2" w:rsidRPr="00CC3404">
        <w:rPr>
          <w:rFonts w:ascii="Times New Roman" w:hAnsi="Times New Roman" w:cs="Times New Roman"/>
        </w:rPr>
        <w:t>he guidance tool</w:t>
      </w:r>
      <w:r w:rsidR="002C66B8" w:rsidRPr="00CC3404">
        <w:rPr>
          <w:rFonts w:ascii="Times New Roman" w:hAnsi="Times New Roman" w:cs="Times New Roman"/>
        </w:rPr>
        <w:t>s</w:t>
      </w:r>
      <w:r w:rsidR="006378A2" w:rsidRPr="00CC3404">
        <w:rPr>
          <w:rFonts w:ascii="Times New Roman" w:hAnsi="Times New Roman" w:cs="Times New Roman"/>
        </w:rPr>
        <w:t xml:space="preserve"> developed by them, in relation to </w:t>
      </w:r>
      <w:r w:rsidR="009535AA" w:rsidRPr="00CC3404">
        <w:rPr>
          <w:rFonts w:ascii="Times New Roman" w:hAnsi="Times New Roman" w:cs="Times New Roman"/>
        </w:rPr>
        <w:t xml:space="preserve">the </w:t>
      </w:r>
      <w:r w:rsidR="006378A2" w:rsidRPr="00CC3404">
        <w:rPr>
          <w:rFonts w:ascii="Times New Roman" w:hAnsi="Times New Roman" w:cs="Times New Roman"/>
        </w:rPr>
        <w:t>Working Groups and Committees established in accordance with Rule 26 of the Rules of Procedure</w:t>
      </w:r>
      <w:r w:rsidR="00B75C7B" w:rsidRPr="00CC3404">
        <w:rPr>
          <w:rFonts w:ascii="Times New Roman" w:hAnsi="Times New Roman" w:cs="Times New Roman"/>
        </w:rPr>
        <w:t>, and the guidance</w:t>
      </w:r>
      <w:r w:rsidR="00914167" w:rsidRPr="00CC3404">
        <w:rPr>
          <w:rFonts w:ascii="Times New Roman" w:hAnsi="Times New Roman" w:cs="Times New Roman"/>
        </w:rPr>
        <w:t xml:space="preserve"> they elaborate</w:t>
      </w:r>
      <w:r w:rsidR="006378A2" w:rsidRPr="00CC3404">
        <w:rPr>
          <w:rFonts w:ascii="Times New Roman" w:hAnsi="Times New Roman" w:cs="Times New Roman"/>
        </w:rPr>
        <w:t xml:space="preserve">. </w:t>
      </w:r>
      <w:r w:rsidR="00F82B30" w:rsidRPr="00CC3404">
        <w:rPr>
          <w:rFonts w:ascii="Times New Roman" w:hAnsi="Times New Roman" w:cs="Times New Roman"/>
        </w:rPr>
        <w:t xml:space="preserve">In this respect, an issue arose with regard to the guidance elaborated by PACE on transboundary movement of used and end-of life computing equipment: this guidance addressed the same subject matter as the </w:t>
      </w:r>
      <w:r w:rsidR="00F82B30" w:rsidRPr="00CC3404">
        <w:rPr>
          <w:rFonts w:ascii="Times New Roman" w:hAnsi="Times New Roman" w:cs="Times New Roman"/>
          <w:i/>
        </w:rPr>
        <w:t>Technical Guidelines on transboundary movements of electrical and electronic waste and used electrical and electronic equipment, in particular regarding the distinction between waste and non-waste under the Basel Convention,</w:t>
      </w:r>
      <w:r w:rsidR="00F82B30" w:rsidRPr="00CC3404">
        <w:rPr>
          <w:rFonts w:ascii="Times New Roman" w:hAnsi="Times New Roman" w:cs="Times New Roman"/>
        </w:rPr>
        <w:t xml:space="preserve"> which are under elaboration by an expert working group established by the COP and composed of government experts. They were adopted on an </w:t>
      </w:r>
      <w:r w:rsidR="00F82B30" w:rsidRPr="00CC3404">
        <w:rPr>
          <w:rFonts w:ascii="Times New Roman" w:hAnsi="Times New Roman" w:cs="Times New Roman"/>
        </w:rPr>
        <w:lastRenderedPageBreak/>
        <w:t>interim basis by COP 12 and are still under negotiation. This effectively resulted in different guidance on the same subject matter being provided by a multi-stakeholder partnership and by an expert</w:t>
      </w:r>
      <w:r w:rsidR="00914167" w:rsidRPr="00CC3404">
        <w:rPr>
          <w:rFonts w:ascii="Times New Roman" w:hAnsi="Times New Roman" w:cs="Times New Roman"/>
        </w:rPr>
        <w:t xml:space="preserve"> </w:t>
      </w:r>
      <w:r w:rsidR="003C0FF7" w:rsidRPr="00CC3404">
        <w:rPr>
          <w:rFonts w:ascii="Times New Roman" w:hAnsi="Times New Roman" w:cs="Times New Roman"/>
        </w:rPr>
        <w:t>working</w:t>
      </w:r>
      <w:r w:rsidR="00F82B30" w:rsidRPr="00CC3404">
        <w:rPr>
          <w:rFonts w:ascii="Times New Roman" w:hAnsi="Times New Roman" w:cs="Times New Roman"/>
        </w:rPr>
        <w:t xml:space="preserve"> group composed of representatives of Parties. The COP decided to adopt </w:t>
      </w:r>
      <w:r w:rsidR="00B5589B" w:rsidRPr="00CC3404">
        <w:rPr>
          <w:rFonts w:ascii="Times New Roman" w:hAnsi="Times New Roman" w:cs="Times New Roman"/>
        </w:rPr>
        <w:t xml:space="preserve">on an interim </w:t>
      </w:r>
      <w:r w:rsidR="001A096F" w:rsidRPr="00CC3404">
        <w:rPr>
          <w:rFonts w:ascii="Times New Roman" w:hAnsi="Times New Roman" w:cs="Times New Roman"/>
        </w:rPr>
        <w:t>basis the</w:t>
      </w:r>
      <w:r w:rsidR="00B5589B" w:rsidRPr="00CC3404">
        <w:rPr>
          <w:rFonts w:ascii="Times New Roman" w:hAnsi="Times New Roman" w:cs="Times New Roman"/>
        </w:rPr>
        <w:t xml:space="preserve"> relevant </w:t>
      </w:r>
      <w:r w:rsidR="005A7042" w:rsidRPr="00CC3404">
        <w:rPr>
          <w:rFonts w:ascii="Times New Roman" w:hAnsi="Times New Roman" w:cs="Times New Roman"/>
        </w:rPr>
        <w:t xml:space="preserve">section of the </w:t>
      </w:r>
      <w:r w:rsidR="00B5589B" w:rsidRPr="00CC3404">
        <w:rPr>
          <w:rFonts w:ascii="Times New Roman" w:hAnsi="Times New Roman" w:cs="Times New Roman"/>
        </w:rPr>
        <w:t xml:space="preserve">PACE </w:t>
      </w:r>
      <w:r w:rsidR="005A7042" w:rsidRPr="00CC3404">
        <w:rPr>
          <w:rFonts w:ascii="Times New Roman" w:hAnsi="Times New Roman" w:cs="Times New Roman"/>
        </w:rPr>
        <w:t xml:space="preserve">guidance document on environmentally sound management of used and end-of-life computing equipment and the proposed additional changes to ensure consistency of the text throughout the guidance document </w:t>
      </w:r>
      <w:r w:rsidR="00F82B30" w:rsidRPr="00CC3404">
        <w:rPr>
          <w:rFonts w:ascii="Times New Roman" w:hAnsi="Times New Roman" w:cs="Times New Roman"/>
        </w:rPr>
        <w:t xml:space="preserve">and to withdraw the </w:t>
      </w:r>
      <w:r w:rsidR="00B5589B" w:rsidRPr="00CC3404">
        <w:rPr>
          <w:rFonts w:ascii="Times New Roman" w:hAnsi="Times New Roman" w:cs="Times New Roman"/>
        </w:rPr>
        <w:t xml:space="preserve">guidance on transboundary movement of used and end-of-life computing equipment </w:t>
      </w:r>
      <w:r w:rsidR="00F82B30" w:rsidRPr="00CC3404">
        <w:rPr>
          <w:rFonts w:ascii="Times New Roman" w:hAnsi="Times New Roman" w:cs="Times New Roman"/>
        </w:rPr>
        <w:t>elaborated by PACE</w:t>
      </w:r>
      <w:r w:rsidR="00F82B30" w:rsidRPr="00CC3404">
        <w:rPr>
          <w:vertAlign w:val="superscript"/>
        </w:rPr>
        <w:footnoteReference w:id="14"/>
      </w:r>
      <w:r w:rsidR="00F82B30" w:rsidRPr="00CC3404">
        <w:rPr>
          <w:rFonts w:ascii="Times New Roman" w:hAnsi="Times New Roman" w:cs="Times New Roman"/>
        </w:rPr>
        <w:t xml:space="preserve">. </w:t>
      </w:r>
      <w:r w:rsidR="0011220C" w:rsidRPr="00CC3404">
        <w:rPr>
          <w:rFonts w:ascii="Times New Roman" w:hAnsi="Times New Roman" w:cs="Times New Roman"/>
        </w:rPr>
        <w:t xml:space="preserve"> </w:t>
      </w:r>
    </w:p>
    <w:p w14:paraId="7B60EB5C" w14:textId="040280E7" w:rsidR="00B56930" w:rsidRPr="00CC3404" w:rsidRDefault="00B75C7B" w:rsidP="00AB64DD">
      <w:pPr>
        <w:pStyle w:val="Heading2"/>
        <w:rPr>
          <w:rFonts w:ascii="Times New Roman" w:hAnsi="Times New Roman" w:cs="Times New Roman"/>
          <w:color w:val="auto"/>
        </w:rPr>
      </w:pPr>
      <w:bookmarkStart w:id="15" w:name="_Toc531103774"/>
      <w:r w:rsidRPr="00CC3404">
        <w:rPr>
          <w:rFonts w:ascii="Times New Roman" w:hAnsi="Times New Roman" w:cs="Times New Roman"/>
          <w:color w:val="auto"/>
        </w:rPr>
        <w:t xml:space="preserve">2.3 </w:t>
      </w:r>
      <w:r w:rsidR="005F46B6" w:rsidRPr="00CC3404">
        <w:rPr>
          <w:rFonts w:ascii="Times New Roman" w:hAnsi="Times New Roman" w:cs="Times New Roman"/>
          <w:color w:val="auto"/>
        </w:rPr>
        <w:tab/>
      </w:r>
      <w:r w:rsidR="00B56930" w:rsidRPr="003724EF">
        <w:rPr>
          <w:rFonts w:ascii="Times New Roman" w:hAnsi="Times New Roman" w:cs="Times New Roman"/>
          <w:b/>
          <w:bCs/>
          <w:color w:val="auto"/>
        </w:rPr>
        <w:t>Partnerships in which the Secretariat participates as a partner (“partnerships”)</w:t>
      </w:r>
      <w:bookmarkEnd w:id="15"/>
    </w:p>
    <w:p w14:paraId="0F3F2117" w14:textId="3A02BB25" w:rsidR="00914167" w:rsidRPr="00CC3404" w:rsidRDefault="00CC3404" w:rsidP="00AB64DD">
      <w:pPr>
        <w:spacing w:before="120"/>
        <w:jc w:val="both"/>
        <w:rPr>
          <w:rFonts w:ascii="Times New Roman" w:hAnsi="Times New Roman" w:cs="Times New Roman"/>
        </w:rPr>
      </w:pPr>
      <w:r w:rsidRPr="00CC3404">
        <w:rPr>
          <w:rFonts w:ascii="Times New Roman" w:hAnsi="Times New Roman" w:cs="Times New Roman"/>
        </w:rPr>
        <w:t>27.</w:t>
      </w:r>
      <w:r w:rsidRPr="00CC3404">
        <w:rPr>
          <w:rFonts w:ascii="Times New Roman" w:hAnsi="Times New Roman" w:cs="Times New Roman"/>
        </w:rPr>
        <w:tab/>
      </w:r>
      <w:r w:rsidR="0079226B" w:rsidRPr="00CC3404">
        <w:rPr>
          <w:rFonts w:ascii="Times New Roman" w:hAnsi="Times New Roman" w:cs="Times New Roman"/>
        </w:rPr>
        <w:t>Th</w:t>
      </w:r>
      <w:r w:rsidR="005F44BC" w:rsidRPr="00CC3404">
        <w:rPr>
          <w:rFonts w:ascii="Times New Roman" w:hAnsi="Times New Roman" w:cs="Times New Roman"/>
        </w:rPr>
        <w:t xml:space="preserve">e BRS Secretariat, and previously the three Secretariats separately, have </w:t>
      </w:r>
      <w:r w:rsidR="00CC05D6" w:rsidRPr="00CC3404">
        <w:rPr>
          <w:rFonts w:ascii="Times New Roman" w:hAnsi="Times New Roman" w:cs="Times New Roman"/>
        </w:rPr>
        <w:t xml:space="preserve">for some years participated in </w:t>
      </w:r>
      <w:r w:rsidR="005F44BC" w:rsidRPr="00CC3404">
        <w:rPr>
          <w:rFonts w:ascii="Times New Roman" w:hAnsi="Times New Roman" w:cs="Times New Roman"/>
        </w:rPr>
        <w:t>partnerships and similar cooperation arrangements</w:t>
      </w:r>
      <w:r w:rsidR="007D2310" w:rsidRPr="00CC3404">
        <w:rPr>
          <w:rFonts w:ascii="Times New Roman" w:hAnsi="Times New Roman" w:cs="Times New Roman"/>
        </w:rPr>
        <w:t xml:space="preserve"> established by other organizations</w:t>
      </w:r>
      <w:r w:rsidR="00914167" w:rsidRPr="00CC3404">
        <w:rPr>
          <w:rFonts w:ascii="Times New Roman" w:hAnsi="Times New Roman" w:cs="Times New Roman"/>
        </w:rPr>
        <w:t xml:space="preserve">. As mentioned, these were initially reported under the Partnership Programme, but </w:t>
      </w:r>
      <w:r w:rsidR="00780EA6" w:rsidRPr="00CC3404">
        <w:rPr>
          <w:rFonts w:ascii="Times New Roman" w:hAnsi="Times New Roman" w:cs="Times New Roman"/>
        </w:rPr>
        <w:t xml:space="preserve">more recently have been </w:t>
      </w:r>
      <w:r w:rsidR="00914167" w:rsidRPr="00CC3404">
        <w:rPr>
          <w:rFonts w:ascii="Times New Roman" w:hAnsi="Times New Roman" w:cs="Times New Roman"/>
        </w:rPr>
        <w:t>reported under the technical assistance and capacity building programmes of the three Convention</w:t>
      </w:r>
      <w:r w:rsidR="002D25F8" w:rsidRPr="00CC3404">
        <w:rPr>
          <w:rFonts w:ascii="Times New Roman" w:hAnsi="Times New Roman" w:cs="Times New Roman"/>
        </w:rPr>
        <w:t>s</w:t>
      </w:r>
      <w:r w:rsidR="00914167" w:rsidRPr="00CC3404">
        <w:rPr>
          <w:rFonts w:ascii="Times New Roman" w:hAnsi="Times New Roman" w:cs="Times New Roman"/>
        </w:rPr>
        <w:t xml:space="preserve">. </w:t>
      </w:r>
      <w:r w:rsidR="002D25F8" w:rsidRPr="00CC3404">
        <w:rPr>
          <w:rFonts w:ascii="Times New Roman" w:hAnsi="Times New Roman" w:cs="Times New Roman"/>
        </w:rPr>
        <w:t xml:space="preserve">The </w:t>
      </w:r>
      <w:r w:rsidR="00F80A51" w:rsidRPr="00CC3404">
        <w:rPr>
          <w:rFonts w:ascii="Times New Roman" w:hAnsi="Times New Roman" w:cs="Times New Roman"/>
        </w:rPr>
        <w:t>Secretariat has participated in the following partnerships for a number of years</w:t>
      </w:r>
      <w:r w:rsidR="002D4284" w:rsidRPr="00CC3404">
        <w:rPr>
          <w:vertAlign w:val="superscript"/>
        </w:rPr>
        <w:footnoteReference w:id="15"/>
      </w:r>
      <w:r w:rsidR="004F123C" w:rsidRPr="00CC3404">
        <w:rPr>
          <w:rFonts w:ascii="Times New Roman" w:hAnsi="Times New Roman" w:cs="Times New Roman"/>
        </w:rPr>
        <w:t>:</w:t>
      </w:r>
      <w:r w:rsidR="002D4284" w:rsidRPr="00CC3404">
        <w:rPr>
          <w:rFonts w:ascii="Times New Roman" w:hAnsi="Times New Roman" w:cs="Times New Roman"/>
        </w:rPr>
        <w:t xml:space="preserve"> </w:t>
      </w:r>
    </w:p>
    <w:p w14:paraId="460EA2EF" w14:textId="108C9130" w:rsidR="002D4284" w:rsidRPr="00CC3404" w:rsidRDefault="002D4284" w:rsidP="00CC3404">
      <w:pPr>
        <w:pStyle w:val="ListParagraph"/>
        <w:numPr>
          <w:ilvl w:val="0"/>
          <w:numId w:val="16"/>
        </w:numPr>
        <w:jc w:val="both"/>
        <w:rPr>
          <w:rFonts w:ascii="Times New Roman" w:hAnsi="Times New Roman" w:cs="Times New Roman"/>
        </w:rPr>
      </w:pPr>
      <w:r w:rsidRPr="00CC3404">
        <w:rPr>
          <w:rFonts w:ascii="Times New Roman" w:hAnsi="Times New Roman" w:cs="Times New Roman"/>
          <w:u w:val="single"/>
        </w:rPr>
        <w:t>Global Mercury Partnership</w:t>
      </w:r>
      <w:r w:rsidR="00F80A51" w:rsidRPr="00CC3404">
        <w:rPr>
          <w:rFonts w:ascii="Times New Roman" w:hAnsi="Times New Roman" w:cs="Times New Roman"/>
          <w:u w:val="single"/>
        </w:rPr>
        <w:t xml:space="preserve"> (UNEP</w:t>
      </w:r>
      <w:r w:rsidR="00261E39" w:rsidRPr="00CC3404">
        <w:rPr>
          <w:rFonts w:ascii="Times New Roman" w:hAnsi="Times New Roman" w:cs="Times New Roman"/>
          <w:u w:val="single"/>
        </w:rPr>
        <w:t xml:space="preserve"> Chemicals</w:t>
      </w:r>
      <w:r w:rsidR="00F80A51" w:rsidRPr="00CC3404">
        <w:rPr>
          <w:rFonts w:ascii="Times New Roman" w:hAnsi="Times New Roman" w:cs="Times New Roman"/>
          <w:u w:val="single"/>
        </w:rPr>
        <w:t>)</w:t>
      </w:r>
      <w:r w:rsidR="00261E39" w:rsidRPr="00CC3404">
        <w:rPr>
          <w:rStyle w:val="FootnoteReference"/>
          <w:rFonts w:ascii="Times New Roman" w:hAnsi="Times New Roman" w:cs="Times New Roman"/>
        </w:rPr>
        <w:footnoteReference w:id="16"/>
      </w:r>
      <w:r w:rsidRPr="00CC3404">
        <w:rPr>
          <w:rFonts w:ascii="Times New Roman" w:hAnsi="Times New Roman" w:cs="Times New Roman"/>
        </w:rPr>
        <w:t>: Established by the UNEP Governing Council in 2005 with the objective of protecting human health and the environment from the release of mercury, this partnership engages in a multitude of activities, including development of guidance materials, and support to countries, more recently also supporting the implementation of the Minamata Convention. It is open to all stakeholders, and has some 140 partners from governments, industry, NGOs and academia, working in 8 partnership areas.  A large-scale operation, it is funded by UNEP, the GEF, donors and partners. The BRS Secretariat is a member of the partnership advisory group providing policy advice on the Basel Convention. The BRS Secretariat is also a member of the Mercury wastes partnership and the mercury storage and supply partnership</w:t>
      </w:r>
      <w:r w:rsidR="0081182C">
        <w:rPr>
          <w:rFonts w:ascii="Times New Roman" w:hAnsi="Times New Roman" w:cs="Times New Roman"/>
        </w:rPr>
        <w:t>;</w:t>
      </w:r>
    </w:p>
    <w:p w14:paraId="2DC88E2A" w14:textId="7BAA876C" w:rsidR="00261E39" w:rsidRPr="00CC3404" w:rsidRDefault="002D4284" w:rsidP="00CC3404">
      <w:pPr>
        <w:pStyle w:val="ListParagraph"/>
        <w:numPr>
          <w:ilvl w:val="0"/>
          <w:numId w:val="16"/>
        </w:numPr>
        <w:jc w:val="both"/>
        <w:rPr>
          <w:rFonts w:ascii="Times New Roman" w:hAnsi="Times New Roman" w:cs="Times New Roman"/>
        </w:rPr>
      </w:pPr>
      <w:r w:rsidRPr="00CC3404">
        <w:rPr>
          <w:rFonts w:ascii="Times New Roman" w:hAnsi="Times New Roman" w:cs="Times New Roman"/>
          <w:u w:val="single"/>
        </w:rPr>
        <w:t>Global Partnership on Waste Management (UNEP/IETC)</w:t>
      </w:r>
      <w:r w:rsidRPr="00CC3404">
        <w:rPr>
          <w:vertAlign w:val="superscript"/>
        </w:rPr>
        <w:footnoteReference w:id="17"/>
      </w:r>
      <w:r w:rsidRPr="00CC3404">
        <w:rPr>
          <w:rFonts w:ascii="Times New Roman" w:hAnsi="Times New Roman" w:cs="Times New Roman"/>
        </w:rPr>
        <w:t xml:space="preserve">: </w:t>
      </w:r>
      <w:r w:rsidR="00261E39" w:rsidRPr="00CC3404">
        <w:rPr>
          <w:rFonts w:ascii="Times New Roman" w:hAnsi="Times New Roman" w:cs="Times New Roman"/>
        </w:rPr>
        <w:t xml:space="preserve">Launched by UNEP in 2010, </w:t>
      </w:r>
      <w:r w:rsidR="00E27E30" w:rsidRPr="00CC3404">
        <w:rPr>
          <w:rFonts w:ascii="Times New Roman" w:hAnsi="Times New Roman" w:cs="Times New Roman"/>
        </w:rPr>
        <w:t>this open</w:t>
      </w:r>
      <w:r w:rsidR="00261E39" w:rsidRPr="00CC3404">
        <w:rPr>
          <w:rFonts w:ascii="Times New Roman" w:hAnsi="Times New Roman" w:cs="Times New Roman"/>
        </w:rPr>
        <w:t>-ended partnership supports the development of work plans to facilitate the implementation of integrated waste management at national and local levels. The Secretariat shares responsibility for work on e-wastes with the leading organization</w:t>
      </w:r>
      <w:r w:rsidR="0081182C">
        <w:rPr>
          <w:rFonts w:ascii="Times New Roman" w:hAnsi="Times New Roman" w:cs="Times New Roman"/>
        </w:rPr>
        <w:t>;</w:t>
      </w:r>
      <w:r w:rsidR="00261E39" w:rsidRPr="00CC3404">
        <w:rPr>
          <w:rFonts w:ascii="Times New Roman" w:hAnsi="Times New Roman" w:cs="Times New Roman"/>
        </w:rPr>
        <w:t xml:space="preserve"> </w:t>
      </w:r>
    </w:p>
    <w:p w14:paraId="60051800" w14:textId="581A21C9" w:rsidR="002D4284" w:rsidRPr="00CC3404" w:rsidRDefault="002D4284" w:rsidP="00CC3404">
      <w:pPr>
        <w:pStyle w:val="ListParagraph"/>
        <w:numPr>
          <w:ilvl w:val="0"/>
          <w:numId w:val="16"/>
        </w:numPr>
        <w:spacing w:after="120"/>
        <w:jc w:val="both"/>
        <w:rPr>
          <w:rFonts w:ascii="Times New Roman" w:hAnsi="Times New Roman" w:cs="Times New Roman"/>
        </w:rPr>
      </w:pPr>
      <w:proofErr w:type="spellStart"/>
      <w:r w:rsidRPr="00CC3404">
        <w:rPr>
          <w:rFonts w:ascii="Times New Roman" w:hAnsi="Times New Roman" w:cs="Times New Roman"/>
          <w:u w:val="single"/>
        </w:rPr>
        <w:t>StEP</w:t>
      </w:r>
      <w:proofErr w:type="spellEnd"/>
      <w:r w:rsidR="00F80A51" w:rsidRPr="00CC3404">
        <w:rPr>
          <w:rFonts w:ascii="Times New Roman" w:hAnsi="Times New Roman" w:cs="Times New Roman"/>
          <w:u w:val="single"/>
        </w:rPr>
        <w:t xml:space="preserve"> </w:t>
      </w:r>
      <w:r w:rsidRPr="00CC3404">
        <w:rPr>
          <w:rFonts w:ascii="Times New Roman" w:hAnsi="Times New Roman" w:cs="Times New Roman"/>
          <w:u w:val="single"/>
        </w:rPr>
        <w:t>(UNU)</w:t>
      </w:r>
      <w:r w:rsidRPr="00CC3404">
        <w:rPr>
          <w:rStyle w:val="FootnoteReference"/>
          <w:rFonts w:ascii="Times New Roman" w:hAnsi="Times New Roman" w:cs="Times New Roman"/>
        </w:rPr>
        <w:footnoteReference w:id="18"/>
      </w:r>
      <w:r w:rsidRPr="00CC3404">
        <w:rPr>
          <w:rFonts w:ascii="Times New Roman" w:hAnsi="Times New Roman" w:cs="Times New Roman"/>
        </w:rPr>
        <w:t xml:space="preserve">: </w:t>
      </w:r>
      <w:r w:rsidR="00E27E30" w:rsidRPr="00CC3404">
        <w:rPr>
          <w:rFonts w:ascii="Times New Roman" w:hAnsi="Times New Roman" w:cs="Times New Roman"/>
        </w:rPr>
        <w:t xml:space="preserve">As a multi-stakeholder partnership, </w:t>
      </w:r>
      <w:proofErr w:type="spellStart"/>
      <w:r w:rsidR="00E27E30" w:rsidRPr="00CC3404">
        <w:rPr>
          <w:rFonts w:ascii="Times New Roman" w:hAnsi="Times New Roman" w:cs="Times New Roman"/>
        </w:rPr>
        <w:t>StEP</w:t>
      </w:r>
      <w:proofErr w:type="spellEnd"/>
      <w:r w:rsidR="00E27E30" w:rsidRPr="00CC3404">
        <w:rPr>
          <w:rFonts w:ascii="Times New Roman" w:hAnsi="Times New Roman" w:cs="Times New Roman"/>
        </w:rPr>
        <w:t xml:space="preserve"> develops and facilitates approaches to the sustainable handling of e-waste, working through five task forces. </w:t>
      </w:r>
      <w:r w:rsidRPr="00CC3404">
        <w:rPr>
          <w:rFonts w:ascii="Times New Roman" w:hAnsi="Times New Roman" w:cs="Times New Roman"/>
        </w:rPr>
        <w:t>The Secretariat cooperate</w:t>
      </w:r>
      <w:r w:rsidR="00E27E30" w:rsidRPr="00CC3404">
        <w:rPr>
          <w:rFonts w:ascii="Times New Roman" w:hAnsi="Times New Roman" w:cs="Times New Roman"/>
        </w:rPr>
        <w:t>s</w:t>
      </w:r>
      <w:r w:rsidRPr="00CC3404">
        <w:rPr>
          <w:rFonts w:ascii="Times New Roman" w:hAnsi="Times New Roman" w:cs="Times New Roman"/>
        </w:rPr>
        <w:t xml:space="preserve"> </w:t>
      </w:r>
      <w:r w:rsidR="00E27E30" w:rsidRPr="00CC3404">
        <w:rPr>
          <w:rFonts w:ascii="Times New Roman" w:hAnsi="Times New Roman" w:cs="Times New Roman"/>
        </w:rPr>
        <w:t xml:space="preserve">with </w:t>
      </w:r>
      <w:proofErr w:type="spellStart"/>
      <w:r w:rsidR="00E27E30" w:rsidRPr="00CC3404">
        <w:rPr>
          <w:rFonts w:ascii="Times New Roman" w:hAnsi="Times New Roman" w:cs="Times New Roman"/>
        </w:rPr>
        <w:t>StEP</w:t>
      </w:r>
      <w:proofErr w:type="spellEnd"/>
      <w:r w:rsidR="00E27E30" w:rsidRPr="00CC3404">
        <w:rPr>
          <w:rFonts w:ascii="Times New Roman" w:hAnsi="Times New Roman" w:cs="Times New Roman"/>
        </w:rPr>
        <w:t xml:space="preserve"> </w:t>
      </w:r>
      <w:r w:rsidRPr="00CC3404">
        <w:rPr>
          <w:rFonts w:ascii="Times New Roman" w:hAnsi="Times New Roman" w:cs="Times New Roman"/>
        </w:rPr>
        <w:t xml:space="preserve">on policy guidance and capacity building activities in </w:t>
      </w:r>
      <w:r w:rsidR="00F27FE8" w:rsidRPr="00CC3404">
        <w:rPr>
          <w:rFonts w:ascii="Times New Roman" w:hAnsi="Times New Roman" w:cs="Times New Roman"/>
        </w:rPr>
        <w:t>accordance</w:t>
      </w:r>
      <w:r w:rsidRPr="00CC3404">
        <w:rPr>
          <w:rFonts w:ascii="Times New Roman" w:hAnsi="Times New Roman" w:cs="Times New Roman"/>
        </w:rPr>
        <w:t xml:space="preserve"> with the</w:t>
      </w:r>
      <w:r w:rsidR="00F27FE8" w:rsidRPr="00CC3404">
        <w:rPr>
          <w:rFonts w:ascii="Times New Roman" w:hAnsi="Times New Roman" w:cs="Times New Roman"/>
        </w:rPr>
        <w:t>ir</w:t>
      </w:r>
      <w:r w:rsidRPr="00CC3404">
        <w:rPr>
          <w:rFonts w:ascii="Times New Roman" w:hAnsi="Times New Roman" w:cs="Times New Roman"/>
        </w:rPr>
        <w:t xml:space="preserve"> respective work programmes on e-wastes </w:t>
      </w:r>
      <w:r w:rsidR="00F27FE8" w:rsidRPr="00CC3404">
        <w:rPr>
          <w:rFonts w:ascii="Times New Roman" w:hAnsi="Times New Roman" w:cs="Times New Roman"/>
        </w:rPr>
        <w:t>in order to</w:t>
      </w:r>
      <w:r w:rsidRPr="00CC3404">
        <w:rPr>
          <w:rFonts w:ascii="Times New Roman" w:hAnsi="Times New Roman" w:cs="Times New Roman"/>
        </w:rPr>
        <w:t xml:space="preserve"> avoid duplication and be mutually supportive. Many members of </w:t>
      </w:r>
      <w:proofErr w:type="spellStart"/>
      <w:r w:rsidRPr="00CC3404">
        <w:rPr>
          <w:rFonts w:ascii="Times New Roman" w:hAnsi="Times New Roman" w:cs="Times New Roman"/>
        </w:rPr>
        <w:t>StEP</w:t>
      </w:r>
      <w:proofErr w:type="spellEnd"/>
      <w:r w:rsidRPr="00CC3404">
        <w:rPr>
          <w:rFonts w:ascii="Times New Roman" w:hAnsi="Times New Roman" w:cs="Times New Roman"/>
        </w:rPr>
        <w:t xml:space="preserve"> were also members of MPPI and PACE</w:t>
      </w:r>
      <w:r w:rsidR="0081182C">
        <w:rPr>
          <w:rFonts w:ascii="Times New Roman" w:hAnsi="Times New Roman" w:cs="Times New Roman"/>
        </w:rPr>
        <w:t>;</w:t>
      </w:r>
      <w:r w:rsidRPr="00CC3404">
        <w:rPr>
          <w:rFonts w:ascii="Times New Roman" w:hAnsi="Times New Roman" w:cs="Times New Roman"/>
        </w:rPr>
        <w:t xml:space="preserve"> </w:t>
      </w:r>
    </w:p>
    <w:p w14:paraId="60E279D5" w14:textId="1974BBF5" w:rsidR="004F123C" w:rsidRPr="00CC3404" w:rsidRDefault="002D4284" w:rsidP="00CC3404">
      <w:pPr>
        <w:pStyle w:val="ListParagraph"/>
        <w:numPr>
          <w:ilvl w:val="0"/>
          <w:numId w:val="16"/>
        </w:numPr>
        <w:spacing w:after="120"/>
        <w:jc w:val="both"/>
        <w:rPr>
          <w:rFonts w:ascii="Times New Roman" w:hAnsi="Times New Roman" w:cs="Times New Roman"/>
        </w:rPr>
      </w:pPr>
      <w:r w:rsidRPr="00CC3404">
        <w:rPr>
          <w:rFonts w:ascii="Times New Roman" w:hAnsi="Times New Roman" w:cs="Times New Roman"/>
          <w:u w:val="single"/>
        </w:rPr>
        <w:t xml:space="preserve">Partnership on Measuring ICT for </w:t>
      </w:r>
      <w:r w:rsidR="008C7C3A" w:rsidRPr="00CC3404">
        <w:rPr>
          <w:rFonts w:ascii="Times New Roman" w:hAnsi="Times New Roman" w:cs="Times New Roman"/>
          <w:u w:val="single"/>
        </w:rPr>
        <w:t>D</w:t>
      </w:r>
      <w:r w:rsidRPr="00CC3404">
        <w:rPr>
          <w:rFonts w:ascii="Times New Roman" w:hAnsi="Times New Roman" w:cs="Times New Roman"/>
          <w:u w:val="single"/>
        </w:rPr>
        <w:t>evelopment (ITU)</w:t>
      </w:r>
      <w:r w:rsidRPr="00CC3404">
        <w:rPr>
          <w:rStyle w:val="FootnoteReference"/>
          <w:rFonts w:ascii="Times New Roman" w:hAnsi="Times New Roman" w:cs="Times New Roman"/>
        </w:rPr>
        <w:footnoteReference w:id="19"/>
      </w:r>
      <w:r w:rsidRPr="00CC3404">
        <w:rPr>
          <w:rFonts w:ascii="Times New Roman" w:hAnsi="Times New Roman" w:cs="Times New Roman"/>
        </w:rPr>
        <w:t xml:space="preserve">: This partnership aims to improve the availability and quality of statistical information on Information and Communication Technologies (ICT) so that governments and other stakeholders can make informed policy decisions to use ICT as a tool for development. </w:t>
      </w:r>
      <w:r w:rsidR="007E7458" w:rsidRPr="00CC3404">
        <w:rPr>
          <w:rFonts w:ascii="Times New Roman" w:hAnsi="Times New Roman" w:cs="Times New Roman"/>
        </w:rPr>
        <w:t xml:space="preserve">As a member of the </w:t>
      </w:r>
      <w:r w:rsidRPr="00CC3404">
        <w:rPr>
          <w:rFonts w:ascii="Times New Roman" w:hAnsi="Times New Roman" w:cs="Times New Roman"/>
        </w:rPr>
        <w:t xml:space="preserve">partnership, </w:t>
      </w:r>
      <w:r w:rsidR="007E7458" w:rsidRPr="00CC3404">
        <w:rPr>
          <w:rFonts w:ascii="Times New Roman" w:hAnsi="Times New Roman" w:cs="Times New Roman"/>
        </w:rPr>
        <w:t xml:space="preserve">the Secretariat </w:t>
      </w:r>
      <w:r w:rsidRPr="00CC3404">
        <w:rPr>
          <w:rFonts w:ascii="Times New Roman" w:hAnsi="Times New Roman" w:cs="Times New Roman"/>
        </w:rPr>
        <w:t>provid</w:t>
      </w:r>
      <w:r w:rsidR="007E7458" w:rsidRPr="00CC3404">
        <w:rPr>
          <w:rFonts w:ascii="Times New Roman" w:hAnsi="Times New Roman" w:cs="Times New Roman"/>
        </w:rPr>
        <w:t>es</w:t>
      </w:r>
      <w:r w:rsidRPr="00CC3404">
        <w:rPr>
          <w:rFonts w:ascii="Times New Roman" w:hAnsi="Times New Roman" w:cs="Times New Roman"/>
        </w:rPr>
        <w:t xml:space="preserve"> advice on definitions and on indicators related to e-wastes which the partnership agreed to include among its set of indicators. The BRS secretariat </w:t>
      </w:r>
      <w:r w:rsidR="007E7458" w:rsidRPr="00CC3404">
        <w:rPr>
          <w:rFonts w:ascii="Times New Roman" w:hAnsi="Times New Roman" w:cs="Times New Roman"/>
        </w:rPr>
        <w:t xml:space="preserve">also </w:t>
      </w:r>
      <w:r w:rsidRPr="00CC3404">
        <w:rPr>
          <w:rFonts w:ascii="Times New Roman" w:hAnsi="Times New Roman" w:cs="Times New Roman"/>
        </w:rPr>
        <w:t xml:space="preserve">disseminates the statistics on e-wastes compiled by this partnership. </w:t>
      </w:r>
    </w:p>
    <w:p w14:paraId="155FDFE4" w14:textId="6D05720C" w:rsidR="007842A6" w:rsidRPr="00CC3404" w:rsidRDefault="00CC3404" w:rsidP="00AB64DD">
      <w:pPr>
        <w:jc w:val="both"/>
        <w:rPr>
          <w:rFonts w:ascii="Times New Roman" w:hAnsi="Times New Roman" w:cs="Times New Roman"/>
        </w:rPr>
      </w:pPr>
      <w:r w:rsidRPr="00CC3404">
        <w:rPr>
          <w:rFonts w:ascii="Times New Roman" w:hAnsi="Times New Roman" w:cs="Times New Roman"/>
        </w:rPr>
        <w:lastRenderedPageBreak/>
        <w:t>28.</w:t>
      </w:r>
      <w:r w:rsidRPr="00CC3404">
        <w:rPr>
          <w:rFonts w:ascii="Times New Roman" w:hAnsi="Times New Roman" w:cs="Times New Roman"/>
        </w:rPr>
        <w:tab/>
      </w:r>
      <w:r w:rsidR="00F67542" w:rsidRPr="00CC3404">
        <w:rPr>
          <w:rFonts w:ascii="Times New Roman" w:hAnsi="Times New Roman" w:cs="Times New Roman"/>
        </w:rPr>
        <w:t>COP 10 to the Basel Convention in 2013</w:t>
      </w:r>
      <w:r w:rsidR="00395CE2" w:rsidRPr="00CC3404">
        <w:rPr>
          <w:rFonts w:ascii="Times New Roman" w:hAnsi="Times New Roman" w:cs="Times New Roman"/>
        </w:rPr>
        <w:t xml:space="preserve"> by</w:t>
      </w:r>
      <w:r w:rsidR="00DA262A" w:rsidRPr="00CC3404">
        <w:rPr>
          <w:rFonts w:ascii="Times New Roman" w:hAnsi="Times New Roman" w:cs="Times New Roman"/>
        </w:rPr>
        <w:t xml:space="preserve"> Decision BC-</w:t>
      </w:r>
      <w:r w:rsidR="00395CE2" w:rsidRPr="00CC3404">
        <w:rPr>
          <w:rFonts w:ascii="Times New Roman" w:hAnsi="Times New Roman" w:cs="Times New Roman"/>
        </w:rPr>
        <w:t>10/19</w:t>
      </w:r>
      <w:r w:rsidR="00DA262A" w:rsidRPr="00CC3404">
        <w:rPr>
          <w:rFonts w:ascii="Times New Roman" w:hAnsi="Times New Roman" w:cs="Times New Roman"/>
        </w:rPr>
        <w:t xml:space="preserve"> </w:t>
      </w:r>
      <w:r w:rsidR="004A7908" w:rsidRPr="00CC3404">
        <w:rPr>
          <w:rFonts w:ascii="Times New Roman" w:hAnsi="Times New Roman" w:cs="Times New Roman"/>
        </w:rPr>
        <w:t>request</w:t>
      </w:r>
      <w:r w:rsidR="00DA262A" w:rsidRPr="00CC3404">
        <w:rPr>
          <w:rFonts w:ascii="Times New Roman" w:hAnsi="Times New Roman" w:cs="Times New Roman"/>
        </w:rPr>
        <w:t xml:space="preserve">ed the Secretariat </w:t>
      </w:r>
    </w:p>
    <w:p w14:paraId="02B0FCF9" w14:textId="514BF7BA" w:rsidR="00CC05D6" w:rsidRPr="00CC3404" w:rsidRDefault="00DA262A" w:rsidP="00AB64DD">
      <w:pPr>
        <w:jc w:val="both"/>
        <w:rPr>
          <w:rFonts w:ascii="Times New Roman" w:hAnsi="Times New Roman" w:cs="Times New Roman"/>
          <w:sz w:val="20"/>
          <w:szCs w:val="20"/>
        </w:rPr>
      </w:pPr>
      <w:r w:rsidRPr="00CC3404">
        <w:rPr>
          <w:rFonts w:ascii="Times New Roman" w:hAnsi="Times New Roman" w:cs="Times New Roman"/>
          <w:sz w:val="20"/>
          <w:szCs w:val="20"/>
        </w:rPr>
        <w:t>“</w:t>
      </w:r>
      <w:r w:rsidR="005F16D3" w:rsidRPr="00CC3404">
        <w:rPr>
          <w:rFonts w:ascii="Times New Roman" w:eastAsia="Calibri" w:hAnsi="Times New Roman" w:cs="Times New Roman"/>
          <w:sz w:val="20"/>
          <w:szCs w:val="20"/>
        </w:rPr>
        <w:t xml:space="preserve">To </w:t>
      </w:r>
      <w:r w:rsidR="005F16D3" w:rsidRPr="00CC3404">
        <w:rPr>
          <w:rFonts w:ascii="Times New Roman" w:eastAsia="Eurostile" w:hAnsi="Times New Roman" w:cs="Times New Roman"/>
          <w:sz w:val="20"/>
          <w:szCs w:val="20"/>
        </w:rPr>
        <w:t>follow closely international developments in respect of public and private partnerships on waste-related issues and to seek to expand involvement in partnerships to promote the guidelines and tools developed under the Convention and raise awareness and the visibility of the Convention and its obligations and provisions</w:t>
      </w:r>
      <w:r w:rsidRPr="00CC3404">
        <w:rPr>
          <w:rFonts w:ascii="Times New Roman" w:hAnsi="Times New Roman" w:cs="Times New Roman"/>
          <w:sz w:val="20"/>
          <w:szCs w:val="20"/>
        </w:rPr>
        <w:t>”</w:t>
      </w:r>
      <w:r w:rsidR="001566F8" w:rsidRPr="00CC3404">
        <w:rPr>
          <w:rFonts w:ascii="Times New Roman" w:hAnsi="Times New Roman" w:cs="Times New Roman"/>
          <w:sz w:val="20"/>
          <w:szCs w:val="20"/>
        </w:rPr>
        <w:t>.</w:t>
      </w:r>
    </w:p>
    <w:p w14:paraId="2F181AAD" w14:textId="6B2123C8" w:rsidR="00A45EA2" w:rsidRPr="00CC3404" w:rsidRDefault="00CC3404" w:rsidP="00AB64DD">
      <w:pPr>
        <w:jc w:val="both"/>
        <w:rPr>
          <w:rFonts w:ascii="Times New Roman" w:hAnsi="Times New Roman" w:cs="Times New Roman"/>
        </w:rPr>
      </w:pPr>
      <w:r w:rsidRPr="00CC3404">
        <w:rPr>
          <w:rFonts w:ascii="Times New Roman" w:hAnsi="Times New Roman" w:cs="Times New Roman"/>
        </w:rPr>
        <w:t>29.</w:t>
      </w:r>
      <w:r w:rsidRPr="00CC3404">
        <w:rPr>
          <w:rFonts w:ascii="Times New Roman" w:hAnsi="Times New Roman" w:cs="Times New Roman"/>
        </w:rPr>
        <w:tab/>
      </w:r>
      <w:r w:rsidR="00A45EA2" w:rsidRPr="00CC3404">
        <w:rPr>
          <w:rFonts w:ascii="Times New Roman" w:hAnsi="Times New Roman" w:cs="Times New Roman"/>
        </w:rPr>
        <w:t xml:space="preserve">An annex to the Decision sets out an indicative list of “partnerships” in which the Secretariat </w:t>
      </w:r>
      <w:r w:rsidR="00312DD1" w:rsidRPr="00CC3404">
        <w:rPr>
          <w:rFonts w:ascii="Times New Roman" w:hAnsi="Times New Roman" w:cs="Times New Roman"/>
        </w:rPr>
        <w:t xml:space="preserve">could </w:t>
      </w:r>
      <w:r w:rsidR="00A45EA2" w:rsidRPr="00CC3404">
        <w:rPr>
          <w:rFonts w:ascii="Times New Roman" w:hAnsi="Times New Roman" w:cs="Times New Roman"/>
        </w:rPr>
        <w:t>cooperate</w:t>
      </w:r>
      <w:r w:rsidR="00312DD1" w:rsidRPr="00CC3404">
        <w:rPr>
          <w:rFonts w:ascii="Times New Roman" w:hAnsi="Times New Roman" w:cs="Times New Roman"/>
        </w:rPr>
        <w:t>.</w:t>
      </w:r>
      <w:r w:rsidR="00A45EA2" w:rsidRPr="00CC3404">
        <w:rPr>
          <w:rFonts w:ascii="Times New Roman" w:hAnsi="Times New Roman" w:cs="Times New Roman"/>
        </w:rPr>
        <w:t xml:space="preserve"> In addition to the “partnerships” in which the Secretariat was already engaged, the list included the Global lead and cadmium partnership (UNEP), the treated nets life-cycle initiative (WHO), the Green lead initiative (International Lead Management Centre), and the Working Group on Healthcare Waste (ISWA/WHO). The BRS Secretariat currently cooperates with these initiatives when contributions are requested, or through technical assistance activities carried out in cooperation with the relevant organizations. </w:t>
      </w:r>
    </w:p>
    <w:p w14:paraId="7BEF9B92" w14:textId="6C327E17" w:rsidR="00AB1ADA" w:rsidRPr="00CC3404" w:rsidRDefault="00CC3404" w:rsidP="00AB64DD">
      <w:pPr>
        <w:jc w:val="both"/>
        <w:rPr>
          <w:rFonts w:ascii="Times New Roman" w:hAnsi="Times New Roman" w:cs="Times New Roman"/>
        </w:rPr>
      </w:pPr>
      <w:r w:rsidRPr="00CC3404">
        <w:rPr>
          <w:rFonts w:ascii="Times New Roman" w:hAnsi="Times New Roman" w:cs="Times New Roman"/>
        </w:rPr>
        <w:t>30.</w:t>
      </w:r>
      <w:r w:rsidRPr="00CC3404">
        <w:rPr>
          <w:rFonts w:ascii="Times New Roman" w:hAnsi="Times New Roman" w:cs="Times New Roman"/>
        </w:rPr>
        <w:tab/>
      </w:r>
      <w:r w:rsidR="008836F8" w:rsidRPr="00CC3404">
        <w:rPr>
          <w:rFonts w:ascii="Times New Roman" w:hAnsi="Times New Roman" w:cs="Times New Roman"/>
        </w:rPr>
        <w:t>Decision BC-10/19</w:t>
      </w:r>
      <w:r w:rsidR="007022E4" w:rsidRPr="00CC3404">
        <w:rPr>
          <w:rFonts w:ascii="Times New Roman" w:hAnsi="Times New Roman" w:cs="Times New Roman"/>
        </w:rPr>
        <w:t xml:space="preserve"> </w:t>
      </w:r>
      <w:r w:rsidR="001566F8" w:rsidRPr="00CC3404">
        <w:rPr>
          <w:rFonts w:ascii="Times New Roman" w:hAnsi="Times New Roman" w:cs="Times New Roman"/>
        </w:rPr>
        <w:t xml:space="preserve">is currently </w:t>
      </w:r>
      <w:r w:rsidR="007022E4" w:rsidRPr="00CC3404">
        <w:rPr>
          <w:rFonts w:ascii="Times New Roman" w:hAnsi="Times New Roman" w:cs="Times New Roman"/>
        </w:rPr>
        <w:t xml:space="preserve">considered </w:t>
      </w:r>
      <w:r w:rsidR="008836F8" w:rsidRPr="00CC3404">
        <w:rPr>
          <w:rFonts w:ascii="Times New Roman" w:hAnsi="Times New Roman" w:cs="Times New Roman"/>
        </w:rPr>
        <w:t xml:space="preserve">the basis for the engagement of </w:t>
      </w:r>
      <w:r w:rsidR="007E7458" w:rsidRPr="00CC3404">
        <w:rPr>
          <w:rFonts w:ascii="Times New Roman" w:hAnsi="Times New Roman" w:cs="Times New Roman"/>
        </w:rPr>
        <w:t xml:space="preserve">the </w:t>
      </w:r>
      <w:r w:rsidR="005F16D3" w:rsidRPr="00CC3404">
        <w:rPr>
          <w:rFonts w:ascii="Times New Roman" w:hAnsi="Times New Roman" w:cs="Times New Roman"/>
        </w:rPr>
        <w:t xml:space="preserve">Secretariat </w:t>
      </w:r>
      <w:r w:rsidR="007022E4" w:rsidRPr="00CC3404">
        <w:rPr>
          <w:rFonts w:ascii="Times New Roman" w:hAnsi="Times New Roman" w:cs="Times New Roman"/>
        </w:rPr>
        <w:t xml:space="preserve">in </w:t>
      </w:r>
      <w:r w:rsidR="00DC5207" w:rsidRPr="00CC3404">
        <w:rPr>
          <w:rFonts w:ascii="Times New Roman" w:hAnsi="Times New Roman" w:cs="Times New Roman"/>
        </w:rPr>
        <w:t xml:space="preserve">multi-stakeholder </w:t>
      </w:r>
      <w:r w:rsidR="007022E4" w:rsidRPr="00CC3404">
        <w:rPr>
          <w:rFonts w:ascii="Times New Roman" w:hAnsi="Times New Roman" w:cs="Times New Roman"/>
        </w:rPr>
        <w:t xml:space="preserve">“partnerships”. </w:t>
      </w:r>
      <w:r w:rsidR="00851F5C" w:rsidRPr="00CC3404">
        <w:rPr>
          <w:rFonts w:ascii="Times New Roman" w:hAnsi="Times New Roman" w:cs="Times New Roman"/>
        </w:rPr>
        <w:t xml:space="preserve">The </w:t>
      </w:r>
      <w:r w:rsidR="00A45EA2" w:rsidRPr="00CC3404">
        <w:rPr>
          <w:rFonts w:ascii="Times New Roman" w:hAnsi="Times New Roman" w:cs="Times New Roman"/>
        </w:rPr>
        <w:t>2018-21 technical assistance p</w:t>
      </w:r>
      <w:r w:rsidR="00780EA6" w:rsidRPr="00CC3404">
        <w:rPr>
          <w:rFonts w:ascii="Times New Roman" w:hAnsi="Times New Roman" w:cs="Times New Roman"/>
        </w:rPr>
        <w:t>lan</w:t>
      </w:r>
      <w:r w:rsidR="000975EA" w:rsidRPr="00CC3404">
        <w:rPr>
          <w:rStyle w:val="FootnoteReference"/>
          <w:rFonts w:ascii="Times New Roman" w:hAnsi="Times New Roman" w:cs="Times New Roman"/>
        </w:rPr>
        <w:footnoteReference w:id="20"/>
      </w:r>
      <w:r w:rsidR="00780EA6" w:rsidRPr="00CC3404">
        <w:rPr>
          <w:rFonts w:ascii="Times New Roman" w:hAnsi="Times New Roman" w:cs="Times New Roman"/>
        </w:rPr>
        <w:t xml:space="preserve"> </w:t>
      </w:r>
      <w:r w:rsidR="00A45EA2" w:rsidRPr="00CC3404">
        <w:rPr>
          <w:rFonts w:ascii="Times New Roman" w:hAnsi="Times New Roman" w:cs="Times New Roman"/>
        </w:rPr>
        <w:t>refers to “partnerships and technical cooperation initiatives led by other organizations where the Secretariat participates as one of the partner</w:t>
      </w:r>
      <w:r w:rsidR="008836F8" w:rsidRPr="00CC3404">
        <w:rPr>
          <w:rFonts w:ascii="Times New Roman" w:hAnsi="Times New Roman" w:cs="Times New Roman"/>
        </w:rPr>
        <w:t>s”</w:t>
      </w:r>
      <w:r w:rsidR="00F47D10" w:rsidRPr="00CC3404">
        <w:rPr>
          <w:rFonts w:ascii="Times New Roman" w:hAnsi="Times New Roman" w:cs="Times New Roman"/>
        </w:rPr>
        <w:t>.</w:t>
      </w:r>
      <w:r w:rsidR="00AB1ADA" w:rsidRPr="00CC3404">
        <w:rPr>
          <w:rFonts w:ascii="Times New Roman" w:hAnsi="Times New Roman" w:cs="Times New Roman"/>
        </w:rPr>
        <w:t xml:space="preserve"> </w:t>
      </w:r>
      <w:r w:rsidR="009E66BC" w:rsidRPr="00CC3404">
        <w:rPr>
          <w:rFonts w:ascii="Times New Roman" w:hAnsi="Times New Roman" w:cs="Times New Roman"/>
        </w:rPr>
        <w:t xml:space="preserve">In accordance with para. 3.(b) of the Decision BC-10/19, </w:t>
      </w:r>
      <w:r w:rsidR="007E7458" w:rsidRPr="00CC3404">
        <w:rPr>
          <w:rFonts w:ascii="Times New Roman" w:hAnsi="Times New Roman" w:cs="Times New Roman"/>
        </w:rPr>
        <w:t xml:space="preserve">the </w:t>
      </w:r>
      <w:r w:rsidR="003C0FF7" w:rsidRPr="00CC3404">
        <w:rPr>
          <w:rFonts w:ascii="Times New Roman" w:hAnsi="Times New Roman" w:cs="Times New Roman"/>
        </w:rPr>
        <w:t xml:space="preserve">two main </w:t>
      </w:r>
      <w:r w:rsidR="00207265" w:rsidRPr="00CC3404">
        <w:rPr>
          <w:rFonts w:ascii="Times New Roman" w:hAnsi="Times New Roman" w:cs="Times New Roman"/>
        </w:rPr>
        <w:t>requirements</w:t>
      </w:r>
      <w:r w:rsidR="00804AEA" w:rsidRPr="00CC3404">
        <w:rPr>
          <w:rFonts w:ascii="Times New Roman" w:hAnsi="Times New Roman" w:cs="Times New Roman"/>
        </w:rPr>
        <w:t xml:space="preserve"> of </w:t>
      </w:r>
      <w:r w:rsidR="003C0FF7" w:rsidRPr="00CC3404">
        <w:rPr>
          <w:rFonts w:ascii="Times New Roman" w:hAnsi="Times New Roman" w:cs="Times New Roman"/>
        </w:rPr>
        <w:t xml:space="preserve">the </w:t>
      </w:r>
      <w:r w:rsidR="00AB1ADA" w:rsidRPr="00CC3404">
        <w:rPr>
          <w:rFonts w:ascii="Times New Roman" w:hAnsi="Times New Roman" w:cs="Times New Roman"/>
        </w:rPr>
        <w:t>Secretariat</w:t>
      </w:r>
      <w:r w:rsidR="003C0FF7" w:rsidRPr="00CC3404">
        <w:rPr>
          <w:rFonts w:ascii="Times New Roman" w:hAnsi="Times New Roman" w:cs="Times New Roman"/>
        </w:rPr>
        <w:t>’s</w:t>
      </w:r>
      <w:r w:rsidR="00AB1ADA" w:rsidRPr="00CC3404">
        <w:rPr>
          <w:rFonts w:ascii="Times New Roman" w:hAnsi="Times New Roman" w:cs="Times New Roman"/>
        </w:rPr>
        <w:t xml:space="preserve"> engagement in </w:t>
      </w:r>
      <w:r w:rsidR="007E7458" w:rsidRPr="00CC3404">
        <w:rPr>
          <w:rFonts w:ascii="Times New Roman" w:hAnsi="Times New Roman" w:cs="Times New Roman"/>
        </w:rPr>
        <w:t>“</w:t>
      </w:r>
      <w:r w:rsidR="00AB1ADA" w:rsidRPr="00CC3404">
        <w:rPr>
          <w:rFonts w:ascii="Times New Roman" w:hAnsi="Times New Roman" w:cs="Times New Roman"/>
        </w:rPr>
        <w:t>partnerships</w:t>
      </w:r>
      <w:r w:rsidR="007E7458" w:rsidRPr="00CC3404">
        <w:rPr>
          <w:rFonts w:ascii="Times New Roman" w:hAnsi="Times New Roman" w:cs="Times New Roman"/>
        </w:rPr>
        <w:t xml:space="preserve">” </w:t>
      </w:r>
      <w:r w:rsidR="009E66BC" w:rsidRPr="00CC3404">
        <w:rPr>
          <w:rFonts w:ascii="Times New Roman" w:hAnsi="Times New Roman" w:cs="Times New Roman"/>
        </w:rPr>
        <w:t>appear to be</w:t>
      </w:r>
      <w:r w:rsidR="00AB1ADA" w:rsidRPr="00CC3404">
        <w:rPr>
          <w:rFonts w:ascii="Times New Roman" w:hAnsi="Times New Roman" w:cs="Times New Roman"/>
        </w:rPr>
        <w:t>:</w:t>
      </w:r>
    </w:p>
    <w:p w14:paraId="7D5B9068" w14:textId="6821A708" w:rsidR="00AB1ADA" w:rsidRPr="00CC3404" w:rsidRDefault="00BB42D9" w:rsidP="00E45D56">
      <w:pPr>
        <w:pStyle w:val="ListParagraph"/>
        <w:numPr>
          <w:ilvl w:val="0"/>
          <w:numId w:val="7"/>
        </w:numPr>
        <w:jc w:val="both"/>
        <w:rPr>
          <w:rFonts w:ascii="Times New Roman" w:hAnsi="Times New Roman" w:cs="Times New Roman"/>
        </w:rPr>
      </w:pPr>
      <w:r w:rsidRPr="00CC3404">
        <w:rPr>
          <w:rFonts w:ascii="Times New Roman" w:hAnsi="Times New Roman" w:cs="Times New Roman"/>
        </w:rPr>
        <w:t>Leadership</w:t>
      </w:r>
      <w:r w:rsidR="00AB1ADA" w:rsidRPr="00CC3404">
        <w:rPr>
          <w:rFonts w:ascii="Times New Roman" w:hAnsi="Times New Roman" w:cs="Times New Roman"/>
        </w:rPr>
        <w:t xml:space="preserve"> </w:t>
      </w:r>
      <w:r w:rsidR="006C6D39" w:rsidRPr="00CC3404">
        <w:rPr>
          <w:rFonts w:ascii="Times New Roman" w:hAnsi="Times New Roman" w:cs="Times New Roman"/>
        </w:rPr>
        <w:t>in the multi</w:t>
      </w:r>
      <w:r w:rsidR="006C6D39" w:rsidRPr="00CC3404">
        <w:rPr>
          <w:rFonts w:ascii="Times New Roman" w:hAnsi="Times New Roman" w:cs="Times New Roman"/>
          <w:lang w:val="en-US"/>
        </w:rPr>
        <w:t>-</w:t>
      </w:r>
      <w:r w:rsidR="006C6D39" w:rsidRPr="00CC3404">
        <w:rPr>
          <w:rFonts w:ascii="Times New Roman" w:hAnsi="Times New Roman" w:cs="Times New Roman"/>
        </w:rPr>
        <w:t xml:space="preserve">stakeholder partnership is </w:t>
      </w:r>
      <w:r w:rsidR="00AB1ADA" w:rsidRPr="00CC3404">
        <w:rPr>
          <w:rFonts w:ascii="Times New Roman" w:hAnsi="Times New Roman" w:cs="Times New Roman"/>
        </w:rPr>
        <w:t>assumed by another organization, the Secretar</w:t>
      </w:r>
      <w:r w:rsidRPr="00CC3404">
        <w:rPr>
          <w:rFonts w:ascii="Times New Roman" w:hAnsi="Times New Roman" w:cs="Times New Roman"/>
        </w:rPr>
        <w:t>i</w:t>
      </w:r>
      <w:r w:rsidR="00AB1ADA" w:rsidRPr="00CC3404">
        <w:rPr>
          <w:rFonts w:ascii="Times New Roman" w:hAnsi="Times New Roman" w:cs="Times New Roman"/>
        </w:rPr>
        <w:t xml:space="preserve">at </w:t>
      </w:r>
      <w:r w:rsidRPr="00CC3404">
        <w:rPr>
          <w:rFonts w:ascii="Times New Roman" w:hAnsi="Times New Roman" w:cs="Times New Roman"/>
        </w:rPr>
        <w:t>has the status of a partner</w:t>
      </w:r>
      <w:r w:rsidR="009E66BC" w:rsidRPr="00CC3404">
        <w:rPr>
          <w:rFonts w:ascii="Times New Roman" w:hAnsi="Times New Roman" w:cs="Times New Roman"/>
        </w:rPr>
        <w:t xml:space="preserve"> (“to </w:t>
      </w:r>
      <w:r w:rsidR="009E66BC" w:rsidRPr="00CC3404">
        <w:rPr>
          <w:rFonts w:ascii="Times New Roman" w:eastAsia="Eurostile" w:hAnsi="Times New Roman" w:cs="Times New Roman"/>
        </w:rPr>
        <w:t>follow closely international developments in respect of public and private partnerships on waste-related issues and to seek to expand involvement”)</w:t>
      </w:r>
      <w:r w:rsidR="0081182C">
        <w:rPr>
          <w:rFonts w:ascii="Times New Roman" w:eastAsia="Eurostile" w:hAnsi="Times New Roman" w:cs="Times New Roman"/>
        </w:rPr>
        <w:t>;</w:t>
      </w:r>
    </w:p>
    <w:p w14:paraId="5FA1A48F" w14:textId="5D799DB9" w:rsidR="00BB42D9" w:rsidRPr="00CC3404" w:rsidRDefault="00BB42D9" w:rsidP="00E45D56">
      <w:pPr>
        <w:pStyle w:val="ListParagraph"/>
        <w:numPr>
          <w:ilvl w:val="0"/>
          <w:numId w:val="7"/>
        </w:numPr>
        <w:jc w:val="both"/>
        <w:rPr>
          <w:rFonts w:ascii="Times New Roman" w:hAnsi="Times New Roman" w:cs="Times New Roman"/>
        </w:rPr>
      </w:pPr>
      <w:r w:rsidRPr="00CC3404">
        <w:rPr>
          <w:rFonts w:ascii="Times New Roman" w:hAnsi="Times New Roman" w:cs="Times New Roman"/>
        </w:rPr>
        <w:t>The Secretariat’s participation aims at promoting the work and visibility of the Convention</w:t>
      </w:r>
      <w:r w:rsidR="009E66BC" w:rsidRPr="00CC3404">
        <w:rPr>
          <w:rFonts w:ascii="Times New Roman" w:hAnsi="Times New Roman" w:cs="Times New Roman"/>
        </w:rPr>
        <w:t xml:space="preserve"> (“</w:t>
      </w:r>
      <w:r w:rsidR="009E66BC" w:rsidRPr="00CC3404">
        <w:rPr>
          <w:rFonts w:ascii="Times New Roman" w:eastAsia="Eurostile" w:hAnsi="Times New Roman" w:cs="Times New Roman"/>
        </w:rPr>
        <w:t>to promote the guidelines and tools developed under the Convention and raise awareness and the visibility of the Convention and its obligations and provisions”)</w:t>
      </w:r>
      <w:r w:rsidR="00780EA6" w:rsidRPr="00CC3404">
        <w:rPr>
          <w:rFonts w:ascii="Times New Roman" w:hAnsi="Times New Roman" w:cs="Times New Roman"/>
        </w:rPr>
        <w:t>.</w:t>
      </w:r>
    </w:p>
    <w:p w14:paraId="7AE1477C" w14:textId="0F30B30D" w:rsidR="00312DD1" w:rsidRPr="00CC3404" w:rsidRDefault="00CC3404" w:rsidP="00AB64DD">
      <w:pPr>
        <w:jc w:val="both"/>
        <w:rPr>
          <w:rFonts w:ascii="Times New Roman" w:hAnsi="Times New Roman" w:cs="Times New Roman"/>
        </w:rPr>
      </w:pPr>
      <w:r w:rsidRPr="00CC3404">
        <w:rPr>
          <w:rFonts w:ascii="Times New Roman" w:hAnsi="Times New Roman" w:cs="Times New Roman"/>
        </w:rPr>
        <w:t>31.</w:t>
      </w:r>
      <w:r w:rsidRPr="00CC3404">
        <w:rPr>
          <w:rFonts w:ascii="Times New Roman" w:hAnsi="Times New Roman" w:cs="Times New Roman"/>
        </w:rPr>
        <w:tab/>
      </w:r>
      <w:r w:rsidR="003C0FF7" w:rsidRPr="00CC3404">
        <w:rPr>
          <w:rFonts w:ascii="Times New Roman" w:hAnsi="Times New Roman" w:cs="Times New Roman"/>
        </w:rPr>
        <w:t xml:space="preserve">These requirements </w:t>
      </w:r>
      <w:r w:rsidR="0025369A" w:rsidRPr="00CC3404">
        <w:rPr>
          <w:rFonts w:ascii="Times New Roman" w:hAnsi="Times New Roman" w:cs="Times New Roman"/>
        </w:rPr>
        <w:t>serve to avoid the situation where the Secretariat would have a leading or facilitating role in a “partnership” the outputs of which could impact the work carried out under the mandate of the Convention</w:t>
      </w:r>
      <w:r w:rsidR="003C0FF7" w:rsidRPr="00CC3404">
        <w:rPr>
          <w:rFonts w:ascii="Times New Roman" w:hAnsi="Times New Roman" w:cs="Times New Roman"/>
        </w:rPr>
        <w:t>s</w:t>
      </w:r>
      <w:r w:rsidR="0025369A" w:rsidRPr="00CC3404">
        <w:rPr>
          <w:rFonts w:ascii="Times New Roman" w:hAnsi="Times New Roman" w:cs="Times New Roman"/>
        </w:rPr>
        <w:t>, and</w:t>
      </w:r>
      <w:r w:rsidR="003C0FF7" w:rsidRPr="00CC3404">
        <w:rPr>
          <w:rFonts w:ascii="Times New Roman" w:hAnsi="Times New Roman" w:cs="Times New Roman"/>
        </w:rPr>
        <w:t xml:space="preserve"> </w:t>
      </w:r>
      <w:r w:rsidR="0025369A" w:rsidRPr="00CC3404">
        <w:rPr>
          <w:rFonts w:ascii="Times New Roman" w:hAnsi="Times New Roman" w:cs="Times New Roman"/>
        </w:rPr>
        <w:t>over which the COP ha</w:t>
      </w:r>
      <w:r w:rsidR="00E27E30" w:rsidRPr="00CC3404">
        <w:rPr>
          <w:rFonts w:ascii="Times New Roman" w:hAnsi="Times New Roman" w:cs="Times New Roman"/>
        </w:rPr>
        <w:t>s</w:t>
      </w:r>
      <w:r w:rsidR="0025369A" w:rsidRPr="00CC3404">
        <w:rPr>
          <w:rFonts w:ascii="Times New Roman" w:hAnsi="Times New Roman" w:cs="Times New Roman"/>
        </w:rPr>
        <w:t xml:space="preserve"> no control. </w:t>
      </w:r>
      <w:r w:rsidR="00A16145" w:rsidRPr="00CC3404">
        <w:rPr>
          <w:rFonts w:ascii="Times New Roman" w:hAnsi="Times New Roman" w:cs="Times New Roman"/>
        </w:rPr>
        <w:t>However, t</w:t>
      </w:r>
      <w:r w:rsidR="00BB42D9" w:rsidRPr="00CC3404">
        <w:rPr>
          <w:rFonts w:ascii="Times New Roman" w:hAnsi="Times New Roman" w:cs="Times New Roman"/>
        </w:rPr>
        <w:t xml:space="preserve">here is currently no </w:t>
      </w:r>
      <w:r w:rsidR="004F123C" w:rsidRPr="00CC3404">
        <w:rPr>
          <w:rFonts w:ascii="Times New Roman" w:hAnsi="Times New Roman" w:cs="Times New Roman"/>
        </w:rPr>
        <w:t xml:space="preserve">guidance on </w:t>
      </w:r>
      <w:r w:rsidR="00312DD1" w:rsidRPr="00CC3404">
        <w:rPr>
          <w:rFonts w:ascii="Times New Roman" w:hAnsi="Times New Roman" w:cs="Times New Roman"/>
        </w:rPr>
        <w:t xml:space="preserve">a number of </w:t>
      </w:r>
      <w:r w:rsidR="00A16145" w:rsidRPr="00CC3404">
        <w:rPr>
          <w:rFonts w:ascii="Times New Roman" w:hAnsi="Times New Roman" w:cs="Times New Roman"/>
        </w:rPr>
        <w:t xml:space="preserve">related </w:t>
      </w:r>
      <w:r w:rsidR="00312DD1" w:rsidRPr="00CC3404">
        <w:rPr>
          <w:rFonts w:ascii="Times New Roman" w:hAnsi="Times New Roman" w:cs="Times New Roman"/>
        </w:rPr>
        <w:t>issues, including:</w:t>
      </w:r>
    </w:p>
    <w:p w14:paraId="59E8E9CE" w14:textId="6E11DA36" w:rsidR="00AB1ADA" w:rsidRPr="00CC3404" w:rsidRDefault="007E7458" w:rsidP="00E45D56">
      <w:pPr>
        <w:pStyle w:val="ListParagraph"/>
        <w:numPr>
          <w:ilvl w:val="0"/>
          <w:numId w:val="8"/>
        </w:numPr>
        <w:jc w:val="both"/>
        <w:rPr>
          <w:rFonts w:ascii="Times New Roman" w:hAnsi="Times New Roman" w:cs="Times New Roman"/>
        </w:rPr>
      </w:pPr>
      <w:bookmarkStart w:id="16" w:name="_Hlk528570975"/>
      <w:r w:rsidRPr="00CC3404">
        <w:rPr>
          <w:rFonts w:ascii="Times New Roman" w:hAnsi="Times New Roman" w:cs="Times New Roman"/>
        </w:rPr>
        <w:t xml:space="preserve">The </w:t>
      </w:r>
      <w:r w:rsidR="00A16145" w:rsidRPr="00CC3404">
        <w:rPr>
          <w:rFonts w:ascii="Times New Roman" w:hAnsi="Times New Roman" w:cs="Times New Roman"/>
        </w:rPr>
        <w:t>objectives</w:t>
      </w:r>
      <w:r w:rsidRPr="00CC3404">
        <w:rPr>
          <w:rFonts w:ascii="Times New Roman" w:hAnsi="Times New Roman" w:cs="Times New Roman"/>
        </w:rPr>
        <w:t xml:space="preserve"> </w:t>
      </w:r>
      <w:r w:rsidR="00A16145" w:rsidRPr="00CC3404">
        <w:rPr>
          <w:rFonts w:ascii="Times New Roman" w:hAnsi="Times New Roman" w:cs="Times New Roman"/>
        </w:rPr>
        <w:t xml:space="preserve">and outputs </w:t>
      </w:r>
      <w:r w:rsidRPr="00CC3404">
        <w:rPr>
          <w:rFonts w:ascii="Times New Roman" w:hAnsi="Times New Roman" w:cs="Times New Roman"/>
        </w:rPr>
        <w:t>of</w:t>
      </w:r>
      <w:r w:rsidR="004F123C" w:rsidRPr="00CC3404">
        <w:rPr>
          <w:rFonts w:ascii="Times New Roman" w:hAnsi="Times New Roman" w:cs="Times New Roman"/>
        </w:rPr>
        <w:t xml:space="preserve"> </w:t>
      </w:r>
      <w:r w:rsidR="006C6D39" w:rsidRPr="00CC3404">
        <w:rPr>
          <w:rFonts w:ascii="Times New Roman" w:hAnsi="Times New Roman" w:cs="Times New Roman"/>
        </w:rPr>
        <w:t>“partnerships”</w:t>
      </w:r>
      <w:r w:rsidR="000A0E07" w:rsidRPr="00CC3404">
        <w:rPr>
          <w:rFonts w:ascii="Times New Roman" w:hAnsi="Times New Roman" w:cs="Times New Roman"/>
        </w:rPr>
        <w:t xml:space="preserve"> in which the Secretariat may seek participation</w:t>
      </w:r>
      <w:r w:rsidR="0081182C">
        <w:rPr>
          <w:rFonts w:ascii="Times New Roman" w:hAnsi="Times New Roman" w:cs="Times New Roman"/>
        </w:rPr>
        <w:t>;</w:t>
      </w:r>
      <w:r w:rsidR="00A16145" w:rsidRPr="00CC3404">
        <w:rPr>
          <w:rFonts w:ascii="Times New Roman" w:hAnsi="Times New Roman" w:cs="Times New Roman"/>
        </w:rPr>
        <w:t xml:space="preserve"> </w:t>
      </w:r>
      <w:r w:rsidRPr="00CC3404">
        <w:rPr>
          <w:rFonts w:ascii="Times New Roman" w:hAnsi="Times New Roman" w:cs="Times New Roman"/>
        </w:rPr>
        <w:t xml:space="preserve">  </w:t>
      </w:r>
    </w:p>
    <w:p w14:paraId="534205E5" w14:textId="3DED3092" w:rsidR="00AB1ADA" w:rsidRPr="00CC3404" w:rsidRDefault="006B76D6" w:rsidP="006B76D6">
      <w:pPr>
        <w:pStyle w:val="ListParagraph"/>
        <w:numPr>
          <w:ilvl w:val="0"/>
          <w:numId w:val="8"/>
        </w:numPr>
        <w:jc w:val="both"/>
        <w:rPr>
          <w:rFonts w:ascii="Times New Roman" w:hAnsi="Times New Roman" w:cs="Times New Roman"/>
        </w:rPr>
      </w:pPr>
      <w:bookmarkStart w:id="17" w:name="_Hlk530595335"/>
      <w:r w:rsidRPr="00CC3404">
        <w:rPr>
          <w:rFonts w:ascii="Times New Roman" w:hAnsi="Times New Roman" w:cs="Times New Roman"/>
        </w:rPr>
        <w:t xml:space="preserve">The criteria for selecting the partner/s and whether it can be </w:t>
      </w:r>
      <w:r w:rsidR="00DC5207" w:rsidRPr="00CC3404">
        <w:rPr>
          <w:rFonts w:ascii="Times New Roman" w:hAnsi="Times New Roman" w:cs="Times New Roman"/>
        </w:rPr>
        <w:t xml:space="preserve">any stakeholder or </w:t>
      </w:r>
      <w:r w:rsidR="001E592B" w:rsidRPr="00CC3404">
        <w:rPr>
          <w:rFonts w:ascii="Times New Roman" w:hAnsi="Times New Roman" w:cs="Times New Roman"/>
        </w:rPr>
        <w:t xml:space="preserve">only </w:t>
      </w:r>
      <w:r w:rsidR="00DC5207" w:rsidRPr="00CC3404">
        <w:rPr>
          <w:rFonts w:ascii="Times New Roman" w:hAnsi="Times New Roman" w:cs="Times New Roman"/>
        </w:rPr>
        <w:t>bodies or agencies with an observer status under the Convention</w:t>
      </w:r>
      <w:r w:rsidR="0081182C">
        <w:rPr>
          <w:rFonts w:ascii="Times New Roman" w:hAnsi="Times New Roman" w:cs="Times New Roman"/>
        </w:rPr>
        <w:t>;</w:t>
      </w:r>
    </w:p>
    <w:bookmarkEnd w:id="17"/>
    <w:p w14:paraId="012A546C" w14:textId="4F6D1AB1" w:rsidR="003C0FF7" w:rsidRPr="00CC3404" w:rsidRDefault="003C0FF7" w:rsidP="00E45D56">
      <w:pPr>
        <w:pStyle w:val="ListParagraph"/>
        <w:numPr>
          <w:ilvl w:val="0"/>
          <w:numId w:val="8"/>
        </w:numPr>
        <w:jc w:val="both"/>
        <w:rPr>
          <w:rFonts w:ascii="Times New Roman" w:hAnsi="Times New Roman" w:cs="Times New Roman"/>
        </w:rPr>
      </w:pPr>
      <w:r w:rsidRPr="00CC3404">
        <w:rPr>
          <w:rFonts w:ascii="Times New Roman" w:hAnsi="Times New Roman" w:cs="Times New Roman"/>
        </w:rPr>
        <w:t>The exact nature of the Secretariat’s possible “involvement” in “partnerships”, and the role it may seek</w:t>
      </w:r>
      <w:r w:rsidR="0081182C">
        <w:rPr>
          <w:rFonts w:ascii="Times New Roman" w:hAnsi="Times New Roman" w:cs="Times New Roman"/>
        </w:rPr>
        <w:t>;</w:t>
      </w:r>
    </w:p>
    <w:p w14:paraId="1737242A" w14:textId="27A5E759" w:rsidR="006C6D39" w:rsidRPr="00CC3404" w:rsidRDefault="006C6D39" w:rsidP="00E45D56">
      <w:pPr>
        <w:pStyle w:val="ListParagraph"/>
        <w:numPr>
          <w:ilvl w:val="0"/>
          <w:numId w:val="8"/>
        </w:numPr>
        <w:jc w:val="both"/>
        <w:rPr>
          <w:rFonts w:ascii="Times New Roman" w:hAnsi="Times New Roman" w:cs="Times New Roman"/>
        </w:rPr>
      </w:pPr>
      <w:r w:rsidRPr="00CC3404">
        <w:rPr>
          <w:rFonts w:ascii="Times New Roman" w:hAnsi="Times New Roman" w:cs="Times New Roman"/>
        </w:rPr>
        <w:t xml:space="preserve">The possible competition between the </w:t>
      </w:r>
      <w:r w:rsidRPr="00CC3404">
        <w:rPr>
          <w:rFonts w:ascii="Times New Roman" w:hAnsi="Times New Roman" w:cs="Times New Roman"/>
          <w:lang w:val="en-US"/>
        </w:rPr>
        <w:t xml:space="preserve">activities of the </w:t>
      </w:r>
      <w:r w:rsidRPr="00CC3404">
        <w:rPr>
          <w:rFonts w:ascii="Times New Roman" w:hAnsi="Times New Roman" w:cs="Times New Roman"/>
        </w:rPr>
        <w:t>“partnership” and relevant work under the Convention</w:t>
      </w:r>
      <w:r w:rsidR="0081182C">
        <w:rPr>
          <w:rFonts w:ascii="Times New Roman" w:hAnsi="Times New Roman" w:cs="Times New Roman"/>
        </w:rPr>
        <w:t>;</w:t>
      </w:r>
    </w:p>
    <w:p w14:paraId="4FF5588C" w14:textId="22A8FC27" w:rsidR="003C0FF7" w:rsidRPr="00CC3404" w:rsidRDefault="003C0FF7" w:rsidP="00E45D56">
      <w:pPr>
        <w:pStyle w:val="ListParagraph"/>
        <w:numPr>
          <w:ilvl w:val="0"/>
          <w:numId w:val="8"/>
        </w:numPr>
        <w:jc w:val="both"/>
        <w:rPr>
          <w:rFonts w:ascii="Times New Roman" w:hAnsi="Times New Roman" w:cs="Times New Roman"/>
        </w:rPr>
      </w:pPr>
      <w:r w:rsidRPr="00CC3404">
        <w:rPr>
          <w:rFonts w:ascii="Times New Roman" w:hAnsi="Times New Roman" w:cs="Times New Roman"/>
        </w:rPr>
        <w:t>The nature of the Secretariat’s contribution to activities under the “partnerships”</w:t>
      </w:r>
      <w:r w:rsidR="0053385E" w:rsidRPr="00CC3404">
        <w:rPr>
          <w:rFonts w:ascii="Times New Roman" w:hAnsi="Times New Roman" w:cs="Times New Roman"/>
        </w:rPr>
        <w:t xml:space="preserve"> that</w:t>
      </w:r>
      <w:r w:rsidRPr="00CC3404">
        <w:rPr>
          <w:rFonts w:ascii="Times New Roman" w:hAnsi="Times New Roman" w:cs="Times New Roman"/>
        </w:rPr>
        <w:t xml:space="preserve"> could be considered promoting the tools and guidelines developed under the Convention</w:t>
      </w:r>
      <w:r w:rsidR="0081182C">
        <w:rPr>
          <w:rFonts w:ascii="Times New Roman" w:hAnsi="Times New Roman" w:cs="Times New Roman"/>
        </w:rPr>
        <w:t>.</w:t>
      </w:r>
    </w:p>
    <w:p w14:paraId="396B43CA" w14:textId="350EE9BE" w:rsidR="00D52A43" w:rsidRPr="00CC3404" w:rsidRDefault="00CC3404" w:rsidP="00AB64DD">
      <w:pPr>
        <w:rPr>
          <w:rFonts w:ascii="Times New Roman" w:hAnsi="Times New Roman" w:cs="Times New Roman"/>
          <w:b/>
        </w:rPr>
      </w:pPr>
      <w:r w:rsidRPr="00CC3404">
        <w:rPr>
          <w:rFonts w:ascii="Times New Roman" w:hAnsi="Times New Roman" w:cs="Times New Roman"/>
        </w:rPr>
        <w:t>32.</w:t>
      </w:r>
      <w:r w:rsidRPr="00CC3404">
        <w:rPr>
          <w:rFonts w:ascii="Times New Roman" w:hAnsi="Times New Roman" w:cs="Times New Roman"/>
        </w:rPr>
        <w:tab/>
      </w:r>
      <w:r w:rsidR="003C0FF7" w:rsidRPr="00CC3404">
        <w:rPr>
          <w:rFonts w:ascii="Times New Roman" w:hAnsi="Times New Roman" w:cs="Times New Roman"/>
        </w:rPr>
        <w:t>A</w:t>
      </w:r>
      <w:r w:rsidR="000975EA" w:rsidRPr="00CC3404">
        <w:rPr>
          <w:rFonts w:ascii="Times New Roman" w:hAnsi="Times New Roman" w:cs="Times New Roman"/>
        </w:rPr>
        <w:t>nother</w:t>
      </w:r>
      <w:r w:rsidR="009E578B" w:rsidRPr="00CC3404">
        <w:rPr>
          <w:rFonts w:ascii="Times New Roman" w:hAnsi="Times New Roman" w:cs="Times New Roman"/>
        </w:rPr>
        <w:t xml:space="preserve"> </w:t>
      </w:r>
      <w:r w:rsidR="003C0FF7" w:rsidRPr="00CC3404">
        <w:rPr>
          <w:rFonts w:ascii="Times New Roman" w:hAnsi="Times New Roman" w:cs="Times New Roman"/>
        </w:rPr>
        <w:t xml:space="preserve">key </w:t>
      </w:r>
      <w:r w:rsidR="009E578B" w:rsidRPr="00CC3404">
        <w:rPr>
          <w:rFonts w:ascii="Times New Roman" w:hAnsi="Times New Roman" w:cs="Times New Roman"/>
        </w:rPr>
        <w:t xml:space="preserve">question </w:t>
      </w:r>
      <w:r w:rsidR="003C0FF7" w:rsidRPr="00CC3404">
        <w:rPr>
          <w:rFonts w:ascii="Times New Roman" w:hAnsi="Times New Roman" w:cs="Times New Roman"/>
        </w:rPr>
        <w:t xml:space="preserve">is </w:t>
      </w:r>
      <w:r w:rsidR="009E578B" w:rsidRPr="00CC3404">
        <w:rPr>
          <w:rFonts w:ascii="Times New Roman" w:hAnsi="Times New Roman" w:cs="Times New Roman"/>
        </w:rPr>
        <w:t xml:space="preserve">whether the Secretariat </w:t>
      </w:r>
      <w:r w:rsidR="00CD6AE8" w:rsidRPr="00CC3404">
        <w:rPr>
          <w:rFonts w:ascii="Times New Roman" w:hAnsi="Times New Roman" w:cs="Times New Roman"/>
        </w:rPr>
        <w:t xml:space="preserve">itself </w:t>
      </w:r>
      <w:r w:rsidR="00A24468" w:rsidRPr="00CC3404">
        <w:rPr>
          <w:rFonts w:ascii="Times New Roman" w:hAnsi="Times New Roman" w:cs="Times New Roman"/>
        </w:rPr>
        <w:t>may</w:t>
      </w:r>
      <w:r w:rsidR="009E578B" w:rsidRPr="00CC3404">
        <w:rPr>
          <w:rFonts w:ascii="Times New Roman" w:hAnsi="Times New Roman" w:cs="Times New Roman"/>
        </w:rPr>
        <w:t xml:space="preserve"> initiate a “partnership”</w:t>
      </w:r>
      <w:r w:rsidR="003C63A6" w:rsidRPr="00CC3404">
        <w:rPr>
          <w:rFonts w:ascii="Times New Roman" w:hAnsi="Times New Roman" w:cs="Times New Roman"/>
        </w:rPr>
        <w:t>,</w:t>
      </w:r>
      <w:r w:rsidR="006C6D39" w:rsidRPr="00CC3404">
        <w:rPr>
          <w:rFonts w:ascii="Times New Roman" w:hAnsi="Times New Roman" w:cs="Times New Roman"/>
        </w:rPr>
        <w:t xml:space="preserve"> or enter a “partnership” with one or more non-</w:t>
      </w:r>
      <w:r w:rsidR="009913AD" w:rsidRPr="00CC3404">
        <w:rPr>
          <w:rFonts w:ascii="Times New Roman" w:hAnsi="Times New Roman" w:cs="Times New Roman"/>
        </w:rPr>
        <w:t>s</w:t>
      </w:r>
      <w:r w:rsidR="006C6D39" w:rsidRPr="00CC3404">
        <w:rPr>
          <w:rFonts w:ascii="Times New Roman" w:hAnsi="Times New Roman" w:cs="Times New Roman"/>
        </w:rPr>
        <w:t>tate stakeholders</w:t>
      </w:r>
      <w:r w:rsidR="003C63A6" w:rsidRPr="00CC3404">
        <w:rPr>
          <w:rFonts w:ascii="Times New Roman" w:hAnsi="Times New Roman" w:cs="Times New Roman"/>
        </w:rPr>
        <w:t>,</w:t>
      </w:r>
      <w:r w:rsidR="006C6D39" w:rsidRPr="00CC3404">
        <w:rPr>
          <w:rFonts w:ascii="Times New Roman" w:hAnsi="Times New Roman" w:cs="Times New Roman"/>
        </w:rPr>
        <w:t xml:space="preserve"> </w:t>
      </w:r>
      <w:r w:rsidR="00F41C85" w:rsidRPr="00CC3404">
        <w:rPr>
          <w:rFonts w:ascii="Times New Roman" w:hAnsi="Times New Roman" w:cs="Times New Roman"/>
        </w:rPr>
        <w:t xml:space="preserve">with the </w:t>
      </w:r>
      <w:r w:rsidR="006C6D39" w:rsidRPr="00CC3404">
        <w:rPr>
          <w:rFonts w:ascii="Times New Roman" w:hAnsi="Times New Roman" w:cs="Times New Roman"/>
        </w:rPr>
        <w:t xml:space="preserve">objective </w:t>
      </w:r>
      <w:r w:rsidR="00207265" w:rsidRPr="00CC3404">
        <w:rPr>
          <w:rFonts w:ascii="Times New Roman" w:hAnsi="Times New Roman" w:cs="Times New Roman"/>
        </w:rPr>
        <w:t>t</w:t>
      </w:r>
      <w:r w:rsidR="006C6D39" w:rsidRPr="00CC3404">
        <w:rPr>
          <w:rFonts w:ascii="Times New Roman" w:hAnsi="Times New Roman" w:cs="Times New Roman"/>
        </w:rPr>
        <w:t xml:space="preserve">o </w:t>
      </w:r>
      <w:r w:rsidR="003C63A6" w:rsidRPr="00CC3404">
        <w:rPr>
          <w:rFonts w:ascii="Times New Roman" w:hAnsi="Times New Roman" w:cs="Times New Roman"/>
        </w:rPr>
        <w:t xml:space="preserve">undertake </w:t>
      </w:r>
      <w:r w:rsidR="006C6D39" w:rsidRPr="00CC3404">
        <w:rPr>
          <w:rFonts w:ascii="Times New Roman" w:hAnsi="Times New Roman" w:cs="Times New Roman"/>
        </w:rPr>
        <w:t>activities entrusted to the Secretariat by the COP</w:t>
      </w:r>
      <w:r w:rsidR="00D066D2" w:rsidRPr="00CC3404">
        <w:rPr>
          <w:rFonts w:ascii="Times New Roman" w:hAnsi="Times New Roman" w:cs="Times New Roman"/>
        </w:rPr>
        <w:t xml:space="preserve"> in respective decisions and in accordance with the approved programme-budget</w:t>
      </w:r>
      <w:r w:rsidR="006C6D39" w:rsidRPr="00CC3404">
        <w:rPr>
          <w:rFonts w:ascii="Times New Roman" w:hAnsi="Times New Roman" w:cs="Times New Roman"/>
        </w:rPr>
        <w:t>.</w:t>
      </w:r>
      <w:r w:rsidR="003C0FF7" w:rsidRPr="00CC3404">
        <w:rPr>
          <w:rFonts w:ascii="Times New Roman" w:hAnsi="Times New Roman" w:cs="Times New Roman"/>
        </w:rPr>
        <w:t xml:space="preserve"> </w:t>
      </w:r>
      <w:r w:rsidR="00D066D2" w:rsidRPr="00CC3404">
        <w:rPr>
          <w:rFonts w:ascii="Times New Roman" w:hAnsi="Times New Roman" w:cs="Times New Roman"/>
        </w:rPr>
        <w:t xml:space="preserve"> </w:t>
      </w:r>
    </w:p>
    <w:p w14:paraId="734BEC4E" w14:textId="7A254C7E" w:rsidR="00DB42A2" w:rsidRPr="003724EF" w:rsidRDefault="005F46B6" w:rsidP="005F46B6">
      <w:pPr>
        <w:pStyle w:val="Heading1"/>
        <w:spacing w:after="240"/>
        <w:rPr>
          <w:rFonts w:ascii="Times New Roman" w:hAnsi="Times New Roman" w:cs="Times New Roman"/>
          <w:b/>
          <w:bCs/>
          <w:color w:val="auto"/>
        </w:rPr>
      </w:pPr>
      <w:bookmarkStart w:id="18" w:name="_Toc531103775"/>
      <w:bookmarkEnd w:id="16"/>
      <w:r w:rsidRPr="00CC3404">
        <w:rPr>
          <w:rFonts w:ascii="Times New Roman" w:hAnsi="Times New Roman" w:cs="Times New Roman"/>
          <w:color w:val="auto"/>
        </w:rPr>
        <w:lastRenderedPageBreak/>
        <w:t>3.</w:t>
      </w:r>
      <w:r w:rsidRPr="00CC3404">
        <w:rPr>
          <w:rFonts w:ascii="Times New Roman" w:hAnsi="Times New Roman" w:cs="Times New Roman"/>
          <w:color w:val="auto"/>
        </w:rPr>
        <w:tab/>
      </w:r>
      <w:r w:rsidR="00DB42A2" w:rsidRPr="003724EF">
        <w:rPr>
          <w:rFonts w:ascii="Times New Roman" w:hAnsi="Times New Roman" w:cs="Times New Roman"/>
          <w:b/>
          <w:bCs/>
          <w:color w:val="auto"/>
        </w:rPr>
        <w:t>Cooperation arrangements with particular relevance for the Basel Convention</w:t>
      </w:r>
      <w:bookmarkEnd w:id="18"/>
    </w:p>
    <w:p w14:paraId="37CAE5A5" w14:textId="4EE7CAE5" w:rsidR="00D52A43" w:rsidRPr="003724EF" w:rsidRDefault="005F46B6" w:rsidP="005F46B6">
      <w:pPr>
        <w:pStyle w:val="Heading2"/>
        <w:rPr>
          <w:rFonts w:ascii="Times New Roman" w:hAnsi="Times New Roman" w:cs="Times New Roman"/>
          <w:b/>
          <w:bCs/>
          <w:color w:val="auto"/>
        </w:rPr>
      </w:pPr>
      <w:bookmarkStart w:id="19" w:name="_Toc531103776"/>
      <w:r w:rsidRPr="00CC3404">
        <w:rPr>
          <w:rFonts w:ascii="Times New Roman" w:hAnsi="Times New Roman" w:cs="Times New Roman"/>
          <w:color w:val="auto"/>
        </w:rPr>
        <w:t>3.1</w:t>
      </w:r>
      <w:r w:rsidRPr="00CC3404">
        <w:rPr>
          <w:rFonts w:ascii="Times New Roman" w:hAnsi="Times New Roman" w:cs="Times New Roman"/>
          <w:color w:val="auto"/>
        </w:rPr>
        <w:tab/>
      </w:r>
      <w:r w:rsidR="00DB42A2" w:rsidRPr="003724EF">
        <w:rPr>
          <w:rFonts w:ascii="Times New Roman" w:hAnsi="Times New Roman" w:cs="Times New Roman"/>
          <w:b/>
          <w:bCs/>
          <w:color w:val="auto"/>
        </w:rPr>
        <w:t xml:space="preserve">Cooperation arrangements under the </w:t>
      </w:r>
      <w:r w:rsidR="00D52A43" w:rsidRPr="003724EF">
        <w:rPr>
          <w:rFonts w:ascii="Times New Roman" w:hAnsi="Times New Roman" w:cs="Times New Roman"/>
          <w:b/>
          <w:bCs/>
          <w:color w:val="auto"/>
        </w:rPr>
        <w:t>Stockholm Convention</w:t>
      </w:r>
      <w:bookmarkEnd w:id="19"/>
    </w:p>
    <w:p w14:paraId="5FA287D8" w14:textId="77777777" w:rsidR="00CC3404" w:rsidRPr="00CC3404" w:rsidRDefault="00CC3404" w:rsidP="00AB64DD">
      <w:pPr>
        <w:spacing w:before="120"/>
        <w:jc w:val="both"/>
        <w:rPr>
          <w:rFonts w:ascii="Times New Roman" w:hAnsi="Times New Roman" w:cs="Times New Roman"/>
        </w:rPr>
      </w:pPr>
      <w:r w:rsidRPr="00CC3404">
        <w:rPr>
          <w:rFonts w:ascii="Times New Roman" w:hAnsi="Times New Roman" w:cs="Times New Roman"/>
        </w:rPr>
        <w:t>33.</w:t>
      </w:r>
      <w:r w:rsidRPr="00CC3404">
        <w:rPr>
          <w:rFonts w:ascii="Times New Roman" w:hAnsi="Times New Roman" w:cs="Times New Roman"/>
        </w:rPr>
        <w:tab/>
      </w:r>
      <w:r w:rsidR="00D52A43" w:rsidRPr="00CC3404">
        <w:rPr>
          <w:rFonts w:ascii="Times New Roman" w:hAnsi="Times New Roman" w:cs="Times New Roman"/>
        </w:rPr>
        <w:t xml:space="preserve">Prior to the completion of the synergies process, the Secretariat of the Stockholm Convention established and led two cooperation arrangements similar to </w:t>
      </w:r>
      <w:r w:rsidR="005A2B72" w:rsidRPr="00CC3404">
        <w:rPr>
          <w:rFonts w:ascii="Times New Roman" w:hAnsi="Times New Roman" w:cs="Times New Roman"/>
        </w:rPr>
        <w:t>“</w:t>
      </w:r>
      <w:r w:rsidR="0065708F" w:rsidRPr="00CC3404">
        <w:rPr>
          <w:rFonts w:ascii="Times New Roman" w:hAnsi="Times New Roman" w:cs="Times New Roman"/>
        </w:rPr>
        <w:t>P</w:t>
      </w:r>
      <w:r w:rsidR="00D52A43" w:rsidRPr="00CC3404">
        <w:rPr>
          <w:rFonts w:ascii="Times New Roman" w:hAnsi="Times New Roman" w:cs="Times New Roman"/>
        </w:rPr>
        <w:t>artnerships</w:t>
      </w:r>
      <w:r w:rsidR="005A2B72" w:rsidRPr="00CC3404">
        <w:rPr>
          <w:rFonts w:ascii="Times New Roman" w:hAnsi="Times New Roman" w:cs="Times New Roman"/>
        </w:rPr>
        <w:t>”</w:t>
      </w:r>
      <w:r w:rsidR="00D52A43" w:rsidRPr="00CC3404">
        <w:rPr>
          <w:rFonts w:ascii="Times New Roman" w:hAnsi="Times New Roman" w:cs="Times New Roman"/>
        </w:rPr>
        <w:t xml:space="preserve"> between 2009 and 2011.</w:t>
      </w:r>
    </w:p>
    <w:p w14:paraId="7DD8CF0B" w14:textId="32027D80" w:rsidR="00D52A43" w:rsidRPr="00CC3404" w:rsidRDefault="00CC3404" w:rsidP="00AB64DD">
      <w:pPr>
        <w:spacing w:before="120"/>
        <w:jc w:val="both"/>
        <w:rPr>
          <w:rFonts w:ascii="Times New Roman" w:hAnsi="Times New Roman" w:cs="Times New Roman"/>
        </w:rPr>
      </w:pPr>
      <w:r w:rsidRPr="00CC3404">
        <w:rPr>
          <w:rFonts w:ascii="Times New Roman" w:hAnsi="Times New Roman" w:cs="Times New Roman"/>
        </w:rPr>
        <w:t>34.</w:t>
      </w:r>
      <w:r w:rsidRPr="00CC3404">
        <w:rPr>
          <w:rFonts w:ascii="Times New Roman" w:hAnsi="Times New Roman" w:cs="Times New Roman"/>
        </w:rPr>
        <w:tab/>
      </w:r>
      <w:r w:rsidR="00D52A43" w:rsidRPr="00CC3404">
        <w:rPr>
          <w:rFonts w:ascii="Times New Roman" w:hAnsi="Times New Roman" w:cs="Times New Roman"/>
        </w:rPr>
        <w:t>The Secretariat’s proposal to establish a “PCBs Elimination Club” was discussed at COP4 in 2009, receiving some support but also expressions of concern. Nevertheless, the COP decided to establish the PCB Elimination Network (PEN)</w:t>
      </w:r>
      <w:r w:rsidR="00D52A43" w:rsidRPr="00CC3404">
        <w:rPr>
          <w:vertAlign w:val="superscript"/>
        </w:rPr>
        <w:footnoteReference w:id="21"/>
      </w:r>
      <w:r w:rsidR="00D52A43" w:rsidRPr="00CC3404">
        <w:rPr>
          <w:rFonts w:ascii="Times New Roman" w:hAnsi="Times New Roman" w:cs="Times New Roman"/>
        </w:rPr>
        <w:t>. Also at COP 4, the Secretariat introduced a draft business plan for a Global Alliance for alternatives to DDT, which had been developed under a mandate from COP3 through a process established and managed by the Secretariat. The COP endorsed the establishment of the Global Alliance and requested the Secretariat to lead its implementation</w:t>
      </w:r>
      <w:r w:rsidR="00D52A43" w:rsidRPr="00CC3404">
        <w:rPr>
          <w:vertAlign w:val="superscript"/>
        </w:rPr>
        <w:footnoteReference w:id="22"/>
      </w:r>
      <w:r w:rsidR="00D52A43" w:rsidRPr="00CC3404">
        <w:rPr>
          <w:rFonts w:ascii="Times New Roman" w:hAnsi="Times New Roman" w:cs="Times New Roman"/>
        </w:rPr>
        <w:t xml:space="preserve">. The Global Alliance was launched at the simultaneous extraordinary meetings of the BRS Conventions in 2010. Its membership included state and non-state actors, and it established five thematic groups. </w:t>
      </w:r>
    </w:p>
    <w:p w14:paraId="6B356100" w14:textId="6B872B68" w:rsidR="00D52A43" w:rsidRPr="00CC3404" w:rsidRDefault="00CC3404" w:rsidP="00AB64DD">
      <w:pPr>
        <w:jc w:val="both"/>
        <w:rPr>
          <w:rFonts w:ascii="Times New Roman" w:hAnsi="Times New Roman" w:cs="Times New Roman"/>
        </w:rPr>
      </w:pPr>
      <w:r w:rsidRPr="00CC3404">
        <w:rPr>
          <w:rFonts w:ascii="Times New Roman" w:hAnsi="Times New Roman" w:cs="Times New Roman"/>
        </w:rPr>
        <w:t>35.</w:t>
      </w:r>
      <w:r w:rsidRPr="00CC3404">
        <w:rPr>
          <w:rFonts w:ascii="Times New Roman" w:hAnsi="Times New Roman" w:cs="Times New Roman"/>
        </w:rPr>
        <w:tab/>
      </w:r>
      <w:r w:rsidR="00D52A43" w:rsidRPr="00CC3404">
        <w:rPr>
          <w:rFonts w:ascii="Times New Roman" w:hAnsi="Times New Roman" w:cs="Times New Roman"/>
        </w:rPr>
        <w:t xml:space="preserve">Although both these cooperation arrangements were endorsed by the COP, the fact that </w:t>
      </w:r>
      <w:r w:rsidR="009A308B" w:rsidRPr="00CC3404">
        <w:rPr>
          <w:rFonts w:ascii="Times New Roman" w:hAnsi="Times New Roman" w:cs="Times New Roman"/>
        </w:rPr>
        <w:t>a significant part of</w:t>
      </w:r>
      <w:r w:rsidR="00D52A43" w:rsidRPr="00CC3404">
        <w:rPr>
          <w:rFonts w:ascii="Times New Roman" w:hAnsi="Times New Roman" w:cs="Times New Roman"/>
        </w:rPr>
        <w:t xml:space="preserve"> their work had been initiated by the Secretariat </w:t>
      </w:r>
      <w:r w:rsidR="009A308B" w:rsidRPr="00CC3404">
        <w:rPr>
          <w:rFonts w:ascii="Times New Roman" w:hAnsi="Times New Roman" w:cs="Times New Roman"/>
        </w:rPr>
        <w:t xml:space="preserve">on its own initiative </w:t>
      </w:r>
      <w:r w:rsidR="00D52A43" w:rsidRPr="00CC3404">
        <w:rPr>
          <w:rFonts w:ascii="Times New Roman" w:hAnsi="Times New Roman" w:cs="Times New Roman"/>
        </w:rPr>
        <w:t xml:space="preserve">and only subsequently submitted to the COP for approval raised concerns from Parties, also relating to the Secretariat’s prominent role in their implementation and management. Some delegates felt these arrangements should not be seen as subsidiary bodies of the Convention that could take decisions with implications for all Parties, nor should they have a budgetary impact on the Convention. Questions were raised as to whether the Secretariat’s role was consistent with its mandate as defined by the Convention, whether the time and effort invested in the arrangements diminished its capacity for its core tasks, and what the Secretariat’s legal, logistical and financial responsibility would be. </w:t>
      </w:r>
    </w:p>
    <w:p w14:paraId="79D71F27" w14:textId="1FF328AC" w:rsidR="00D52A43" w:rsidRPr="00CC3404" w:rsidRDefault="00CC3404" w:rsidP="00AB64DD">
      <w:pPr>
        <w:jc w:val="both"/>
        <w:rPr>
          <w:rFonts w:ascii="Times New Roman" w:hAnsi="Times New Roman" w:cs="Times New Roman"/>
        </w:rPr>
      </w:pPr>
      <w:r w:rsidRPr="00CC3404">
        <w:rPr>
          <w:rFonts w:ascii="Times New Roman" w:hAnsi="Times New Roman" w:cs="Times New Roman"/>
        </w:rPr>
        <w:t>36.</w:t>
      </w:r>
      <w:r w:rsidRPr="00CC3404">
        <w:rPr>
          <w:rFonts w:ascii="Times New Roman" w:hAnsi="Times New Roman" w:cs="Times New Roman"/>
        </w:rPr>
        <w:tab/>
      </w:r>
      <w:r w:rsidR="00D52A43" w:rsidRPr="00CC3404">
        <w:rPr>
          <w:rFonts w:ascii="Times New Roman" w:hAnsi="Times New Roman" w:cs="Times New Roman"/>
        </w:rPr>
        <w:t>Prior to COP 5, discussions on these issues had taken place between the Executive Secretary of the Convention and the Executive Director of UNEP. As a result, the leadership of both the PCB Elimination Network and the Global Alliance were transferred to UNEP at the request of COP 5</w:t>
      </w:r>
      <w:r w:rsidR="00D52A43" w:rsidRPr="00CC3404">
        <w:rPr>
          <w:vertAlign w:val="superscript"/>
        </w:rPr>
        <w:footnoteReference w:id="23"/>
      </w:r>
      <w:r w:rsidR="00D52A43" w:rsidRPr="00CC3404">
        <w:rPr>
          <w:rFonts w:ascii="Times New Roman" w:hAnsi="Times New Roman" w:cs="Times New Roman"/>
        </w:rPr>
        <w:t>. PEN is currently managed by UNEP Chemicals and Health Branch</w:t>
      </w:r>
      <w:r w:rsidR="008C2AB5" w:rsidRPr="00CC3404">
        <w:rPr>
          <w:rFonts w:ascii="Times New Roman" w:hAnsi="Times New Roman" w:cs="Times New Roman"/>
        </w:rPr>
        <w:t>, and P</w:t>
      </w:r>
      <w:r w:rsidR="00D52A43" w:rsidRPr="00CC3404">
        <w:rPr>
          <w:rFonts w:ascii="Times New Roman" w:hAnsi="Times New Roman" w:cs="Times New Roman"/>
        </w:rPr>
        <w:t>arties to the Stockholm Convention are members of the PEN by default. All other stakeholders with activities relevant to the management of PCB may apply for membership</w:t>
      </w:r>
      <w:r w:rsidR="00D52A43" w:rsidRPr="00CC3404">
        <w:rPr>
          <w:vertAlign w:val="superscript"/>
        </w:rPr>
        <w:footnoteReference w:id="24"/>
      </w:r>
      <w:r w:rsidR="00D52A43" w:rsidRPr="00CC3404">
        <w:rPr>
          <w:rFonts w:ascii="Times New Roman" w:hAnsi="Times New Roman" w:cs="Times New Roman"/>
        </w:rPr>
        <w:t xml:space="preserve">. </w:t>
      </w:r>
    </w:p>
    <w:p w14:paraId="25A4D556" w14:textId="5F48DE13" w:rsidR="0070470B" w:rsidRPr="00CC3404" w:rsidRDefault="00CC3404" w:rsidP="00AB64DD">
      <w:pPr>
        <w:jc w:val="both"/>
        <w:rPr>
          <w:rFonts w:ascii="Times New Roman" w:hAnsi="Times New Roman" w:cs="Times New Roman"/>
        </w:rPr>
      </w:pPr>
      <w:r w:rsidRPr="00CC3404">
        <w:rPr>
          <w:rFonts w:ascii="Times New Roman" w:hAnsi="Times New Roman" w:cs="Times New Roman"/>
        </w:rPr>
        <w:t>37.</w:t>
      </w:r>
      <w:r w:rsidRPr="00CC3404">
        <w:rPr>
          <w:rFonts w:ascii="Times New Roman" w:hAnsi="Times New Roman" w:cs="Times New Roman"/>
        </w:rPr>
        <w:tab/>
      </w:r>
      <w:r w:rsidR="0070470B" w:rsidRPr="00CC3404">
        <w:rPr>
          <w:rFonts w:ascii="Times New Roman" w:hAnsi="Times New Roman" w:cs="Times New Roman"/>
        </w:rPr>
        <w:t xml:space="preserve">This experience illustrates some of the issues that can arise where the governing body of the Convention does not have sufficient control over the establishment and operation of a partnership. </w:t>
      </w:r>
    </w:p>
    <w:p w14:paraId="70DED152" w14:textId="17610FD3" w:rsidR="00A803EC" w:rsidRPr="00CC3404" w:rsidRDefault="00CC3404" w:rsidP="00AB64DD">
      <w:pPr>
        <w:jc w:val="both"/>
        <w:rPr>
          <w:rFonts w:ascii="Times New Roman" w:hAnsi="Times New Roman" w:cs="Times New Roman"/>
        </w:rPr>
      </w:pPr>
      <w:r w:rsidRPr="00CC3404">
        <w:rPr>
          <w:rFonts w:ascii="Times New Roman" w:hAnsi="Times New Roman" w:cs="Times New Roman"/>
        </w:rPr>
        <w:t>38.</w:t>
      </w:r>
      <w:r w:rsidRPr="00CC3404">
        <w:rPr>
          <w:rFonts w:ascii="Times New Roman" w:hAnsi="Times New Roman" w:cs="Times New Roman"/>
        </w:rPr>
        <w:tab/>
      </w:r>
      <w:r w:rsidR="00D52A43" w:rsidRPr="00CC3404">
        <w:rPr>
          <w:rFonts w:ascii="Times New Roman" w:hAnsi="Times New Roman" w:cs="Times New Roman"/>
        </w:rPr>
        <w:t>The Secretariat continues to participate in both these cooperation arrangements, and its role and contributions are included in the Secretariat’s reports on activities pertaining to international cooperation and coordination</w:t>
      </w:r>
      <w:r w:rsidR="00D52A43" w:rsidRPr="00CC3404">
        <w:rPr>
          <w:rStyle w:val="FootnoteReference"/>
          <w:rFonts w:ascii="Times New Roman" w:hAnsi="Times New Roman" w:cs="Times New Roman"/>
        </w:rPr>
        <w:footnoteReference w:id="25"/>
      </w:r>
      <w:r w:rsidR="00D52A43" w:rsidRPr="00CC3404">
        <w:rPr>
          <w:rFonts w:ascii="Times New Roman" w:hAnsi="Times New Roman" w:cs="Times New Roman"/>
        </w:rPr>
        <w:t>. Accordingly, from the Secretariat’s perspective, they may be considered “partnerships”.</w:t>
      </w:r>
    </w:p>
    <w:p w14:paraId="066DA7CC" w14:textId="63DF2E5D" w:rsidR="00D52A43" w:rsidRPr="00CC3404" w:rsidRDefault="00022450" w:rsidP="005F46B6">
      <w:pPr>
        <w:pStyle w:val="Heading2"/>
        <w:rPr>
          <w:rFonts w:ascii="Times New Roman" w:hAnsi="Times New Roman" w:cs="Times New Roman"/>
          <w:color w:val="auto"/>
        </w:rPr>
      </w:pPr>
      <w:bookmarkStart w:id="20" w:name="_Toc531103777"/>
      <w:bookmarkStart w:id="21" w:name="_Hlk530480430"/>
      <w:r w:rsidRPr="00CC3404">
        <w:rPr>
          <w:rFonts w:ascii="Times New Roman" w:hAnsi="Times New Roman" w:cs="Times New Roman"/>
          <w:color w:val="auto"/>
        </w:rPr>
        <w:t xml:space="preserve">3.2 </w:t>
      </w:r>
      <w:r w:rsidR="005F46B6" w:rsidRPr="00CC3404">
        <w:rPr>
          <w:rFonts w:ascii="Times New Roman" w:hAnsi="Times New Roman" w:cs="Times New Roman"/>
          <w:color w:val="auto"/>
        </w:rPr>
        <w:tab/>
      </w:r>
      <w:r w:rsidR="00DB42A2" w:rsidRPr="003724EF">
        <w:rPr>
          <w:rFonts w:ascii="Times New Roman" w:hAnsi="Times New Roman" w:cs="Times New Roman"/>
          <w:b/>
          <w:bCs/>
          <w:color w:val="auto"/>
        </w:rPr>
        <w:t>The Strategic Approach to International Chemicals Management (SAICM)</w:t>
      </w:r>
      <w:bookmarkEnd w:id="20"/>
    </w:p>
    <w:p w14:paraId="47FAF718" w14:textId="273C8EA2" w:rsidR="00DB42A2" w:rsidRPr="00CC3404" w:rsidRDefault="00CC3404" w:rsidP="00AB64DD">
      <w:pPr>
        <w:autoSpaceDE w:val="0"/>
        <w:autoSpaceDN w:val="0"/>
        <w:adjustRightInd w:val="0"/>
        <w:spacing w:before="120" w:line="276" w:lineRule="auto"/>
        <w:jc w:val="both"/>
        <w:rPr>
          <w:rFonts w:ascii="Times New Roman" w:hAnsi="Times New Roman" w:cs="Times New Roman"/>
        </w:rPr>
      </w:pPr>
      <w:r w:rsidRPr="00CC3404">
        <w:rPr>
          <w:rFonts w:ascii="Times New Roman" w:hAnsi="Times New Roman" w:cs="Times New Roman"/>
        </w:rPr>
        <w:t>39.</w:t>
      </w:r>
      <w:r w:rsidRPr="00CC3404">
        <w:rPr>
          <w:rFonts w:ascii="Times New Roman" w:hAnsi="Times New Roman" w:cs="Times New Roman"/>
        </w:rPr>
        <w:tab/>
      </w:r>
      <w:r w:rsidR="00DB42A2" w:rsidRPr="00CC3404">
        <w:rPr>
          <w:rFonts w:ascii="Times New Roman" w:hAnsi="Times New Roman" w:cs="Times New Roman"/>
        </w:rPr>
        <w:t xml:space="preserve">SAICM is a voluntary global policy framework to promote the sustainable management of chemicals established in 2006 to address the chemicals </w:t>
      </w:r>
      <w:r w:rsidR="003A35E4" w:rsidRPr="00CC3404">
        <w:rPr>
          <w:rFonts w:ascii="Times New Roman" w:hAnsi="Times New Roman" w:cs="Times New Roman"/>
        </w:rPr>
        <w:t xml:space="preserve">target set out in the </w:t>
      </w:r>
      <w:r w:rsidR="00DB42A2" w:rsidRPr="00CC3404">
        <w:rPr>
          <w:rFonts w:ascii="Times New Roman" w:hAnsi="Times New Roman" w:cs="Times New Roman"/>
        </w:rPr>
        <w:t xml:space="preserve">2002 Johannesburg </w:t>
      </w:r>
      <w:r w:rsidR="003A35E4" w:rsidRPr="00CC3404">
        <w:rPr>
          <w:rFonts w:ascii="Times New Roman" w:hAnsi="Times New Roman" w:cs="Times New Roman"/>
        </w:rPr>
        <w:t xml:space="preserve">Plan of Implementation. </w:t>
      </w:r>
      <w:r w:rsidR="00DB42A2" w:rsidRPr="00CC3404">
        <w:rPr>
          <w:rFonts w:ascii="Times New Roman" w:hAnsi="Times New Roman" w:cs="Times New Roman"/>
        </w:rPr>
        <w:t>Its fundamental policy documents are the Dubai Declaration</w:t>
      </w:r>
      <w:r w:rsidR="003A35E4" w:rsidRPr="00CC3404">
        <w:rPr>
          <w:rFonts w:ascii="Times New Roman" w:hAnsi="Times New Roman" w:cs="Times New Roman"/>
        </w:rPr>
        <w:t>,</w:t>
      </w:r>
      <w:r w:rsidR="00DB42A2" w:rsidRPr="00CC3404">
        <w:rPr>
          <w:rFonts w:ascii="Times New Roman" w:hAnsi="Times New Roman" w:cs="Times New Roman"/>
        </w:rPr>
        <w:t xml:space="preserve"> </w:t>
      </w:r>
      <w:r w:rsidR="00CD372E" w:rsidRPr="00CC3404">
        <w:rPr>
          <w:rFonts w:ascii="Times New Roman" w:hAnsi="Times New Roman" w:cs="Times New Roman"/>
        </w:rPr>
        <w:t xml:space="preserve">which </w:t>
      </w:r>
      <w:r w:rsidR="00DB42A2" w:rsidRPr="00CC3404">
        <w:rPr>
          <w:rFonts w:ascii="Times New Roman" w:hAnsi="Times New Roman" w:cs="Times New Roman"/>
        </w:rPr>
        <w:t>embod</w:t>
      </w:r>
      <w:r w:rsidR="00CD372E" w:rsidRPr="00CC3404">
        <w:rPr>
          <w:rFonts w:ascii="Times New Roman" w:hAnsi="Times New Roman" w:cs="Times New Roman"/>
        </w:rPr>
        <w:t>ies</w:t>
      </w:r>
      <w:r w:rsidR="00DB42A2" w:rsidRPr="00CC3404">
        <w:rPr>
          <w:rFonts w:ascii="Times New Roman" w:hAnsi="Times New Roman" w:cs="Times New Roman"/>
        </w:rPr>
        <w:t xml:space="preserve"> high-level policy support</w:t>
      </w:r>
      <w:r w:rsidR="009F7EA5" w:rsidRPr="00CC3404">
        <w:rPr>
          <w:rFonts w:ascii="Times New Roman" w:hAnsi="Times New Roman" w:cs="Times New Roman"/>
        </w:rPr>
        <w:t xml:space="preserve"> </w:t>
      </w:r>
      <w:r w:rsidR="00DB42A2" w:rsidRPr="00CC3404">
        <w:rPr>
          <w:rFonts w:ascii="Times New Roman" w:hAnsi="Times New Roman" w:cs="Times New Roman"/>
        </w:rPr>
        <w:t>for the mechanisms</w:t>
      </w:r>
      <w:r w:rsidR="009F7EA5" w:rsidRPr="00CC3404">
        <w:rPr>
          <w:rFonts w:ascii="Times New Roman" w:hAnsi="Times New Roman" w:cs="Times New Roman"/>
        </w:rPr>
        <w:t xml:space="preserve">, </w:t>
      </w:r>
      <w:r w:rsidR="00DB42A2" w:rsidRPr="00CC3404">
        <w:rPr>
          <w:rFonts w:ascii="Times New Roman" w:hAnsi="Times New Roman" w:cs="Times New Roman"/>
        </w:rPr>
        <w:t>and the Overarching Policy Strategy</w:t>
      </w:r>
      <w:r w:rsidR="003A35E4" w:rsidRPr="00CC3404">
        <w:rPr>
          <w:rFonts w:ascii="Times New Roman" w:hAnsi="Times New Roman" w:cs="Times New Roman"/>
        </w:rPr>
        <w:t>,</w:t>
      </w:r>
      <w:r w:rsidR="00DB42A2" w:rsidRPr="00CC3404">
        <w:rPr>
          <w:rFonts w:ascii="Times New Roman" w:hAnsi="Times New Roman" w:cs="Times New Roman"/>
        </w:rPr>
        <w:t xml:space="preserve"> setting out key policy </w:t>
      </w:r>
      <w:r w:rsidR="00DB42A2" w:rsidRPr="00CC3404">
        <w:rPr>
          <w:rFonts w:ascii="Times New Roman" w:hAnsi="Times New Roman" w:cs="Times New Roman"/>
        </w:rPr>
        <w:lastRenderedPageBreak/>
        <w:t>elements. The Global Plan of Action serves as a tool and guidance document for implementation by stakeholders</w:t>
      </w:r>
      <w:r w:rsidR="009F7EA5" w:rsidRPr="00CC3404">
        <w:rPr>
          <w:rFonts w:ascii="Times New Roman" w:hAnsi="Times New Roman" w:cs="Times New Roman"/>
        </w:rPr>
        <w:t xml:space="preserve">, </w:t>
      </w:r>
      <w:r w:rsidR="005B23B1" w:rsidRPr="00CC3404">
        <w:rPr>
          <w:rFonts w:ascii="Times New Roman" w:hAnsi="Times New Roman" w:cs="Times New Roman"/>
        </w:rPr>
        <w:t xml:space="preserve">which </w:t>
      </w:r>
      <w:r w:rsidR="009F7EA5" w:rsidRPr="00CC3404">
        <w:rPr>
          <w:rFonts w:ascii="Times New Roman" w:hAnsi="Times New Roman" w:cs="Times New Roman"/>
        </w:rPr>
        <w:t>includ</w:t>
      </w:r>
      <w:r w:rsidR="005B23B1" w:rsidRPr="00CC3404">
        <w:rPr>
          <w:rFonts w:ascii="Times New Roman" w:hAnsi="Times New Roman" w:cs="Times New Roman"/>
        </w:rPr>
        <w:t xml:space="preserve">e the majority of </w:t>
      </w:r>
      <w:r w:rsidR="009F7EA5" w:rsidRPr="00CC3404">
        <w:rPr>
          <w:rFonts w:ascii="Times New Roman" w:hAnsi="Times New Roman" w:cs="Times New Roman"/>
        </w:rPr>
        <w:t xml:space="preserve">governments, </w:t>
      </w:r>
      <w:r w:rsidR="005B23B1" w:rsidRPr="00CC3404">
        <w:rPr>
          <w:rFonts w:ascii="Times New Roman" w:hAnsi="Times New Roman" w:cs="Times New Roman"/>
        </w:rPr>
        <w:t>as well as</w:t>
      </w:r>
      <w:r w:rsidR="00CD372E" w:rsidRPr="00CC3404">
        <w:rPr>
          <w:rFonts w:ascii="Times New Roman" w:hAnsi="Times New Roman" w:cs="Times New Roman"/>
        </w:rPr>
        <w:t xml:space="preserve"> nine</w:t>
      </w:r>
      <w:r w:rsidR="005B23B1" w:rsidRPr="00CC3404">
        <w:rPr>
          <w:rFonts w:ascii="Times New Roman" w:hAnsi="Times New Roman" w:cs="Times New Roman"/>
        </w:rPr>
        <w:t xml:space="preserve"> </w:t>
      </w:r>
      <w:r w:rsidR="009F7EA5" w:rsidRPr="00CC3404">
        <w:rPr>
          <w:rFonts w:ascii="Times New Roman" w:hAnsi="Times New Roman" w:cs="Times New Roman"/>
        </w:rPr>
        <w:t>international organizations</w:t>
      </w:r>
      <w:r w:rsidR="00CD372E" w:rsidRPr="00CC3404">
        <w:rPr>
          <w:rStyle w:val="FootnoteReference"/>
          <w:rFonts w:ascii="Times New Roman" w:hAnsi="Times New Roman" w:cs="Times New Roman"/>
        </w:rPr>
        <w:footnoteReference w:id="26"/>
      </w:r>
      <w:r w:rsidR="009F7EA5" w:rsidRPr="00CC3404">
        <w:rPr>
          <w:rFonts w:ascii="Times New Roman" w:hAnsi="Times New Roman" w:cs="Times New Roman"/>
        </w:rPr>
        <w:t xml:space="preserve"> and </w:t>
      </w:r>
      <w:r w:rsidR="00CD372E" w:rsidRPr="00CC3404">
        <w:rPr>
          <w:rFonts w:ascii="Times New Roman" w:hAnsi="Times New Roman" w:cs="Times New Roman"/>
        </w:rPr>
        <w:t xml:space="preserve">numerous </w:t>
      </w:r>
      <w:r w:rsidR="009F7EA5" w:rsidRPr="00CC3404">
        <w:rPr>
          <w:rFonts w:ascii="Times New Roman" w:hAnsi="Times New Roman" w:cs="Times New Roman"/>
        </w:rPr>
        <w:t xml:space="preserve">non-governmental organizations. </w:t>
      </w:r>
      <w:r w:rsidR="009A4F9B" w:rsidRPr="00CC3404">
        <w:rPr>
          <w:rFonts w:ascii="Times New Roman" w:hAnsi="Times New Roman" w:cs="Times New Roman"/>
        </w:rPr>
        <w:t xml:space="preserve">The scope of SAICM includes chemicals at all stages of their life cycle, including in products, and its main objectives are risk reduction; knowledge and information; governance; capacity building and technical cooperation; and illegal international traffic. </w:t>
      </w:r>
      <w:r w:rsidR="005B23B1" w:rsidRPr="00CC3404">
        <w:rPr>
          <w:rFonts w:ascii="Times New Roman" w:hAnsi="Times New Roman" w:cs="Times New Roman"/>
        </w:rPr>
        <w:t xml:space="preserve">The </w:t>
      </w:r>
      <w:r w:rsidR="00CD372E" w:rsidRPr="00CC3404">
        <w:rPr>
          <w:rFonts w:ascii="Times New Roman" w:hAnsi="Times New Roman" w:cs="Times New Roman"/>
        </w:rPr>
        <w:t xml:space="preserve">SAICM </w:t>
      </w:r>
      <w:r w:rsidR="005B23B1" w:rsidRPr="00CC3404">
        <w:rPr>
          <w:rFonts w:ascii="Times New Roman" w:hAnsi="Times New Roman" w:cs="Times New Roman"/>
        </w:rPr>
        <w:t xml:space="preserve">secretariat is hosted by UNEP. </w:t>
      </w:r>
      <w:r w:rsidR="009F7EA5" w:rsidRPr="00CC3404">
        <w:rPr>
          <w:rFonts w:ascii="Times New Roman" w:hAnsi="Times New Roman" w:cs="Times New Roman"/>
        </w:rPr>
        <w:t>The International Conference on Chemicals Management (ICCM) undertakes periodic reviews of SAICM.</w:t>
      </w:r>
      <w:r w:rsidR="005B23B1" w:rsidRPr="00CC3404">
        <w:rPr>
          <w:rStyle w:val="FootnoteReference"/>
          <w:rFonts w:ascii="Times New Roman" w:hAnsi="Times New Roman" w:cs="Times New Roman"/>
        </w:rPr>
        <w:footnoteReference w:id="27"/>
      </w:r>
      <w:r w:rsidR="005B23B1" w:rsidRPr="00CC3404">
        <w:rPr>
          <w:rFonts w:ascii="Times New Roman" w:hAnsi="Times New Roman" w:cs="Times New Roman"/>
        </w:rPr>
        <w:t xml:space="preserve">.  </w:t>
      </w:r>
      <w:r w:rsidR="00DB42A2" w:rsidRPr="00CC3404">
        <w:rPr>
          <w:rFonts w:ascii="Times New Roman" w:hAnsi="Times New Roman" w:cs="Times New Roman"/>
        </w:rPr>
        <w:t xml:space="preserve">Pursuant to the relevant decisions by the COPs to the Basel, Rotterdam and Stockholm Conventions, </w:t>
      </w:r>
      <w:r w:rsidR="00983021" w:rsidRPr="00CC3404">
        <w:rPr>
          <w:rFonts w:ascii="Times New Roman" w:hAnsi="Times New Roman" w:cs="Times New Roman"/>
        </w:rPr>
        <w:t xml:space="preserve">the </w:t>
      </w:r>
      <w:r w:rsidR="00DB42A2" w:rsidRPr="00CC3404">
        <w:rPr>
          <w:rFonts w:ascii="Times New Roman" w:hAnsi="Times New Roman" w:cs="Times New Roman"/>
        </w:rPr>
        <w:t xml:space="preserve">Secretariat </w:t>
      </w:r>
      <w:r w:rsidR="005B23B1" w:rsidRPr="00CC3404">
        <w:rPr>
          <w:rFonts w:ascii="Times New Roman" w:hAnsi="Times New Roman" w:cs="Times New Roman"/>
        </w:rPr>
        <w:t xml:space="preserve">cooperates with </w:t>
      </w:r>
      <w:r w:rsidR="00DB42A2" w:rsidRPr="00CC3404">
        <w:rPr>
          <w:rFonts w:ascii="Times New Roman" w:hAnsi="Times New Roman" w:cs="Times New Roman"/>
        </w:rPr>
        <w:t>SAICM</w:t>
      </w:r>
      <w:r w:rsidR="00983021" w:rsidRPr="00CC3404">
        <w:rPr>
          <w:rFonts w:ascii="Times New Roman" w:hAnsi="Times New Roman" w:cs="Times New Roman"/>
        </w:rPr>
        <w:t xml:space="preserve">, providing </w:t>
      </w:r>
      <w:r w:rsidR="00DB42A2" w:rsidRPr="00CC3404">
        <w:rPr>
          <w:rFonts w:ascii="Times New Roman" w:hAnsi="Times New Roman" w:cs="Times New Roman"/>
        </w:rPr>
        <w:t xml:space="preserve">inputs, as appropriate, on issues related to the life cycle of electrical and electronic products, on chemicals in products, and on </w:t>
      </w:r>
      <w:proofErr w:type="spellStart"/>
      <w:r w:rsidR="00DB42A2" w:rsidRPr="00CC3404">
        <w:rPr>
          <w:rFonts w:ascii="Times New Roman" w:hAnsi="Times New Roman" w:cs="Times New Roman"/>
        </w:rPr>
        <w:t>perfluorinated</w:t>
      </w:r>
      <w:proofErr w:type="spellEnd"/>
      <w:r w:rsidR="00DB42A2" w:rsidRPr="00CC3404">
        <w:rPr>
          <w:rFonts w:ascii="Times New Roman" w:hAnsi="Times New Roman" w:cs="Times New Roman"/>
        </w:rPr>
        <w:t xml:space="preserve"> chemicals (PFCs) and the transition to safer alternatives</w:t>
      </w:r>
      <w:r w:rsidR="005B23B1" w:rsidRPr="00CC3404">
        <w:rPr>
          <w:vertAlign w:val="superscript"/>
        </w:rPr>
        <w:footnoteReference w:id="28"/>
      </w:r>
      <w:r w:rsidR="005B23B1" w:rsidRPr="00CC3404">
        <w:rPr>
          <w:rFonts w:ascii="Times New Roman" w:hAnsi="Times New Roman" w:cs="Times New Roman"/>
        </w:rPr>
        <w:t>.</w:t>
      </w:r>
      <w:r w:rsidR="00983021" w:rsidRPr="00CC3404">
        <w:rPr>
          <w:rFonts w:ascii="Times New Roman" w:hAnsi="Times New Roman" w:cs="Times New Roman"/>
        </w:rPr>
        <w:t xml:space="preserve"> Compared to other   multi</w:t>
      </w:r>
      <w:r w:rsidR="00A803EC" w:rsidRPr="00CC3404">
        <w:rPr>
          <w:rFonts w:ascii="Times New Roman" w:hAnsi="Times New Roman" w:cs="Times New Roman"/>
        </w:rPr>
        <w:t>-</w:t>
      </w:r>
      <w:r w:rsidR="00983021" w:rsidRPr="00CC3404">
        <w:rPr>
          <w:rFonts w:ascii="Times New Roman" w:hAnsi="Times New Roman" w:cs="Times New Roman"/>
        </w:rPr>
        <w:t xml:space="preserve">stakeholder platforms, </w:t>
      </w:r>
      <w:r w:rsidR="005B23B1" w:rsidRPr="00CC3404">
        <w:rPr>
          <w:rFonts w:ascii="Times New Roman" w:hAnsi="Times New Roman" w:cs="Times New Roman"/>
        </w:rPr>
        <w:t xml:space="preserve">SAICM </w:t>
      </w:r>
      <w:r w:rsidR="00983021" w:rsidRPr="00CC3404">
        <w:rPr>
          <w:rFonts w:ascii="Times New Roman" w:hAnsi="Times New Roman" w:cs="Times New Roman"/>
        </w:rPr>
        <w:t xml:space="preserve">has the advantages of </w:t>
      </w:r>
      <w:r w:rsidR="005B23B1" w:rsidRPr="00CC3404">
        <w:rPr>
          <w:rFonts w:ascii="Times New Roman" w:hAnsi="Times New Roman" w:cs="Times New Roman"/>
        </w:rPr>
        <w:t>address</w:t>
      </w:r>
      <w:r w:rsidR="00983021" w:rsidRPr="00CC3404">
        <w:rPr>
          <w:rFonts w:ascii="Times New Roman" w:hAnsi="Times New Roman" w:cs="Times New Roman"/>
        </w:rPr>
        <w:t>ing</w:t>
      </w:r>
      <w:r w:rsidR="005B23B1" w:rsidRPr="00CC3404">
        <w:rPr>
          <w:rFonts w:ascii="Times New Roman" w:hAnsi="Times New Roman" w:cs="Times New Roman"/>
        </w:rPr>
        <w:t xml:space="preserve"> the entire life cycle of </w:t>
      </w:r>
      <w:r w:rsidR="00AC29D6" w:rsidRPr="00CC3404">
        <w:rPr>
          <w:rFonts w:ascii="Times New Roman" w:hAnsi="Times New Roman" w:cs="Times New Roman"/>
        </w:rPr>
        <w:t>chemicals</w:t>
      </w:r>
      <w:r w:rsidR="00983021" w:rsidRPr="00CC3404">
        <w:rPr>
          <w:rFonts w:ascii="Times New Roman" w:hAnsi="Times New Roman" w:cs="Times New Roman"/>
        </w:rPr>
        <w:t xml:space="preserve">, as well as a </w:t>
      </w:r>
      <w:r w:rsidR="005B23B1" w:rsidRPr="00CC3404">
        <w:rPr>
          <w:rFonts w:ascii="Times New Roman" w:hAnsi="Times New Roman" w:cs="Times New Roman"/>
        </w:rPr>
        <w:t xml:space="preserve">very broad </w:t>
      </w:r>
      <w:r w:rsidR="00983021" w:rsidRPr="00CC3404">
        <w:rPr>
          <w:rFonts w:ascii="Times New Roman" w:hAnsi="Times New Roman" w:cs="Times New Roman"/>
        </w:rPr>
        <w:t>stakeholder base</w:t>
      </w:r>
      <w:r w:rsidR="00AC29D6" w:rsidRPr="00CC3404">
        <w:rPr>
          <w:rFonts w:ascii="Times New Roman" w:hAnsi="Times New Roman" w:cs="Times New Roman"/>
        </w:rPr>
        <w:t>. Its implementation is somewhat impeded by</w:t>
      </w:r>
      <w:r w:rsidR="0061567F" w:rsidRPr="00CC3404">
        <w:rPr>
          <w:rFonts w:ascii="Times New Roman" w:hAnsi="Times New Roman" w:cs="Times New Roman"/>
        </w:rPr>
        <w:t xml:space="preserve"> its</w:t>
      </w:r>
      <w:r w:rsidR="00AC29D6" w:rsidRPr="00CC3404">
        <w:rPr>
          <w:rFonts w:ascii="Times New Roman" w:hAnsi="Times New Roman" w:cs="Times New Roman"/>
        </w:rPr>
        <w:t xml:space="preserve"> purely voluntary nature and</w:t>
      </w:r>
      <w:r w:rsidR="00983021" w:rsidRPr="00CC3404">
        <w:rPr>
          <w:rFonts w:ascii="Times New Roman" w:hAnsi="Times New Roman" w:cs="Times New Roman"/>
        </w:rPr>
        <w:t xml:space="preserve"> the</w:t>
      </w:r>
      <w:r w:rsidR="00AC29D6" w:rsidRPr="00CC3404">
        <w:rPr>
          <w:rFonts w:ascii="Times New Roman" w:hAnsi="Times New Roman" w:cs="Times New Roman"/>
        </w:rPr>
        <w:t xml:space="preserve"> lack of predictable funding.</w:t>
      </w:r>
      <w:bookmarkEnd w:id="21"/>
      <w:r w:rsidR="00AC29D6" w:rsidRPr="00CC3404">
        <w:rPr>
          <w:rFonts w:ascii="Times New Roman" w:hAnsi="Times New Roman" w:cs="Times New Roman"/>
        </w:rPr>
        <w:t xml:space="preserve"> </w:t>
      </w:r>
    </w:p>
    <w:p w14:paraId="4E4DFA9B" w14:textId="44900773" w:rsidR="00FF3D3C" w:rsidRPr="00CC3404" w:rsidRDefault="005F46B6" w:rsidP="005F46B6">
      <w:pPr>
        <w:pStyle w:val="Heading1"/>
        <w:spacing w:after="240"/>
        <w:rPr>
          <w:rFonts w:ascii="Times New Roman" w:hAnsi="Times New Roman" w:cs="Times New Roman"/>
          <w:color w:val="auto"/>
        </w:rPr>
      </w:pPr>
      <w:bookmarkStart w:id="22" w:name="_Toc531103778"/>
      <w:r w:rsidRPr="00CC3404">
        <w:rPr>
          <w:rFonts w:ascii="Times New Roman" w:hAnsi="Times New Roman" w:cs="Times New Roman"/>
          <w:color w:val="auto"/>
        </w:rPr>
        <w:t>4.</w:t>
      </w:r>
      <w:r w:rsidRPr="00CC3404">
        <w:rPr>
          <w:rFonts w:ascii="Times New Roman" w:hAnsi="Times New Roman" w:cs="Times New Roman"/>
          <w:color w:val="auto"/>
        </w:rPr>
        <w:tab/>
      </w:r>
      <w:r w:rsidR="00FF3D3C" w:rsidRPr="003724EF">
        <w:rPr>
          <w:rFonts w:ascii="Times New Roman" w:hAnsi="Times New Roman" w:cs="Times New Roman"/>
          <w:b/>
          <w:bCs/>
          <w:color w:val="auto"/>
        </w:rPr>
        <w:t xml:space="preserve">Partnerships and similar cooperation arrangements </w:t>
      </w:r>
      <w:r w:rsidR="00851C1A" w:rsidRPr="003724EF">
        <w:rPr>
          <w:rFonts w:ascii="Times New Roman" w:hAnsi="Times New Roman" w:cs="Times New Roman"/>
          <w:b/>
          <w:bCs/>
          <w:color w:val="auto"/>
        </w:rPr>
        <w:t xml:space="preserve">in </w:t>
      </w:r>
      <w:r w:rsidR="00A1468D" w:rsidRPr="003724EF">
        <w:rPr>
          <w:rFonts w:ascii="Times New Roman" w:hAnsi="Times New Roman" w:cs="Times New Roman"/>
          <w:b/>
          <w:bCs/>
          <w:color w:val="auto"/>
        </w:rPr>
        <w:t>the UN system: Definitions and guid</w:t>
      </w:r>
      <w:r w:rsidR="006720C0" w:rsidRPr="003724EF">
        <w:rPr>
          <w:rFonts w:ascii="Times New Roman" w:hAnsi="Times New Roman" w:cs="Times New Roman"/>
          <w:b/>
          <w:bCs/>
          <w:color w:val="auto"/>
        </w:rPr>
        <w:t>ance</w:t>
      </w:r>
      <w:bookmarkEnd w:id="22"/>
      <w:r w:rsidR="00851C1A" w:rsidRPr="00CC3404">
        <w:rPr>
          <w:rFonts w:ascii="Times New Roman" w:hAnsi="Times New Roman" w:cs="Times New Roman"/>
          <w:color w:val="auto"/>
        </w:rPr>
        <w:t xml:space="preserve"> </w:t>
      </w:r>
    </w:p>
    <w:p w14:paraId="13293421" w14:textId="63E38902" w:rsidR="007603EC" w:rsidRPr="00CC3404" w:rsidRDefault="00CC3404" w:rsidP="00AB64DD">
      <w:pPr>
        <w:spacing w:before="120"/>
        <w:jc w:val="both"/>
        <w:rPr>
          <w:rFonts w:ascii="Times New Roman" w:hAnsi="Times New Roman" w:cs="Times New Roman"/>
        </w:rPr>
      </w:pPr>
      <w:r w:rsidRPr="00CC3404">
        <w:rPr>
          <w:rFonts w:ascii="Times New Roman" w:hAnsi="Times New Roman" w:cs="Times New Roman"/>
        </w:rPr>
        <w:t>40.</w:t>
      </w:r>
      <w:r w:rsidRPr="00CC3404">
        <w:rPr>
          <w:rFonts w:ascii="Times New Roman" w:hAnsi="Times New Roman" w:cs="Times New Roman"/>
        </w:rPr>
        <w:tab/>
      </w:r>
      <w:r w:rsidR="00335848" w:rsidRPr="00CC3404">
        <w:rPr>
          <w:rFonts w:ascii="Times New Roman" w:hAnsi="Times New Roman" w:cs="Times New Roman"/>
        </w:rPr>
        <w:t xml:space="preserve">The experiences of other organizations with </w:t>
      </w:r>
      <w:r w:rsidR="007603EC" w:rsidRPr="00CC3404">
        <w:rPr>
          <w:rFonts w:ascii="Times New Roman" w:hAnsi="Times New Roman" w:cs="Times New Roman"/>
        </w:rPr>
        <w:t>partnerships and similar cooperation arrangements</w:t>
      </w:r>
      <w:r w:rsidR="00335848" w:rsidRPr="00CC3404">
        <w:rPr>
          <w:rFonts w:ascii="Times New Roman" w:hAnsi="Times New Roman" w:cs="Times New Roman"/>
        </w:rPr>
        <w:t xml:space="preserve"> may be helpful for determining the future directions regarding “Partnerships” and “partnerships” under the Basel Convention, particularly as </w:t>
      </w:r>
      <w:r w:rsidR="00A84F12" w:rsidRPr="00CC3404">
        <w:rPr>
          <w:rFonts w:ascii="Times New Roman" w:hAnsi="Times New Roman" w:cs="Times New Roman"/>
        </w:rPr>
        <w:t>such</w:t>
      </w:r>
      <w:r w:rsidR="00335848" w:rsidRPr="00CC3404">
        <w:rPr>
          <w:rFonts w:ascii="Times New Roman" w:hAnsi="Times New Roman" w:cs="Times New Roman"/>
        </w:rPr>
        <w:t xml:space="preserve"> experiences relate to efforts to benefit from the advantages of such arrangements while containing the inherent risks. </w:t>
      </w:r>
    </w:p>
    <w:p w14:paraId="32CADE5B" w14:textId="23BB1D5C" w:rsidR="00FF3D3C" w:rsidRPr="003724EF" w:rsidRDefault="008E5E78" w:rsidP="00AB64DD">
      <w:pPr>
        <w:pStyle w:val="Heading2"/>
        <w:rPr>
          <w:rFonts w:ascii="Times New Roman" w:hAnsi="Times New Roman" w:cs="Times New Roman"/>
          <w:b/>
          <w:bCs/>
          <w:color w:val="auto"/>
        </w:rPr>
      </w:pPr>
      <w:bookmarkStart w:id="23" w:name="_Toc531103779"/>
      <w:r w:rsidRPr="00CC3404">
        <w:rPr>
          <w:rFonts w:ascii="Times New Roman" w:hAnsi="Times New Roman" w:cs="Times New Roman"/>
          <w:color w:val="auto"/>
        </w:rPr>
        <w:t xml:space="preserve">4.1 </w:t>
      </w:r>
      <w:r w:rsidR="005F46B6" w:rsidRPr="00CC3404">
        <w:rPr>
          <w:rFonts w:ascii="Times New Roman" w:hAnsi="Times New Roman" w:cs="Times New Roman"/>
          <w:color w:val="auto"/>
        </w:rPr>
        <w:tab/>
      </w:r>
      <w:r w:rsidR="00FF3D3C" w:rsidRPr="003724EF">
        <w:rPr>
          <w:rFonts w:ascii="Times New Roman" w:hAnsi="Times New Roman" w:cs="Times New Roman"/>
          <w:b/>
          <w:bCs/>
          <w:color w:val="auto"/>
        </w:rPr>
        <w:t>Definitions of partnerships</w:t>
      </w:r>
      <w:bookmarkEnd w:id="23"/>
      <w:r w:rsidR="00FF3D3C" w:rsidRPr="003724EF">
        <w:rPr>
          <w:rFonts w:ascii="Times New Roman" w:hAnsi="Times New Roman" w:cs="Times New Roman"/>
          <w:b/>
          <w:bCs/>
          <w:color w:val="auto"/>
        </w:rPr>
        <w:t xml:space="preserve"> </w:t>
      </w:r>
    </w:p>
    <w:p w14:paraId="2BC12286" w14:textId="692763F5" w:rsidR="00FF3D3C" w:rsidRPr="00CC3404" w:rsidRDefault="00CC3404" w:rsidP="00AB64DD">
      <w:pPr>
        <w:spacing w:before="120"/>
        <w:jc w:val="both"/>
        <w:rPr>
          <w:rFonts w:ascii="Times New Roman" w:hAnsi="Times New Roman" w:cs="Times New Roman"/>
        </w:rPr>
      </w:pPr>
      <w:r w:rsidRPr="00CC3404">
        <w:rPr>
          <w:rFonts w:ascii="Times New Roman" w:hAnsi="Times New Roman" w:cs="Times New Roman"/>
        </w:rPr>
        <w:t>41.</w:t>
      </w:r>
      <w:r w:rsidRPr="00CC3404">
        <w:rPr>
          <w:rFonts w:ascii="Times New Roman" w:hAnsi="Times New Roman" w:cs="Times New Roman"/>
        </w:rPr>
        <w:tab/>
      </w:r>
      <w:r w:rsidR="00FF3D3C" w:rsidRPr="00CC3404">
        <w:rPr>
          <w:rFonts w:ascii="Times New Roman" w:hAnsi="Times New Roman" w:cs="Times New Roman"/>
        </w:rPr>
        <w:t>In the UN system, the term “partnership” is widely used, but there is no universally recognized definition. The UN General Assembly in 2005 endorsed the following definition: “Partnerships are voluntary and collaborative relationships between various parties, both public and non-public, in which all participants agree to work together to achieve a common purpose or undertake a specific task and, as mutually agreed, to share risks and responsibilities, resources and benefits”</w:t>
      </w:r>
      <w:r w:rsidR="00FF3D3C" w:rsidRPr="00CC3404">
        <w:rPr>
          <w:vertAlign w:val="superscript"/>
        </w:rPr>
        <w:footnoteReference w:id="29"/>
      </w:r>
      <w:r w:rsidR="00FF3D3C" w:rsidRPr="00CC3404">
        <w:rPr>
          <w:rFonts w:ascii="Times New Roman" w:hAnsi="Times New Roman" w:cs="Times New Roman"/>
        </w:rPr>
        <w:t>. This definition is not specific in terms of the role of the partners and the expected outcome of the partnerships. UN Specialized Agencies and Programmes use definitions based on the UN definition and adapted for their specific purposes</w:t>
      </w:r>
      <w:r w:rsidR="00607D87" w:rsidRPr="00CC3404">
        <w:rPr>
          <w:rFonts w:ascii="Times New Roman" w:hAnsi="Times New Roman" w:cs="Times New Roman"/>
        </w:rPr>
        <w:t>, often</w:t>
      </w:r>
      <w:r w:rsidR="00FF3D3C" w:rsidRPr="00CC3404">
        <w:rPr>
          <w:rFonts w:ascii="Times New Roman" w:hAnsi="Times New Roman" w:cs="Times New Roman"/>
        </w:rPr>
        <w:t xml:space="preserve"> differentiating between different categories of partnerships based on the roles of the partners and the outcomes of the cooperation. The term “public-private partnership” is also used, although in many contexts referring to an arrangement between a government entity and a private party to provide a public asset or service</w:t>
      </w:r>
      <w:r w:rsidR="00FF3D3C" w:rsidRPr="00CC3404">
        <w:rPr>
          <w:rStyle w:val="FootnoteReference"/>
          <w:rFonts w:ascii="Times New Roman" w:hAnsi="Times New Roman" w:cs="Times New Roman"/>
        </w:rPr>
        <w:footnoteReference w:id="30"/>
      </w:r>
      <w:r w:rsidR="00FF3D3C" w:rsidRPr="00CC3404">
        <w:rPr>
          <w:rFonts w:ascii="Times New Roman" w:hAnsi="Times New Roman" w:cs="Times New Roman"/>
        </w:rPr>
        <w:t xml:space="preserve">.  </w:t>
      </w:r>
    </w:p>
    <w:p w14:paraId="27F5D2FA" w14:textId="1ABEE337" w:rsidR="007856B7" w:rsidRPr="00CC3404" w:rsidRDefault="00CC3404" w:rsidP="00AB64DD">
      <w:pPr>
        <w:jc w:val="both"/>
        <w:rPr>
          <w:rFonts w:ascii="Times New Roman" w:hAnsi="Times New Roman" w:cs="Times New Roman"/>
        </w:rPr>
      </w:pPr>
      <w:r w:rsidRPr="00CC3404">
        <w:rPr>
          <w:rFonts w:ascii="Times New Roman" w:hAnsi="Times New Roman" w:cs="Times New Roman"/>
        </w:rPr>
        <w:t>42.</w:t>
      </w:r>
      <w:r w:rsidRPr="00CC3404">
        <w:rPr>
          <w:rFonts w:ascii="Times New Roman" w:hAnsi="Times New Roman" w:cs="Times New Roman"/>
        </w:rPr>
        <w:tab/>
      </w:r>
      <w:r w:rsidR="00FF3D3C" w:rsidRPr="00CC3404">
        <w:rPr>
          <w:rFonts w:ascii="Times New Roman" w:hAnsi="Times New Roman" w:cs="Times New Roman"/>
        </w:rPr>
        <w:t xml:space="preserve">The terms “private sector”, “business sector” and “corporate sector” are equally widely used in international policy. According to the UN Guidelines on a Principle Based Approach to the Cooperation between the United Nations and the Business Sector, “The business sector [are] either for-profit, and commercial enterprises or businesses; or business associations and coalitions (cross-industry, multi-issue groups; cross industry, issue-specific initiatives; industry-focused initiative); including but not limited to corporate philanthropic foundations”. The Guidelines also feature a definition of a partnership </w:t>
      </w:r>
      <w:r w:rsidR="00FF3D3C" w:rsidRPr="00CC3404">
        <w:rPr>
          <w:rFonts w:ascii="Times New Roman" w:hAnsi="Times New Roman" w:cs="Times New Roman"/>
        </w:rPr>
        <w:lastRenderedPageBreak/>
        <w:t>with the business sector</w:t>
      </w:r>
      <w:r w:rsidR="00FF3D3C" w:rsidRPr="00CC3404">
        <w:rPr>
          <w:vertAlign w:val="superscript"/>
        </w:rPr>
        <w:footnoteReference w:id="31"/>
      </w:r>
      <w:r w:rsidR="00FF3D3C" w:rsidRPr="00CC3404">
        <w:rPr>
          <w:rFonts w:ascii="Times New Roman" w:hAnsi="Times New Roman" w:cs="Times New Roman"/>
        </w:rPr>
        <w:t>. The definitions used by UN Specialized Agencies and Programmes build on or refer to this definition, with adaptations to their specific purposes</w:t>
      </w:r>
      <w:r w:rsidR="007420C3" w:rsidRPr="00CC3404">
        <w:rPr>
          <w:rFonts w:ascii="Times New Roman" w:hAnsi="Times New Roman" w:cs="Times New Roman"/>
        </w:rPr>
        <w:t>.</w:t>
      </w:r>
      <w:r w:rsidR="00FF3D3C" w:rsidRPr="00CC3404">
        <w:rPr>
          <w:rFonts w:ascii="Times New Roman" w:hAnsi="Times New Roman" w:cs="Times New Roman"/>
        </w:rPr>
        <w:t xml:space="preserve"> </w:t>
      </w:r>
    </w:p>
    <w:p w14:paraId="2114D421" w14:textId="4EAD27DD" w:rsidR="007420C3" w:rsidRPr="003724EF" w:rsidRDefault="008E5E78" w:rsidP="00AB64DD">
      <w:pPr>
        <w:pStyle w:val="Heading2"/>
        <w:rPr>
          <w:rFonts w:ascii="Times New Roman" w:hAnsi="Times New Roman" w:cs="Times New Roman"/>
          <w:b/>
          <w:bCs/>
          <w:color w:val="auto"/>
        </w:rPr>
      </w:pPr>
      <w:bookmarkStart w:id="24" w:name="_Toc531103780"/>
      <w:r w:rsidRPr="00CC3404">
        <w:rPr>
          <w:rFonts w:ascii="Times New Roman" w:hAnsi="Times New Roman" w:cs="Times New Roman"/>
          <w:color w:val="auto"/>
        </w:rPr>
        <w:t xml:space="preserve">4.2 </w:t>
      </w:r>
      <w:r w:rsidR="005F46B6" w:rsidRPr="00CC3404">
        <w:rPr>
          <w:rFonts w:ascii="Times New Roman" w:hAnsi="Times New Roman" w:cs="Times New Roman"/>
          <w:color w:val="auto"/>
        </w:rPr>
        <w:tab/>
      </w:r>
      <w:r w:rsidR="007420C3" w:rsidRPr="003724EF">
        <w:rPr>
          <w:rFonts w:ascii="Times New Roman" w:hAnsi="Times New Roman" w:cs="Times New Roman"/>
          <w:b/>
          <w:bCs/>
          <w:color w:val="auto"/>
        </w:rPr>
        <w:t xml:space="preserve">UN </w:t>
      </w:r>
      <w:r w:rsidR="00140EFA" w:rsidRPr="003724EF">
        <w:rPr>
          <w:rFonts w:ascii="Times New Roman" w:hAnsi="Times New Roman" w:cs="Times New Roman"/>
          <w:b/>
          <w:bCs/>
          <w:color w:val="auto"/>
        </w:rPr>
        <w:t>endorsement of</w:t>
      </w:r>
      <w:r w:rsidR="007420C3" w:rsidRPr="003724EF">
        <w:rPr>
          <w:rFonts w:ascii="Times New Roman" w:hAnsi="Times New Roman" w:cs="Times New Roman"/>
          <w:b/>
          <w:bCs/>
          <w:color w:val="auto"/>
        </w:rPr>
        <w:t xml:space="preserve"> partnerships</w:t>
      </w:r>
      <w:r w:rsidR="002A0AA0" w:rsidRPr="003724EF">
        <w:rPr>
          <w:rFonts w:ascii="Times New Roman" w:hAnsi="Times New Roman" w:cs="Times New Roman"/>
          <w:b/>
          <w:bCs/>
          <w:color w:val="auto"/>
        </w:rPr>
        <w:t xml:space="preserve"> and recognized benefits</w:t>
      </w:r>
      <w:bookmarkEnd w:id="24"/>
    </w:p>
    <w:p w14:paraId="371AB6E1" w14:textId="4AF7E4D5" w:rsidR="007420C3" w:rsidRPr="00CC3404" w:rsidRDefault="00CC3404" w:rsidP="00AB64DD">
      <w:pPr>
        <w:spacing w:before="120"/>
        <w:jc w:val="both"/>
        <w:rPr>
          <w:rFonts w:ascii="Times New Roman" w:hAnsi="Times New Roman" w:cs="Times New Roman"/>
        </w:rPr>
      </w:pPr>
      <w:r w:rsidRPr="00CC3404">
        <w:rPr>
          <w:rFonts w:ascii="Times New Roman" w:hAnsi="Times New Roman" w:cs="Times New Roman"/>
        </w:rPr>
        <w:t>43.</w:t>
      </w:r>
      <w:r w:rsidRPr="00CC3404">
        <w:rPr>
          <w:rFonts w:ascii="Times New Roman" w:hAnsi="Times New Roman" w:cs="Times New Roman"/>
        </w:rPr>
        <w:tab/>
      </w:r>
      <w:r w:rsidR="007420C3" w:rsidRPr="00CC3404">
        <w:rPr>
          <w:rFonts w:ascii="Times New Roman" w:hAnsi="Times New Roman" w:cs="Times New Roman"/>
        </w:rPr>
        <w:t>Different forms of cooperation between United Nations entities and governmental as well as non-governmental actors have been known since the creation of the United Nations in 1945</w:t>
      </w:r>
      <w:r w:rsidR="007420C3" w:rsidRPr="00CC3404">
        <w:rPr>
          <w:vertAlign w:val="superscript"/>
        </w:rPr>
        <w:footnoteReference w:id="32"/>
      </w:r>
      <w:r w:rsidR="007420C3" w:rsidRPr="00CC3404">
        <w:rPr>
          <w:rFonts w:ascii="Times New Roman" w:hAnsi="Times New Roman" w:cs="Times New Roman"/>
        </w:rPr>
        <w:t>. Over the last decades, interactions between UN entities and non-state actors have further developed, ranging from traditional forms of cooperation, such as consultative or observer status with governing bodies, to newer forms, such as global multi-stakeholder initiatives and operational partnerships</w:t>
      </w:r>
      <w:r w:rsidR="007420C3" w:rsidRPr="00CC3404">
        <w:rPr>
          <w:vertAlign w:val="superscript"/>
        </w:rPr>
        <w:footnoteReference w:id="33"/>
      </w:r>
      <w:r w:rsidR="007420C3" w:rsidRPr="00CC3404">
        <w:rPr>
          <w:rFonts w:ascii="Times New Roman" w:hAnsi="Times New Roman" w:cs="Times New Roman"/>
        </w:rPr>
        <w:t xml:space="preserve">. </w:t>
      </w:r>
    </w:p>
    <w:p w14:paraId="16E694C1" w14:textId="47F31BF3" w:rsidR="007420C3" w:rsidRPr="00CC3404" w:rsidRDefault="00CC3404" w:rsidP="00AB64DD">
      <w:pPr>
        <w:jc w:val="both"/>
        <w:rPr>
          <w:rFonts w:ascii="Times New Roman" w:hAnsi="Times New Roman" w:cs="Times New Roman"/>
        </w:rPr>
      </w:pPr>
      <w:r w:rsidRPr="00CC3404">
        <w:rPr>
          <w:rFonts w:ascii="Times New Roman" w:hAnsi="Times New Roman" w:cs="Times New Roman"/>
        </w:rPr>
        <w:t>44.</w:t>
      </w:r>
      <w:r w:rsidRPr="00CC3404">
        <w:rPr>
          <w:rFonts w:ascii="Times New Roman" w:hAnsi="Times New Roman" w:cs="Times New Roman"/>
        </w:rPr>
        <w:tab/>
      </w:r>
      <w:r w:rsidR="007420C3" w:rsidRPr="00CC3404">
        <w:rPr>
          <w:rFonts w:ascii="Times New Roman" w:hAnsi="Times New Roman" w:cs="Times New Roman"/>
        </w:rPr>
        <w:t>Partnerships between UN entities and non-state actors have been endorsed in policy instruments adopted by the high-level summits of the UN over the last two decades, including the UN Millennium Declaration in 2000</w:t>
      </w:r>
      <w:r w:rsidR="007420C3" w:rsidRPr="00CC3404">
        <w:rPr>
          <w:vertAlign w:val="superscript"/>
        </w:rPr>
        <w:footnoteReference w:id="34"/>
      </w:r>
      <w:r w:rsidR="007420C3" w:rsidRPr="00CC3404">
        <w:rPr>
          <w:rFonts w:ascii="Times New Roman" w:hAnsi="Times New Roman" w:cs="Times New Roman"/>
        </w:rPr>
        <w:t>, the World Summit on Sustainable Development in 2002</w:t>
      </w:r>
      <w:r w:rsidR="007420C3" w:rsidRPr="00CC3404">
        <w:rPr>
          <w:vertAlign w:val="superscript"/>
        </w:rPr>
        <w:footnoteReference w:id="35"/>
      </w:r>
      <w:r w:rsidR="007420C3" w:rsidRPr="00CC3404">
        <w:rPr>
          <w:rFonts w:ascii="Times New Roman" w:hAnsi="Times New Roman" w:cs="Times New Roman"/>
        </w:rPr>
        <w:t>, the outcome document “The Future We Want” of the Rio +20 Conference in 2012</w:t>
      </w:r>
      <w:r w:rsidR="007420C3" w:rsidRPr="00CC3404">
        <w:rPr>
          <w:vertAlign w:val="superscript"/>
        </w:rPr>
        <w:footnoteReference w:id="36"/>
      </w:r>
      <w:r w:rsidR="007420C3" w:rsidRPr="00CC3404">
        <w:rPr>
          <w:rFonts w:ascii="Times New Roman" w:hAnsi="Times New Roman" w:cs="Times New Roman"/>
        </w:rPr>
        <w:t xml:space="preserve">, </w:t>
      </w:r>
      <w:r w:rsidR="00607D87" w:rsidRPr="00CC3404">
        <w:rPr>
          <w:rFonts w:ascii="Times New Roman" w:hAnsi="Times New Roman" w:cs="Times New Roman"/>
        </w:rPr>
        <w:t xml:space="preserve">and </w:t>
      </w:r>
      <w:r w:rsidR="007420C3" w:rsidRPr="00CC3404">
        <w:rPr>
          <w:rFonts w:ascii="Times New Roman" w:hAnsi="Times New Roman" w:cs="Times New Roman"/>
        </w:rPr>
        <w:t>the Addis Ababa Action Agenda adopted by the Third International Conference on Financing for Development in 2015</w:t>
      </w:r>
      <w:r w:rsidR="007420C3" w:rsidRPr="00CC3404">
        <w:rPr>
          <w:vertAlign w:val="superscript"/>
        </w:rPr>
        <w:footnoteReference w:id="37"/>
      </w:r>
      <w:r w:rsidR="007420C3" w:rsidRPr="00CC3404">
        <w:rPr>
          <w:rFonts w:ascii="Times New Roman" w:hAnsi="Times New Roman" w:cs="Times New Roman"/>
        </w:rPr>
        <w:t>. The 2030 Agenda for Sustainable Development adopted by the UN General Assembly in 2015, defines global partnerships for sustainable development as one of the 17 Sustainable Development Goals</w:t>
      </w:r>
      <w:r w:rsidR="007420C3" w:rsidRPr="00CC3404">
        <w:rPr>
          <w:vertAlign w:val="superscript"/>
        </w:rPr>
        <w:footnoteReference w:id="38"/>
      </w:r>
      <w:r w:rsidR="007420C3" w:rsidRPr="00CC3404">
        <w:rPr>
          <w:rFonts w:ascii="Times New Roman" w:hAnsi="Times New Roman" w:cs="Times New Roman"/>
        </w:rPr>
        <w:t>. Cooperation with the private sector is given special attention in the relevant policy instruments</w:t>
      </w:r>
      <w:r w:rsidR="007420C3" w:rsidRPr="00CC3404">
        <w:rPr>
          <w:vertAlign w:val="superscript"/>
        </w:rPr>
        <w:footnoteReference w:id="39"/>
      </w:r>
      <w:r w:rsidR="007420C3" w:rsidRPr="00CC3404">
        <w:rPr>
          <w:rFonts w:ascii="Times New Roman" w:hAnsi="Times New Roman" w:cs="Times New Roman"/>
        </w:rPr>
        <w:t>. On the side of UN institutions and other public actors, the rationale for partnerships is the recognition that they cannot resolve today’s pressing problems alone, but need the support of actors with complementary mandates, skills, resources and perspectives in the relevant areas. Partnerships also lead to enhanced ownership of the actors involved. On the other hand, non-state actors, including those from the private sector, have become more willing to support the achievement of development goals</w:t>
      </w:r>
      <w:r w:rsidR="00E428E6" w:rsidRPr="00CC3404">
        <w:rPr>
          <w:rFonts w:ascii="Times New Roman" w:hAnsi="Times New Roman" w:cs="Times New Roman"/>
        </w:rPr>
        <w:t>, and are recognizing partnerships as an opportunity to have a voice in international policy issues</w:t>
      </w:r>
      <w:r w:rsidR="007420C3" w:rsidRPr="00CC3404">
        <w:rPr>
          <w:rStyle w:val="FootnoteReference"/>
          <w:rFonts w:ascii="Times New Roman" w:hAnsi="Times New Roman" w:cs="Times New Roman"/>
        </w:rPr>
        <w:footnoteReference w:id="40"/>
      </w:r>
      <w:r w:rsidR="007420C3" w:rsidRPr="00CC3404">
        <w:rPr>
          <w:rFonts w:ascii="Times New Roman" w:hAnsi="Times New Roman" w:cs="Times New Roman"/>
        </w:rPr>
        <w:t xml:space="preserve">.  </w:t>
      </w:r>
    </w:p>
    <w:p w14:paraId="4CA821A0" w14:textId="46E00D52" w:rsidR="00FF3D3C" w:rsidRPr="003724EF" w:rsidRDefault="008E5E78" w:rsidP="00AB64DD">
      <w:pPr>
        <w:pStyle w:val="Heading2"/>
        <w:rPr>
          <w:rFonts w:ascii="Times New Roman" w:hAnsi="Times New Roman" w:cs="Times New Roman"/>
          <w:b/>
          <w:bCs/>
          <w:color w:val="auto"/>
        </w:rPr>
      </w:pPr>
      <w:bookmarkStart w:id="25" w:name="_Toc531103781"/>
      <w:r w:rsidRPr="00CC3404">
        <w:rPr>
          <w:rFonts w:ascii="Times New Roman" w:hAnsi="Times New Roman" w:cs="Times New Roman"/>
          <w:color w:val="auto"/>
        </w:rPr>
        <w:t xml:space="preserve">4.3 </w:t>
      </w:r>
      <w:r w:rsidR="005F46B6" w:rsidRPr="00CC3404">
        <w:rPr>
          <w:rFonts w:ascii="Times New Roman" w:hAnsi="Times New Roman" w:cs="Times New Roman"/>
          <w:color w:val="auto"/>
        </w:rPr>
        <w:tab/>
      </w:r>
      <w:r w:rsidR="00FF3D3C" w:rsidRPr="003724EF">
        <w:rPr>
          <w:rFonts w:ascii="Times New Roman" w:hAnsi="Times New Roman" w:cs="Times New Roman"/>
          <w:b/>
          <w:bCs/>
          <w:color w:val="auto"/>
        </w:rPr>
        <w:t>UN guid</w:t>
      </w:r>
      <w:r w:rsidR="006720C0" w:rsidRPr="003724EF">
        <w:rPr>
          <w:rFonts w:ascii="Times New Roman" w:hAnsi="Times New Roman" w:cs="Times New Roman"/>
          <w:b/>
          <w:bCs/>
          <w:color w:val="auto"/>
        </w:rPr>
        <w:t>elines</w:t>
      </w:r>
      <w:r w:rsidR="00FF3D3C" w:rsidRPr="003724EF">
        <w:rPr>
          <w:rFonts w:ascii="Times New Roman" w:hAnsi="Times New Roman" w:cs="Times New Roman"/>
          <w:b/>
          <w:bCs/>
          <w:color w:val="auto"/>
        </w:rPr>
        <w:t xml:space="preserve"> and policies </w:t>
      </w:r>
      <w:r w:rsidR="007420C3" w:rsidRPr="003724EF">
        <w:rPr>
          <w:rFonts w:ascii="Times New Roman" w:hAnsi="Times New Roman" w:cs="Times New Roman"/>
          <w:b/>
          <w:bCs/>
          <w:color w:val="auto"/>
        </w:rPr>
        <w:t>addressing risks inherent in partnerships</w:t>
      </w:r>
      <w:bookmarkEnd w:id="25"/>
    </w:p>
    <w:p w14:paraId="60208FEF" w14:textId="4954EF98" w:rsidR="00FF3D3C" w:rsidRPr="00CC3404" w:rsidRDefault="00CC3404" w:rsidP="00AB64DD">
      <w:pPr>
        <w:spacing w:before="120"/>
        <w:jc w:val="both"/>
        <w:rPr>
          <w:rFonts w:ascii="Times New Roman" w:hAnsi="Times New Roman" w:cs="Times New Roman"/>
        </w:rPr>
      </w:pPr>
      <w:r w:rsidRPr="00CC3404">
        <w:rPr>
          <w:rFonts w:ascii="Times New Roman" w:hAnsi="Times New Roman" w:cs="Times New Roman"/>
        </w:rPr>
        <w:t>45.</w:t>
      </w:r>
      <w:r w:rsidRPr="00CC3404">
        <w:rPr>
          <w:rFonts w:ascii="Times New Roman" w:hAnsi="Times New Roman" w:cs="Times New Roman"/>
        </w:rPr>
        <w:tab/>
      </w:r>
      <w:r w:rsidR="00FF3D3C" w:rsidRPr="00CC3404">
        <w:rPr>
          <w:rFonts w:ascii="Times New Roman" w:hAnsi="Times New Roman" w:cs="Times New Roman"/>
        </w:rPr>
        <w:t>While expressing support for partnerships and similar cooperation arrangements, UN entities also recognize the risks involved in engagement with non-state actors. These are mostly related to compromising the integrity, impartiality and independence of the organization. Accordingly, many organizations have adopted guidance documents on the conclusion and management of such arrangements. The principles to be adhered to include in particular: transparency; equality; trust; integrity; mutual respect and mutual benefit; coherence with the work programme of the UN entity; complementarity and value added; accountability; due diligence and risk management to safeguard the reputation, independence and neutrality of the UN entity; respect for the modalities of the UN entity; and balanced representation of partners</w:t>
      </w:r>
      <w:r w:rsidR="00FF3D3C" w:rsidRPr="00CC3404">
        <w:rPr>
          <w:vertAlign w:val="superscript"/>
        </w:rPr>
        <w:footnoteReference w:id="41"/>
      </w:r>
      <w:r w:rsidR="00FF3D3C" w:rsidRPr="00CC3404">
        <w:rPr>
          <w:rFonts w:ascii="Times New Roman" w:hAnsi="Times New Roman" w:cs="Times New Roman"/>
        </w:rPr>
        <w:t xml:space="preserve">. </w:t>
      </w:r>
    </w:p>
    <w:p w14:paraId="5C3EA3A8" w14:textId="55BE33CE" w:rsidR="00FF3D3C" w:rsidRPr="00CC3404" w:rsidRDefault="00CC3404" w:rsidP="00AB64DD">
      <w:pPr>
        <w:jc w:val="both"/>
        <w:rPr>
          <w:rFonts w:ascii="Times New Roman" w:hAnsi="Times New Roman" w:cs="Times New Roman"/>
        </w:rPr>
      </w:pPr>
      <w:r w:rsidRPr="00CC3404">
        <w:rPr>
          <w:rFonts w:ascii="Times New Roman" w:hAnsi="Times New Roman" w:cs="Times New Roman"/>
        </w:rPr>
        <w:lastRenderedPageBreak/>
        <w:t>46.</w:t>
      </w:r>
      <w:r w:rsidRPr="00CC3404">
        <w:rPr>
          <w:rFonts w:ascii="Times New Roman" w:hAnsi="Times New Roman" w:cs="Times New Roman"/>
        </w:rPr>
        <w:tab/>
      </w:r>
      <w:r w:rsidR="00FF3D3C" w:rsidRPr="00CC3404">
        <w:rPr>
          <w:rFonts w:ascii="Times New Roman" w:hAnsi="Times New Roman" w:cs="Times New Roman"/>
        </w:rPr>
        <w:t>Particular attention is given to partnerships with the private sector. The UN Global Compact</w:t>
      </w:r>
      <w:r w:rsidR="00FF3D3C" w:rsidRPr="00CC3404">
        <w:rPr>
          <w:vertAlign w:val="superscript"/>
        </w:rPr>
        <w:footnoteReference w:id="42"/>
      </w:r>
      <w:r w:rsidR="00FF3D3C" w:rsidRPr="00CC3404">
        <w:rPr>
          <w:rFonts w:ascii="Times New Roman" w:hAnsi="Times New Roman" w:cs="Times New Roman"/>
        </w:rPr>
        <w:t xml:space="preserve"> provides an overall value framework for cooperation with the private sector, and the UN Guiding Principles on Business and Human Rights</w:t>
      </w:r>
      <w:r w:rsidR="00FF3D3C" w:rsidRPr="00CC3404">
        <w:rPr>
          <w:vertAlign w:val="superscript"/>
        </w:rPr>
        <w:footnoteReference w:id="43"/>
      </w:r>
      <w:r w:rsidR="00FF3D3C" w:rsidRPr="00CC3404">
        <w:rPr>
          <w:rFonts w:ascii="Times New Roman" w:hAnsi="Times New Roman" w:cs="Times New Roman"/>
        </w:rPr>
        <w:t xml:space="preserve"> serve as the baseline reference point for the expected conduct of private sector entities. The UN Guidelines on a Principled Approach to Cooperation between the United Nations and the Business Sector</w:t>
      </w:r>
      <w:r w:rsidR="00FF3D3C" w:rsidRPr="00CC3404">
        <w:rPr>
          <w:vertAlign w:val="superscript"/>
        </w:rPr>
        <w:footnoteReference w:id="44"/>
      </w:r>
      <w:r w:rsidR="00FA25E4" w:rsidRPr="00CC3404">
        <w:rPr>
          <w:rFonts w:ascii="Times New Roman" w:hAnsi="Times New Roman" w:cs="Times New Roman"/>
        </w:rPr>
        <w:t xml:space="preserve"> constitute </w:t>
      </w:r>
      <w:r w:rsidR="00291820" w:rsidRPr="00CC3404">
        <w:rPr>
          <w:rFonts w:ascii="Times New Roman" w:hAnsi="Times New Roman" w:cs="Times New Roman"/>
        </w:rPr>
        <w:t>t</w:t>
      </w:r>
      <w:r w:rsidR="00FA25E4" w:rsidRPr="00CC3404">
        <w:rPr>
          <w:rFonts w:ascii="Times New Roman" w:hAnsi="Times New Roman" w:cs="Times New Roman"/>
        </w:rPr>
        <w:t xml:space="preserve">he key document, </w:t>
      </w:r>
      <w:r w:rsidR="00FF3D3C" w:rsidRPr="00CC3404">
        <w:rPr>
          <w:rFonts w:ascii="Times New Roman" w:hAnsi="Times New Roman" w:cs="Times New Roman"/>
        </w:rPr>
        <w:t>build</w:t>
      </w:r>
      <w:r w:rsidR="00FA25E4" w:rsidRPr="00CC3404">
        <w:rPr>
          <w:rFonts w:ascii="Times New Roman" w:hAnsi="Times New Roman" w:cs="Times New Roman"/>
        </w:rPr>
        <w:t>ing</w:t>
      </w:r>
      <w:r w:rsidR="00FF3D3C" w:rsidRPr="00CC3404">
        <w:rPr>
          <w:rFonts w:ascii="Times New Roman" w:hAnsi="Times New Roman" w:cs="Times New Roman"/>
        </w:rPr>
        <w:t xml:space="preserve"> on these sources. The </w:t>
      </w:r>
      <w:r w:rsidR="00607D87" w:rsidRPr="00CC3404">
        <w:rPr>
          <w:rFonts w:ascii="Times New Roman" w:hAnsi="Times New Roman" w:cs="Times New Roman"/>
        </w:rPr>
        <w:t xml:space="preserve">UN </w:t>
      </w:r>
      <w:r w:rsidR="00FF3D3C" w:rsidRPr="00CC3404">
        <w:rPr>
          <w:rFonts w:ascii="Times New Roman" w:hAnsi="Times New Roman" w:cs="Times New Roman"/>
        </w:rPr>
        <w:t>Guidelines apply to the UN Secretariat and to separately administered organs, Funds and Programmes of the UN, and are intended as a common framework for all UN organizations. They are used by most UN organizations, although the manner of implementation varies significantly</w:t>
      </w:r>
      <w:r w:rsidR="00FF3D3C" w:rsidRPr="00CC3404">
        <w:rPr>
          <w:rStyle w:val="FootnoteReference"/>
          <w:rFonts w:ascii="Times New Roman" w:hAnsi="Times New Roman" w:cs="Times New Roman"/>
        </w:rPr>
        <w:footnoteReference w:id="45"/>
      </w:r>
      <w:r w:rsidR="00FF3D3C" w:rsidRPr="00CC3404">
        <w:rPr>
          <w:rFonts w:ascii="Times New Roman" w:hAnsi="Times New Roman" w:cs="Times New Roman"/>
        </w:rPr>
        <w:t>.</w:t>
      </w:r>
    </w:p>
    <w:p w14:paraId="6A194A15" w14:textId="67BF0E86" w:rsidR="00FF3D3C" w:rsidRPr="00CC3404" w:rsidRDefault="00CC3404" w:rsidP="00AB64DD">
      <w:pPr>
        <w:jc w:val="both"/>
        <w:rPr>
          <w:rFonts w:ascii="Times New Roman" w:hAnsi="Times New Roman" w:cs="Times New Roman"/>
        </w:rPr>
      </w:pPr>
      <w:r w:rsidRPr="00CC3404">
        <w:rPr>
          <w:rFonts w:ascii="Times New Roman" w:hAnsi="Times New Roman" w:cs="Times New Roman"/>
        </w:rPr>
        <w:t>47.</w:t>
      </w:r>
      <w:r w:rsidRPr="00CC3404">
        <w:rPr>
          <w:rFonts w:ascii="Times New Roman" w:hAnsi="Times New Roman" w:cs="Times New Roman"/>
        </w:rPr>
        <w:tab/>
      </w:r>
      <w:r w:rsidR="00FF3D3C" w:rsidRPr="00CC3404">
        <w:rPr>
          <w:rFonts w:ascii="Times New Roman" w:hAnsi="Times New Roman" w:cs="Times New Roman"/>
        </w:rPr>
        <w:t xml:space="preserve">The key principles set out in the UN Guidelines include: </w:t>
      </w:r>
    </w:p>
    <w:p w14:paraId="673BF09A" w14:textId="3CA454CC" w:rsidR="00FF3D3C" w:rsidRPr="00CC3404" w:rsidRDefault="00FF3D3C" w:rsidP="00E45D56">
      <w:pPr>
        <w:pStyle w:val="ListParagraph"/>
        <w:numPr>
          <w:ilvl w:val="0"/>
          <w:numId w:val="9"/>
        </w:numPr>
        <w:jc w:val="both"/>
        <w:rPr>
          <w:rFonts w:ascii="Times New Roman" w:hAnsi="Times New Roman" w:cs="Times New Roman"/>
        </w:rPr>
      </w:pPr>
      <w:r w:rsidRPr="00CC3404">
        <w:rPr>
          <w:rFonts w:ascii="Times New Roman" w:hAnsi="Times New Roman" w:cs="Times New Roman"/>
          <w:u w:val="single"/>
        </w:rPr>
        <w:t>Integrity</w:t>
      </w:r>
      <w:r w:rsidRPr="00CC3404">
        <w:rPr>
          <w:rFonts w:ascii="Times New Roman" w:hAnsi="Times New Roman" w:cs="Times New Roman"/>
        </w:rPr>
        <w:t>: The objectives of the partnership should be articulated clearly, and should advance the objectives and purposes of the UN; clear roles and responsibilities should be delineated, and a governance structure should be put in place to ensure a transparent and accountable process; no private sector partner should derive an unfair advantage from the partnership; only private sector entities that demonstrably support UN values should be considered as partners; and a robust due diligence process should be established</w:t>
      </w:r>
      <w:r w:rsidR="0081182C">
        <w:rPr>
          <w:rFonts w:ascii="Times New Roman" w:hAnsi="Times New Roman" w:cs="Times New Roman"/>
        </w:rPr>
        <w:t>;</w:t>
      </w:r>
    </w:p>
    <w:p w14:paraId="018A3025" w14:textId="0755F892" w:rsidR="00FF3D3C" w:rsidRPr="00CC3404" w:rsidRDefault="00FF3D3C" w:rsidP="00E45D56">
      <w:pPr>
        <w:pStyle w:val="ListParagraph"/>
        <w:numPr>
          <w:ilvl w:val="0"/>
          <w:numId w:val="9"/>
        </w:numPr>
        <w:jc w:val="both"/>
        <w:rPr>
          <w:rFonts w:ascii="Times New Roman" w:hAnsi="Times New Roman" w:cs="Times New Roman"/>
        </w:rPr>
      </w:pPr>
      <w:r w:rsidRPr="00CC3404">
        <w:rPr>
          <w:rFonts w:ascii="Times New Roman" w:hAnsi="Times New Roman" w:cs="Times New Roman"/>
          <w:u w:val="single"/>
        </w:rPr>
        <w:t>Accountability</w:t>
      </w:r>
      <w:r w:rsidRPr="00CC3404">
        <w:rPr>
          <w:rFonts w:ascii="Times New Roman" w:hAnsi="Times New Roman" w:cs="Times New Roman"/>
        </w:rPr>
        <w:t>: Accountability procedures including monitoring and evaluation should be put into place, differentiating between the individual accountability of each partner and the internal accountability between partners</w:t>
      </w:r>
      <w:r w:rsidR="0081182C">
        <w:rPr>
          <w:rFonts w:ascii="Times New Roman" w:hAnsi="Times New Roman" w:cs="Times New Roman"/>
        </w:rPr>
        <w:t>;</w:t>
      </w:r>
    </w:p>
    <w:p w14:paraId="1BEA9E2A" w14:textId="45D6EC64" w:rsidR="005D6FF2" w:rsidRPr="00CC3404" w:rsidRDefault="00FF3D3C" w:rsidP="00E45D56">
      <w:pPr>
        <w:pStyle w:val="ListParagraph"/>
        <w:numPr>
          <w:ilvl w:val="0"/>
          <w:numId w:val="9"/>
        </w:numPr>
        <w:jc w:val="both"/>
        <w:rPr>
          <w:rFonts w:ascii="Times New Roman" w:hAnsi="Times New Roman" w:cs="Times New Roman"/>
        </w:rPr>
      </w:pPr>
      <w:r w:rsidRPr="00CC3404">
        <w:rPr>
          <w:rFonts w:ascii="Times New Roman" w:hAnsi="Times New Roman" w:cs="Times New Roman"/>
          <w:u w:val="single"/>
        </w:rPr>
        <w:t>Transparency</w:t>
      </w:r>
      <w:r w:rsidRPr="00CC3404">
        <w:rPr>
          <w:rFonts w:ascii="Times New Roman" w:hAnsi="Times New Roman" w:cs="Times New Roman"/>
        </w:rPr>
        <w:t>: Information on the nature and scope of cooperative arrangements should be made available within the UN entity engaged in the arrangement and to the public at large. Subject to the rules and regulations governing each entity, this information should include disclosure of the partners, contributions, and matching funds.</w:t>
      </w:r>
    </w:p>
    <w:p w14:paraId="60381D51" w14:textId="07234BCC" w:rsidR="005F44BC" w:rsidRPr="00CC3404" w:rsidRDefault="005F46B6" w:rsidP="005F46B6">
      <w:pPr>
        <w:pStyle w:val="Heading1"/>
        <w:spacing w:after="240"/>
        <w:rPr>
          <w:rFonts w:ascii="Times New Roman" w:hAnsi="Times New Roman" w:cs="Times New Roman"/>
          <w:color w:val="auto"/>
        </w:rPr>
      </w:pPr>
      <w:bookmarkStart w:id="26" w:name="_Toc531103782"/>
      <w:r w:rsidRPr="00CC3404">
        <w:rPr>
          <w:rFonts w:ascii="Times New Roman" w:hAnsi="Times New Roman" w:cs="Times New Roman"/>
          <w:color w:val="auto"/>
        </w:rPr>
        <w:t>5.</w:t>
      </w:r>
      <w:r w:rsidRPr="00CC3404">
        <w:rPr>
          <w:rFonts w:ascii="Times New Roman" w:hAnsi="Times New Roman" w:cs="Times New Roman"/>
          <w:color w:val="auto"/>
        </w:rPr>
        <w:tab/>
      </w:r>
      <w:r w:rsidR="00A1468D" w:rsidRPr="003724EF">
        <w:rPr>
          <w:rFonts w:ascii="Times New Roman" w:hAnsi="Times New Roman" w:cs="Times New Roman"/>
          <w:b/>
          <w:bCs/>
          <w:color w:val="auto"/>
        </w:rPr>
        <w:t xml:space="preserve">Experiences of other organizations </w:t>
      </w:r>
      <w:r w:rsidR="005F44BC" w:rsidRPr="003724EF">
        <w:rPr>
          <w:rFonts w:ascii="Times New Roman" w:hAnsi="Times New Roman" w:cs="Times New Roman"/>
          <w:b/>
          <w:bCs/>
          <w:color w:val="auto"/>
        </w:rPr>
        <w:t>regarding cooperation arrangements with non-state actors</w:t>
      </w:r>
      <w:bookmarkEnd w:id="26"/>
      <w:r w:rsidR="005F44BC" w:rsidRPr="00CC3404">
        <w:rPr>
          <w:rFonts w:ascii="Times New Roman" w:hAnsi="Times New Roman" w:cs="Times New Roman"/>
          <w:color w:val="auto"/>
        </w:rPr>
        <w:t xml:space="preserve"> </w:t>
      </w:r>
    </w:p>
    <w:p w14:paraId="23520917" w14:textId="447EDA3C" w:rsidR="00291FBB" w:rsidRPr="00CC3404" w:rsidRDefault="00CC3404" w:rsidP="00AB64DD">
      <w:pPr>
        <w:spacing w:before="120"/>
        <w:jc w:val="both"/>
        <w:rPr>
          <w:rFonts w:ascii="Times New Roman" w:hAnsi="Times New Roman" w:cs="Times New Roman"/>
          <w:u w:val="single"/>
        </w:rPr>
      </w:pPr>
      <w:r w:rsidRPr="00CC3404">
        <w:rPr>
          <w:rFonts w:ascii="Times New Roman" w:hAnsi="Times New Roman" w:cs="Times New Roman"/>
        </w:rPr>
        <w:t>48.</w:t>
      </w:r>
      <w:r w:rsidRPr="00CC3404">
        <w:rPr>
          <w:rFonts w:ascii="Times New Roman" w:hAnsi="Times New Roman" w:cs="Times New Roman"/>
        </w:rPr>
        <w:tab/>
      </w:r>
      <w:r w:rsidR="000267A8" w:rsidRPr="00CC3404">
        <w:rPr>
          <w:rFonts w:ascii="Times New Roman" w:hAnsi="Times New Roman" w:cs="Times New Roman"/>
        </w:rPr>
        <w:t>Numerous forms of cooperation arrangements between UN entities and non-state actors are in operation, and many UN Specialized Agencies and Programmes have a partnership programme</w:t>
      </w:r>
      <w:r w:rsidR="000267A8" w:rsidRPr="00CC3404">
        <w:rPr>
          <w:vertAlign w:val="superscript"/>
        </w:rPr>
        <w:footnoteReference w:id="46"/>
      </w:r>
      <w:r w:rsidR="000267A8" w:rsidRPr="00CC3404">
        <w:rPr>
          <w:rFonts w:ascii="Times New Roman" w:hAnsi="Times New Roman" w:cs="Times New Roman"/>
        </w:rPr>
        <w:t xml:space="preserve">. The understanding of what constitutes a partnership differs widely from one organization to the other. “Partnership” is </w:t>
      </w:r>
      <w:r w:rsidR="00607D87" w:rsidRPr="00CC3404">
        <w:rPr>
          <w:rFonts w:ascii="Times New Roman" w:hAnsi="Times New Roman" w:cs="Times New Roman"/>
        </w:rPr>
        <w:t>sometimes</w:t>
      </w:r>
      <w:r w:rsidR="000267A8" w:rsidRPr="00CC3404">
        <w:rPr>
          <w:rFonts w:ascii="Times New Roman" w:hAnsi="Times New Roman" w:cs="Times New Roman"/>
        </w:rPr>
        <w:t xml:space="preserve"> used as a generic term to describe any type of relationship between a UN entity and a state or non-state actor. Depending on the organization and the context, partnerships</w:t>
      </w:r>
      <w:r w:rsidR="00271570" w:rsidRPr="00CC3404">
        <w:rPr>
          <w:rFonts w:ascii="Times New Roman" w:hAnsi="Times New Roman" w:cs="Times New Roman"/>
        </w:rPr>
        <w:t xml:space="preserve"> include</w:t>
      </w:r>
      <w:r w:rsidR="000267A8" w:rsidRPr="00CC3404">
        <w:rPr>
          <w:rFonts w:ascii="Times New Roman" w:hAnsi="Times New Roman" w:cs="Times New Roman"/>
        </w:rPr>
        <w:t xml:space="preserve"> arrangements as diverse as discussion platforms, alliances or networks involving a large number of different stakeholders; engagement by an organization with a single partner to deliver a specific output at country level or benefitting a specific type of non-state actor; and joint projects implemented by one or more UN entities and private sector actors with financial implications.</w:t>
      </w:r>
      <w:r w:rsidR="00291FBB" w:rsidRPr="00CC3404">
        <w:rPr>
          <w:rFonts w:ascii="Times New Roman" w:hAnsi="Times New Roman" w:cs="Times New Roman"/>
        </w:rPr>
        <w:t xml:space="preserve"> </w:t>
      </w:r>
      <w:r w:rsidR="00A803EC" w:rsidRPr="00CC3404">
        <w:rPr>
          <w:rFonts w:ascii="Times New Roman" w:hAnsi="Times New Roman" w:cs="Times New Roman"/>
        </w:rPr>
        <w:t xml:space="preserve">Some organizations define as partnerships also arrangements established with the sole purpose of receiving funding from stakeholders. </w:t>
      </w:r>
      <w:r w:rsidR="00291FBB" w:rsidRPr="00CC3404">
        <w:rPr>
          <w:rFonts w:ascii="Times New Roman" w:hAnsi="Times New Roman" w:cs="Times New Roman"/>
        </w:rPr>
        <w:t>The UN Guidelines set out six types of partnerships with the private sector, namely global implementation partnerships (platforms to create a framework for action), local implementation partnerships (established to implement projects in particular areas), corporate responsibility initiatives (</w:t>
      </w:r>
      <w:r w:rsidR="002938BD" w:rsidRPr="00CC3404">
        <w:rPr>
          <w:rFonts w:ascii="Times New Roman" w:hAnsi="Times New Roman" w:cs="Times New Roman"/>
        </w:rPr>
        <w:t xml:space="preserve">aiming at </w:t>
      </w:r>
      <w:r w:rsidR="00291FBB" w:rsidRPr="00CC3404">
        <w:rPr>
          <w:rFonts w:ascii="Times New Roman" w:hAnsi="Times New Roman" w:cs="Times New Roman"/>
        </w:rPr>
        <w:t>chang</w:t>
      </w:r>
      <w:r w:rsidR="002938BD" w:rsidRPr="00CC3404">
        <w:rPr>
          <w:rFonts w:ascii="Times New Roman" w:hAnsi="Times New Roman" w:cs="Times New Roman"/>
        </w:rPr>
        <w:t>ing</w:t>
      </w:r>
      <w:r w:rsidR="00291FBB" w:rsidRPr="00CC3404">
        <w:rPr>
          <w:rFonts w:ascii="Times New Roman" w:hAnsi="Times New Roman" w:cs="Times New Roman"/>
        </w:rPr>
        <w:t xml:space="preserve"> business behaviour), advocacy campaigns</w:t>
      </w:r>
      <w:r w:rsidR="002938BD" w:rsidRPr="00CC3404">
        <w:rPr>
          <w:rFonts w:ascii="Times New Roman" w:hAnsi="Times New Roman" w:cs="Times New Roman"/>
        </w:rPr>
        <w:t xml:space="preserve"> (aiming at encouraging behavioural change of target groups)</w:t>
      </w:r>
      <w:r w:rsidR="00291FBB" w:rsidRPr="00CC3404">
        <w:rPr>
          <w:rFonts w:ascii="Times New Roman" w:hAnsi="Times New Roman" w:cs="Times New Roman"/>
        </w:rPr>
        <w:t>, resource mobilization partnerships</w:t>
      </w:r>
      <w:r w:rsidR="002938BD" w:rsidRPr="00CC3404">
        <w:rPr>
          <w:rFonts w:ascii="Times New Roman" w:hAnsi="Times New Roman" w:cs="Times New Roman"/>
        </w:rPr>
        <w:t xml:space="preserve"> (provision of funding without substantive </w:t>
      </w:r>
      <w:r w:rsidR="002938BD" w:rsidRPr="00CC3404">
        <w:rPr>
          <w:rFonts w:ascii="Times New Roman" w:hAnsi="Times New Roman" w:cs="Times New Roman"/>
        </w:rPr>
        <w:lastRenderedPageBreak/>
        <w:t>engagement)</w:t>
      </w:r>
      <w:r w:rsidR="00291FBB" w:rsidRPr="00CC3404">
        <w:rPr>
          <w:rFonts w:ascii="Times New Roman" w:hAnsi="Times New Roman" w:cs="Times New Roman"/>
        </w:rPr>
        <w:t xml:space="preserve">, </w:t>
      </w:r>
      <w:r w:rsidR="002938BD" w:rsidRPr="00CC3404">
        <w:rPr>
          <w:rFonts w:ascii="Times New Roman" w:hAnsi="Times New Roman" w:cs="Times New Roman"/>
        </w:rPr>
        <w:t xml:space="preserve">and </w:t>
      </w:r>
      <w:r w:rsidR="00291FBB" w:rsidRPr="00CC3404">
        <w:rPr>
          <w:rFonts w:ascii="Times New Roman" w:hAnsi="Times New Roman" w:cs="Times New Roman"/>
        </w:rPr>
        <w:t>innovation partnerships</w:t>
      </w:r>
      <w:r w:rsidR="002938BD" w:rsidRPr="00CC3404">
        <w:rPr>
          <w:rFonts w:ascii="Times New Roman" w:hAnsi="Times New Roman" w:cs="Times New Roman"/>
        </w:rPr>
        <w:t xml:space="preserve"> (utilizing expertise of business partners to develop and implement innovative products and services)</w:t>
      </w:r>
      <w:r w:rsidR="00291FBB" w:rsidRPr="00CC3404">
        <w:rPr>
          <w:rFonts w:ascii="Times New Roman" w:hAnsi="Times New Roman" w:cs="Times New Roman"/>
        </w:rPr>
        <w:t xml:space="preserve">.  </w:t>
      </w:r>
    </w:p>
    <w:p w14:paraId="4A0EB815" w14:textId="16DDE2F2" w:rsidR="0085181C" w:rsidRPr="00CC3404" w:rsidRDefault="00CC3404" w:rsidP="00AB64DD">
      <w:pPr>
        <w:jc w:val="both"/>
        <w:rPr>
          <w:rFonts w:ascii="Times New Roman" w:hAnsi="Times New Roman" w:cs="Times New Roman"/>
        </w:rPr>
      </w:pPr>
      <w:r w:rsidRPr="00CC3404">
        <w:rPr>
          <w:rFonts w:ascii="Times New Roman" w:hAnsi="Times New Roman" w:cs="Times New Roman"/>
        </w:rPr>
        <w:t>49.</w:t>
      </w:r>
      <w:r w:rsidRPr="00CC3404">
        <w:rPr>
          <w:rFonts w:ascii="Times New Roman" w:hAnsi="Times New Roman" w:cs="Times New Roman"/>
        </w:rPr>
        <w:tab/>
      </w:r>
      <w:r w:rsidR="00FB7647" w:rsidRPr="00CC3404">
        <w:rPr>
          <w:rFonts w:ascii="Times New Roman" w:hAnsi="Times New Roman" w:cs="Times New Roman"/>
        </w:rPr>
        <w:t>M</w:t>
      </w:r>
      <w:r w:rsidR="00607D87" w:rsidRPr="00CC3404">
        <w:rPr>
          <w:rFonts w:ascii="Times New Roman" w:hAnsi="Times New Roman" w:cs="Times New Roman"/>
        </w:rPr>
        <w:t>any</w:t>
      </w:r>
      <w:r w:rsidR="00FB7647" w:rsidRPr="00CC3404">
        <w:rPr>
          <w:rFonts w:ascii="Times New Roman" w:hAnsi="Times New Roman" w:cs="Times New Roman"/>
        </w:rPr>
        <w:t xml:space="preserve"> organizations distinguish the types of partnerships in which they engage in accordance with the objective, the intended outputs and the types of none-state actors involved.</w:t>
      </w:r>
      <w:r w:rsidR="00D5336E" w:rsidRPr="00CC3404">
        <w:rPr>
          <w:rFonts w:ascii="Times New Roman" w:hAnsi="Times New Roman" w:cs="Times New Roman"/>
        </w:rPr>
        <w:t xml:space="preserve"> </w:t>
      </w:r>
      <w:r w:rsidR="00D73671" w:rsidRPr="00CC3404">
        <w:rPr>
          <w:rFonts w:ascii="Times New Roman" w:hAnsi="Times New Roman" w:cs="Times New Roman"/>
        </w:rPr>
        <w:t>Where the</w:t>
      </w:r>
      <w:r w:rsidR="00DC7124" w:rsidRPr="00CC3404">
        <w:rPr>
          <w:rFonts w:ascii="Times New Roman" w:hAnsi="Times New Roman" w:cs="Times New Roman"/>
        </w:rPr>
        <w:t xml:space="preserve">se factors are </w:t>
      </w:r>
      <w:r w:rsidR="00D73671" w:rsidRPr="00CC3404">
        <w:rPr>
          <w:rFonts w:ascii="Times New Roman" w:hAnsi="Times New Roman" w:cs="Times New Roman"/>
        </w:rPr>
        <w:t>fundamentally different from t</w:t>
      </w:r>
      <w:r w:rsidR="000C33C7" w:rsidRPr="00CC3404">
        <w:rPr>
          <w:rFonts w:ascii="Times New Roman" w:hAnsi="Times New Roman" w:cs="Times New Roman"/>
        </w:rPr>
        <w:t>hose</w:t>
      </w:r>
      <w:r w:rsidR="002E762E" w:rsidRPr="00CC3404">
        <w:rPr>
          <w:rFonts w:ascii="Times New Roman" w:hAnsi="Times New Roman" w:cs="Times New Roman"/>
        </w:rPr>
        <w:t xml:space="preserve"> used under </w:t>
      </w:r>
      <w:r w:rsidR="00D73671" w:rsidRPr="00CC3404">
        <w:rPr>
          <w:rFonts w:ascii="Times New Roman" w:hAnsi="Times New Roman" w:cs="Times New Roman"/>
        </w:rPr>
        <w:t>the Basel Convention, the</w:t>
      </w:r>
      <w:r w:rsidR="00D577F5" w:rsidRPr="00CC3404">
        <w:rPr>
          <w:rFonts w:ascii="Times New Roman" w:hAnsi="Times New Roman" w:cs="Times New Roman"/>
        </w:rPr>
        <w:t xml:space="preserve"> </w:t>
      </w:r>
      <w:r w:rsidR="00D73671" w:rsidRPr="00CC3404">
        <w:rPr>
          <w:rFonts w:ascii="Times New Roman" w:hAnsi="Times New Roman" w:cs="Times New Roman"/>
        </w:rPr>
        <w:t xml:space="preserve">relevance </w:t>
      </w:r>
      <w:r w:rsidR="002E762E" w:rsidRPr="00CC3404">
        <w:rPr>
          <w:rFonts w:ascii="Times New Roman" w:hAnsi="Times New Roman" w:cs="Times New Roman"/>
        </w:rPr>
        <w:t xml:space="preserve">of the cooperation arrangements </w:t>
      </w:r>
      <w:r w:rsidR="00D73671" w:rsidRPr="00CC3404">
        <w:rPr>
          <w:rFonts w:ascii="Times New Roman" w:hAnsi="Times New Roman" w:cs="Times New Roman"/>
        </w:rPr>
        <w:t xml:space="preserve">for the </w:t>
      </w:r>
      <w:r w:rsidR="00D577F5" w:rsidRPr="00CC3404">
        <w:rPr>
          <w:rFonts w:ascii="Times New Roman" w:hAnsi="Times New Roman" w:cs="Times New Roman"/>
        </w:rPr>
        <w:t>“Partnerships” and the “partnerships” under the Basel Convention is limited</w:t>
      </w:r>
      <w:r w:rsidR="002E762E" w:rsidRPr="00CC3404">
        <w:rPr>
          <w:rFonts w:ascii="Times New Roman" w:hAnsi="Times New Roman" w:cs="Times New Roman"/>
        </w:rPr>
        <w:t xml:space="preserve"> or non-existent</w:t>
      </w:r>
      <w:r w:rsidR="00D577F5" w:rsidRPr="00CC3404">
        <w:rPr>
          <w:rFonts w:ascii="Times New Roman" w:hAnsi="Times New Roman" w:cs="Times New Roman"/>
        </w:rPr>
        <w:t>.</w:t>
      </w:r>
      <w:r w:rsidR="00BD6CEB" w:rsidRPr="00CC3404">
        <w:rPr>
          <w:rFonts w:ascii="Times New Roman" w:hAnsi="Times New Roman" w:cs="Times New Roman"/>
        </w:rPr>
        <w:t xml:space="preserve"> </w:t>
      </w:r>
      <w:r w:rsidR="00A1468D" w:rsidRPr="00CC3404">
        <w:rPr>
          <w:rFonts w:ascii="Times New Roman" w:hAnsi="Times New Roman" w:cs="Times New Roman"/>
        </w:rPr>
        <w:t>This</w:t>
      </w:r>
      <w:r w:rsidR="00CA0747" w:rsidRPr="00CC3404">
        <w:rPr>
          <w:rFonts w:ascii="Times New Roman" w:hAnsi="Times New Roman" w:cs="Times New Roman"/>
        </w:rPr>
        <w:t xml:space="preserve"> Section </w:t>
      </w:r>
      <w:r w:rsidR="00E20542" w:rsidRPr="00CC3404">
        <w:rPr>
          <w:rFonts w:ascii="Times New Roman" w:hAnsi="Times New Roman" w:cs="Times New Roman"/>
        </w:rPr>
        <w:t xml:space="preserve">sets out </w:t>
      </w:r>
      <w:r w:rsidR="00CA0747" w:rsidRPr="00CC3404">
        <w:rPr>
          <w:rFonts w:ascii="Times New Roman" w:hAnsi="Times New Roman" w:cs="Times New Roman"/>
        </w:rPr>
        <w:t xml:space="preserve">examples of </w:t>
      </w:r>
      <w:r w:rsidR="00E20542" w:rsidRPr="00CC3404">
        <w:rPr>
          <w:rFonts w:ascii="Times New Roman" w:hAnsi="Times New Roman" w:cs="Times New Roman"/>
        </w:rPr>
        <w:t xml:space="preserve">partnership arrangements </w:t>
      </w:r>
      <w:r w:rsidR="00FF1047" w:rsidRPr="00CC3404">
        <w:rPr>
          <w:rFonts w:ascii="Times New Roman" w:hAnsi="Times New Roman" w:cs="Times New Roman"/>
        </w:rPr>
        <w:t>of international organizations and MEAs</w:t>
      </w:r>
      <w:r w:rsidR="004E2A45" w:rsidRPr="00CC3404">
        <w:rPr>
          <w:rFonts w:ascii="Times New Roman" w:hAnsi="Times New Roman" w:cs="Times New Roman"/>
        </w:rPr>
        <w:t xml:space="preserve"> that </w:t>
      </w:r>
      <w:r w:rsidR="007566AC" w:rsidRPr="00CC3404">
        <w:rPr>
          <w:rFonts w:ascii="Times New Roman" w:hAnsi="Times New Roman" w:cs="Times New Roman"/>
        </w:rPr>
        <w:t>are particularly</w:t>
      </w:r>
      <w:r w:rsidR="004E2A45" w:rsidRPr="00CC3404">
        <w:rPr>
          <w:rFonts w:ascii="Times New Roman" w:hAnsi="Times New Roman" w:cs="Times New Roman"/>
        </w:rPr>
        <w:t xml:space="preserve"> relevant to the Basel Convention’s </w:t>
      </w:r>
      <w:r w:rsidR="007566AC" w:rsidRPr="00CC3404">
        <w:rPr>
          <w:rFonts w:ascii="Times New Roman" w:hAnsi="Times New Roman" w:cs="Times New Roman"/>
        </w:rPr>
        <w:t>“</w:t>
      </w:r>
      <w:r w:rsidR="004E2A45" w:rsidRPr="00CC3404">
        <w:rPr>
          <w:rFonts w:ascii="Times New Roman" w:hAnsi="Times New Roman" w:cs="Times New Roman"/>
        </w:rPr>
        <w:t>partnerships</w:t>
      </w:r>
      <w:r w:rsidR="007566AC" w:rsidRPr="00CC3404">
        <w:rPr>
          <w:rFonts w:ascii="Times New Roman" w:hAnsi="Times New Roman" w:cs="Times New Roman"/>
        </w:rPr>
        <w:t>”. Although some of the highlighted risks also exist for Basel Convention “Partnership</w:t>
      </w:r>
      <w:r w:rsidR="008E5E78" w:rsidRPr="00CC3404">
        <w:rPr>
          <w:rFonts w:ascii="Times New Roman" w:hAnsi="Times New Roman" w:cs="Times New Roman"/>
        </w:rPr>
        <w:t>s</w:t>
      </w:r>
      <w:r w:rsidR="007566AC" w:rsidRPr="00CC3404">
        <w:rPr>
          <w:rFonts w:ascii="Times New Roman" w:hAnsi="Times New Roman" w:cs="Times New Roman"/>
        </w:rPr>
        <w:t>”, their establishment and overview by the COP has so far prov</w:t>
      </w:r>
      <w:r w:rsidR="00510B3F" w:rsidRPr="00CC3404">
        <w:rPr>
          <w:rFonts w:ascii="Times New Roman" w:hAnsi="Times New Roman" w:cs="Times New Roman"/>
        </w:rPr>
        <w:t xml:space="preserve">en to be </w:t>
      </w:r>
      <w:r w:rsidR="007566AC" w:rsidRPr="00CC3404">
        <w:rPr>
          <w:rFonts w:ascii="Times New Roman" w:hAnsi="Times New Roman" w:cs="Times New Roman"/>
        </w:rPr>
        <w:t>a useful framework to contain those risks</w:t>
      </w:r>
      <w:r w:rsidR="004E2A45" w:rsidRPr="00CC3404">
        <w:rPr>
          <w:rFonts w:ascii="Times New Roman" w:hAnsi="Times New Roman" w:cs="Times New Roman"/>
        </w:rPr>
        <w:t xml:space="preserve">. </w:t>
      </w:r>
    </w:p>
    <w:p w14:paraId="4931945A" w14:textId="107976A1" w:rsidR="005D6FF2" w:rsidRPr="00CC3404" w:rsidRDefault="00CC3404" w:rsidP="00AB64DD">
      <w:pPr>
        <w:jc w:val="both"/>
        <w:rPr>
          <w:rFonts w:ascii="Times New Roman" w:hAnsi="Times New Roman" w:cs="Times New Roman"/>
        </w:rPr>
      </w:pPr>
      <w:r w:rsidRPr="00CC3404">
        <w:rPr>
          <w:rFonts w:ascii="Times New Roman" w:hAnsi="Times New Roman" w:cs="Times New Roman"/>
        </w:rPr>
        <w:t>50.</w:t>
      </w:r>
      <w:r w:rsidRPr="00CC3404">
        <w:rPr>
          <w:rFonts w:ascii="Times New Roman" w:hAnsi="Times New Roman" w:cs="Times New Roman"/>
        </w:rPr>
        <w:tab/>
      </w:r>
      <w:r w:rsidR="00271570" w:rsidRPr="00CC3404">
        <w:rPr>
          <w:rFonts w:ascii="Times New Roman" w:hAnsi="Times New Roman" w:cs="Times New Roman"/>
        </w:rPr>
        <w:t xml:space="preserve">The </w:t>
      </w:r>
      <w:r w:rsidR="0085181C" w:rsidRPr="00CC3404">
        <w:rPr>
          <w:rFonts w:ascii="Times New Roman" w:hAnsi="Times New Roman" w:cs="Times New Roman"/>
        </w:rPr>
        <w:t xml:space="preserve">international organizations considered in this section </w:t>
      </w:r>
      <w:r w:rsidR="00FF1047" w:rsidRPr="00CC3404">
        <w:rPr>
          <w:rFonts w:ascii="Times New Roman" w:hAnsi="Times New Roman" w:cs="Times New Roman"/>
        </w:rPr>
        <w:t>include UNICEF</w:t>
      </w:r>
      <w:r w:rsidR="001A507C" w:rsidRPr="00CC3404">
        <w:rPr>
          <w:rStyle w:val="FootnoteReference"/>
          <w:rFonts w:ascii="Times New Roman" w:hAnsi="Times New Roman" w:cs="Times New Roman"/>
        </w:rPr>
        <w:footnoteReference w:id="47"/>
      </w:r>
      <w:r w:rsidR="00FF1047" w:rsidRPr="00CC3404">
        <w:rPr>
          <w:rFonts w:ascii="Times New Roman" w:hAnsi="Times New Roman" w:cs="Times New Roman"/>
        </w:rPr>
        <w:t>, WHO</w:t>
      </w:r>
      <w:r w:rsidR="002C2F7D" w:rsidRPr="00CC3404">
        <w:rPr>
          <w:rStyle w:val="FootnoteReference"/>
          <w:rFonts w:ascii="Times New Roman" w:hAnsi="Times New Roman" w:cs="Times New Roman"/>
        </w:rPr>
        <w:footnoteReference w:id="48"/>
      </w:r>
      <w:r w:rsidR="00FF1047" w:rsidRPr="00CC3404">
        <w:rPr>
          <w:rFonts w:ascii="Times New Roman" w:hAnsi="Times New Roman" w:cs="Times New Roman"/>
        </w:rPr>
        <w:t>, FAO</w:t>
      </w:r>
      <w:r w:rsidR="00F25F31" w:rsidRPr="00CC3404">
        <w:rPr>
          <w:vertAlign w:val="superscript"/>
        </w:rPr>
        <w:footnoteReference w:id="49"/>
      </w:r>
      <w:r w:rsidR="00FF1047" w:rsidRPr="00CC3404">
        <w:rPr>
          <w:rFonts w:ascii="Times New Roman" w:hAnsi="Times New Roman" w:cs="Times New Roman"/>
        </w:rPr>
        <w:t xml:space="preserve">, </w:t>
      </w:r>
      <w:r w:rsidR="00BD6CEB" w:rsidRPr="00CC3404">
        <w:rPr>
          <w:rFonts w:ascii="Times New Roman" w:hAnsi="Times New Roman" w:cs="Times New Roman"/>
        </w:rPr>
        <w:t xml:space="preserve">and </w:t>
      </w:r>
      <w:r w:rsidR="00613E24" w:rsidRPr="00CC3404">
        <w:rPr>
          <w:rFonts w:ascii="Times New Roman" w:hAnsi="Times New Roman" w:cs="Times New Roman"/>
        </w:rPr>
        <w:t>UNEP</w:t>
      </w:r>
      <w:r w:rsidR="00613E24" w:rsidRPr="00CC3404">
        <w:rPr>
          <w:rStyle w:val="FootnoteReference"/>
          <w:rFonts w:ascii="Times New Roman" w:hAnsi="Times New Roman" w:cs="Times New Roman"/>
        </w:rPr>
        <w:footnoteReference w:id="50"/>
      </w:r>
      <w:r w:rsidR="002E7289" w:rsidRPr="00CC3404">
        <w:rPr>
          <w:rFonts w:ascii="Times New Roman" w:hAnsi="Times New Roman" w:cs="Times New Roman"/>
        </w:rPr>
        <w:t xml:space="preserve">. </w:t>
      </w:r>
      <w:r w:rsidR="0085181C" w:rsidRPr="00CC3404">
        <w:rPr>
          <w:rFonts w:ascii="Times New Roman" w:hAnsi="Times New Roman" w:cs="Times New Roman"/>
        </w:rPr>
        <w:t>Furthermore, t</w:t>
      </w:r>
      <w:r w:rsidR="002E7289" w:rsidRPr="00CC3404">
        <w:rPr>
          <w:rFonts w:ascii="Times New Roman" w:hAnsi="Times New Roman" w:cs="Times New Roman"/>
        </w:rPr>
        <w:t xml:space="preserve">hree MEAs with relevant partnerships </w:t>
      </w:r>
      <w:r w:rsidR="0071689A" w:rsidRPr="00CC3404">
        <w:rPr>
          <w:rFonts w:ascii="Times New Roman" w:hAnsi="Times New Roman" w:cs="Times New Roman"/>
        </w:rPr>
        <w:t>arrangements have</w:t>
      </w:r>
      <w:r w:rsidR="002E7289" w:rsidRPr="00CC3404">
        <w:rPr>
          <w:rFonts w:ascii="Times New Roman" w:hAnsi="Times New Roman" w:cs="Times New Roman"/>
        </w:rPr>
        <w:t xml:space="preserve"> been identified, namely, the </w:t>
      </w:r>
      <w:r w:rsidR="00FF1047" w:rsidRPr="00CC3404">
        <w:rPr>
          <w:rFonts w:ascii="Times New Roman" w:hAnsi="Times New Roman" w:cs="Times New Roman"/>
        </w:rPr>
        <w:t>UNFCCC</w:t>
      </w:r>
      <w:r w:rsidR="007A693B" w:rsidRPr="00CC3404">
        <w:rPr>
          <w:rStyle w:val="FootnoteReference"/>
          <w:rFonts w:ascii="Times New Roman" w:hAnsi="Times New Roman" w:cs="Times New Roman"/>
        </w:rPr>
        <w:footnoteReference w:id="51"/>
      </w:r>
      <w:r w:rsidR="00FF1047" w:rsidRPr="00CC3404">
        <w:rPr>
          <w:rFonts w:ascii="Times New Roman" w:hAnsi="Times New Roman" w:cs="Times New Roman"/>
        </w:rPr>
        <w:t>, the UNCCD</w:t>
      </w:r>
      <w:r w:rsidR="00613E24" w:rsidRPr="00CC3404">
        <w:rPr>
          <w:rStyle w:val="FootnoteReference"/>
          <w:rFonts w:ascii="Times New Roman" w:hAnsi="Times New Roman" w:cs="Times New Roman"/>
        </w:rPr>
        <w:footnoteReference w:id="52"/>
      </w:r>
      <w:r w:rsidR="00FF1047" w:rsidRPr="00CC3404">
        <w:rPr>
          <w:rFonts w:ascii="Times New Roman" w:hAnsi="Times New Roman" w:cs="Times New Roman"/>
        </w:rPr>
        <w:t xml:space="preserve">, and the </w:t>
      </w:r>
      <w:proofErr w:type="spellStart"/>
      <w:r w:rsidR="00FF1047" w:rsidRPr="00CC3404">
        <w:rPr>
          <w:rFonts w:ascii="Times New Roman" w:hAnsi="Times New Roman" w:cs="Times New Roman"/>
        </w:rPr>
        <w:t>Ramsar</w:t>
      </w:r>
      <w:proofErr w:type="spellEnd"/>
      <w:r w:rsidR="00FF1047" w:rsidRPr="00CC3404">
        <w:rPr>
          <w:rFonts w:ascii="Times New Roman" w:hAnsi="Times New Roman" w:cs="Times New Roman"/>
        </w:rPr>
        <w:t xml:space="preserve"> Convention</w:t>
      </w:r>
      <w:r w:rsidR="00D9679E" w:rsidRPr="00CC3404">
        <w:rPr>
          <w:rStyle w:val="FootnoteReference"/>
          <w:rFonts w:ascii="Times New Roman" w:hAnsi="Times New Roman" w:cs="Times New Roman"/>
        </w:rPr>
        <w:footnoteReference w:id="53"/>
      </w:r>
      <w:r w:rsidR="00FF1047" w:rsidRPr="00CC3404">
        <w:rPr>
          <w:rFonts w:ascii="Times New Roman" w:hAnsi="Times New Roman" w:cs="Times New Roman"/>
        </w:rPr>
        <w:t xml:space="preserve">. </w:t>
      </w:r>
      <w:r w:rsidR="00CA0747" w:rsidRPr="00CC3404">
        <w:rPr>
          <w:rFonts w:ascii="Times New Roman" w:hAnsi="Times New Roman" w:cs="Times New Roman"/>
        </w:rPr>
        <w:t xml:space="preserve"> </w:t>
      </w:r>
      <w:r w:rsidR="00D242C7" w:rsidRPr="00CC3404">
        <w:rPr>
          <w:rFonts w:ascii="Times New Roman" w:hAnsi="Times New Roman" w:cs="Times New Roman"/>
        </w:rPr>
        <w:t xml:space="preserve">No relevant partnership arrangements by ECOSOC and OECD have been identified. </w:t>
      </w:r>
    </w:p>
    <w:p w14:paraId="50E7CE49" w14:textId="701F803D" w:rsidR="00DF6B2A" w:rsidRPr="003724EF" w:rsidRDefault="008E5E78" w:rsidP="00AB64DD">
      <w:pPr>
        <w:pStyle w:val="Heading2"/>
        <w:rPr>
          <w:rFonts w:ascii="Times New Roman" w:hAnsi="Times New Roman" w:cs="Times New Roman"/>
          <w:b/>
          <w:bCs/>
          <w:color w:val="auto"/>
        </w:rPr>
      </w:pPr>
      <w:bookmarkStart w:id="27" w:name="_Toc531103783"/>
      <w:r w:rsidRPr="00CC3404">
        <w:rPr>
          <w:rFonts w:ascii="Times New Roman" w:hAnsi="Times New Roman" w:cs="Times New Roman"/>
          <w:color w:val="auto"/>
        </w:rPr>
        <w:t xml:space="preserve">5.1 </w:t>
      </w:r>
      <w:r w:rsidR="005F46B6" w:rsidRPr="00CC3404">
        <w:rPr>
          <w:rFonts w:ascii="Times New Roman" w:hAnsi="Times New Roman" w:cs="Times New Roman"/>
          <w:color w:val="auto"/>
        </w:rPr>
        <w:tab/>
      </w:r>
      <w:r w:rsidR="00DF6B2A" w:rsidRPr="003724EF">
        <w:rPr>
          <w:rFonts w:ascii="Times New Roman" w:hAnsi="Times New Roman" w:cs="Times New Roman"/>
          <w:b/>
          <w:bCs/>
          <w:color w:val="auto"/>
        </w:rPr>
        <w:t>Types of partnerships and role of partners</w:t>
      </w:r>
      <w:bookmarkEnd w:id="27"/>
    </w:p>
    <w:p w14:paraId="1CF8FA2F" w14:textId="42E1CAAA" w:rsidR="000B3044" w:rsidRPr="00CC3404" w:rsidRDefault="00CC3404" w:rsidP="00AB64DD">
      <w:pPr>
        <w:spacing w:before="120"/>
        <w:jc w:val="both"/>
        <w:rPr>
          <w:rFonts w:ascii="Times New Roman" w:hAnsi="Times New Roman" w:cs="Times New Roman"/>
        </w:rPr>
      </w:pPr>
      <w:r w:rsidRPr="00CC3404">
        <w:rPr>
          <w:rFonts w:ascii="Times New Roman" w:hAnsi="Times New Roman" w:cs="Times New Roman"/>
        </w:rPr>
        <w:t>51.</w:t>
      </w:r>
      <w:r w:rsidRPr="00CC3404">
        <w:rPr>
          <w:rFonts w:ascii="Times New Roman" w:hAnsi="Times New Roman" w:cs="Times New Roman"/>
        </w:rPr>
        <w:tab/>
      </w:r>
      <w:r w:rsidR="005D6FF2" w:rsidRPr="00CC3404">
        <w:rPr>
          <w:rFonts w:ascii="Times New Roman" w:hAnsi="Times New Roman" w:cs="Times New Roman"/>
        </w:rPr>
        <w:t>The majority of</w:t>
      </w:r>
      <w:r w:rsidR="003C1E7A" w:rsidRPr="00CC3404">
        <w:rPr>
          <w:rFonts w:ascii="Times New Roman" w:hAnsi="Times New Roman" w:cs="Times New Roman"/>
        </w:rPr>
        <w:t xml:space="preserve"> organizations do not distinguish </w:t>
      </w:r>
      <w:r w:rsidR="002A798A" w:rsidRPr="00CC3404">
        <w:rPr>
          <w:rFonts w:ascii="Times New Roman" w:hAnsi="Times New Roman" w:cs="Times New Roman"/>
        </w:rPr>
        <w:t xml:space="preserve">between </w:t>
      </w:r>
      <w:r w:rsidR="00A803EC" w:rsidRPr="00CC3404">
        <w:rPr>
          <w:rFonts w:ascii="Times New Roman" w:hAnsi="Times New Roman" w:cs="Times New Roman"/>
        </w:rPr>
        <w:t xml:space="preserve">multilateral </w:t>
      </w:r>
      <w:r w:rsidR="002A798A" w:rsidRPr="00CC3404">
        <w:rPr>
          <w:rFonts w:ascii="Times New Roman" w:hAnsi="Times New Roman" w:cs="Times New Roman"/>
        </w:rPr>
        <w:t xml:space="preserve">partnerships </w:t>
      </w:r>
      <w:r w:rsidR="00EE25F4" w:rsidRPr="00CC3404">
        <w:rPr>
          <w:rFonts w:ascii="Times New Roman" w:hAnsi="Times New Roman" w:cs="Times New Roman"/>
        </w:rPr>
        <w:t xml:space="preserve">established by their governing body </w:t>
      </w:r>
      <w:r w:rsidR="002A798A" w:rsidRPr="00CC3404">
        <w:rPr>
          <w:rFonts w:ascii="Times New Roman" w:hAnsi="Times New Roman" w:cs="Times New Roman"/>
        </w:rPr>
        <w:t xml:space="preserve">(similar to “Partnerships”) and </w:t>
      </w:r>
      <w:r w:rsidR="005D6FF2" w:rsidRPr="00CC3404">
        <w:rPr>
          <w:rFonts w:ascii="Times New Roman" w:hAnsi="Times New Roman" w:cs="Times New Roman"/>
        </w:rPr>
        <w:t>partnerships</w:t>
      </w:r>
      <w:r w:rsidR="002A798A" w:rsidRPr="00CC3404">
        <w:rPr>
          <w:rFonts w:ascii="Times New Roman" w:hAnsi="Times New Roman" w:cs="Times New Roman"/>
        </w:rPr>
        <w:t xml:space="preserve"> in which </w:t>
      </w:r>
      <w:r w:rsidR="00EE25F4" w:rsidRPr="00CC3404">
        <w:rPr>
          <w:rFonts w:ascii="Times New Roman" w:hAnsi="Times New Roman" w:cs="Times New Roman"/>
        </w:rPr>
        <w:t>the secretariat participates</w:t>
      </w:r>
      <w:r w:rsidR="002A798A" w:rsidRPr="00CC3404">
        <w:rPr>
          <w:rFonts w:ascii="Times New Roman" w:hAnsi="Times New Roman" w:cs="Times New Roman"/>
        </w:rPr>
        <w:t xml:space="preserve"> without a leading role (similar to “partnerships”). An exception is </w:t>
      </w:r>
      <w:r w:rsidR="00241BF8" w:rsidRPr="00CC3404">
        <w:rPr>
          <w:rFonts w:ascii="Times New Roman" w:hAnsi="Times New Roman" w:cs="Times New Roman"/>
        </w:rPr>
        <w:t>UNICEF, a pioneer on partnerships within the UN system</w:t>
      </w:r>
      <w:r w:rsidR="002A798A" w:rsidRPr="00CC3404">
        <w:rPr>
          <w:rFonts w:ascii="Times New Roman" w:hAnsi="Times New Roman" w:cs="Times New Roman"/>
        </w:rPr>
        <w:t xml:space="preserve">, which </w:t>
      </w:r>
      <w:r w:rsidR="004E6202" w:rsidRPr="00CC3404">
        <w:rPr>
          <w:rFonts w:ascii="Times New Roman" w:hAnsi="Times New Roman" w:cs="Times New Roman"/>
        </w:rPr>
        <w:t xml:space="preserve">has established </w:t>
      </w:r>
      <w:r w:rsidR="00241BF8" w:rsidRPr="00CC3404">
        <w:rPr>
          <w:rFonts w:ascii="Times New Roman" w:hAnsi="Times New Roman" w:cs="Times New Roman"/>
        </w:rPr>
        <w:t>Global Programme Partnerships (GPPs) with other United</w:t>
      </w:r>
      <w:r w:rsidR="00EF623D" w:rsidRPr="00CC3404">
        <w:rPr>
          <w:rFonts w:ascii="Times New Roman" w:hAnsi="Times New Roman" w:cs="Times New Roman"/>
        </w:rPr>
        <w:t xml:space="preserve"> </w:t>
      </w:r>
      <w:r w:rsidR="00241BF8" w:rsidRPr="00CC3404">
        <w:rPr>
          <w:rFonts w:ascii="Times New Roman" w:hAnsi="Times New Roman" w:cs="Times New Roman"/>
        </w:rPr>
        <w:t>Nations agencies, funds and programmes</w:t>
      </w:r>
      <w:r w:rsidR="007C7989" w:rsidRPr="00CC3404">
        <w:rPr>
          <w:rFonts w:ascii="Times New Roman" w:hAnsi="Times New Roman" w:cs="Times New Roman"/>
        </w:rPr>
        <w:t>, and public</w:t>
      </w:r>
      <w:r w:rsidR="00241BF8" w:rsidRPr="00CC3404">
        <w:rPr>
          <w:rFonts w:ascii="Times New Roman" w:hAnsi="Times New Roman" w:cs="Times New Roman"/>
        </w:rPr>
        <w:t xml:space="preserve"> and non-public partners</w:t>
      </w:r>
      <w:r w:rsidR="004E6202" w:rsidRPr="00CC3404">
        <w:rPr>
          <w:rFonts w:ascii="Times New Roman" w:hAnsi="Times New Roman" w:cs="Times New Roman"/>
        </w:rPr>
        <w:t>,</w:t>
      </w:r>
      <w:r w:rsidR="00EF623D" w:rsidRPr="00CC3404">
        <w:rPr>
          <w:rFonts w:ascii="Times New Roman" w:hAnsi="Times New Roman" w:cs="Times New Roman"/>
        </w:rPr>
        <w:t xml:space="preserve"> to develop a joint response to issues affecting children (outputs include</w:t>
      </w:r>
      <w:r w:rsidR="007C7989" w:rsidRPr="00CC3404">
        <w:rPr>
          <w:rFonts w:ascii="Times New Roman" w:hAnsi="Times New Roman" w:cs="Times New Roman"/>
        </w:rPr>
        <w:t xml:space="preserve"> developing new products</w:t>
      </w:r>
      <w:r w:rsidR="008B6A61" w:rsidRPr="00CC3404">
        <w:rPr>
          <w:rFonts w:ascii="Times New Roman" w:hAnsi="Times New Roman" w:cs="Times New Roman"/>
        </w:rPr>
        <w:t>;</w:t>
      </w:r>
      <w:r w:rsidR="007C7989" w:rsidRPr="00CC3404">
        <w:rPr>
          <w:rFonts w:ascii="Times New Roman" w:hAnsi="Times New Roman" w:cs="Times New Roman"/>
        </w:rPr>
        <w:t xml:space="preserve"> harmonizing policies</w:t>
      </w:r>
      <w:r w:rsidR="008B6A61" w:rsidRPr="00CC3404">
        <w:rPr>
          <w:rFonts w:ascii="Times New Roman" w:hAnsi="Times New Roman" w:cs="Times New Roman"/>
        </w:rPr>
        <w:t>;</w:t>
      </w:r>
      <w:r w:rsidR="007C7989" w:rsidRPr="00CC3404">
        <w:rPr>
          <w:rFonts w:ascii="Times New Roman" w:hAnsi="Times New Roman" w:cs="Times New Roman"/>
        </w:rPr>
        <w:t xml:space="preserve"> creating and disseminating knowledge</w:t>
      </w:r>
      <w:r w:rsidR="008B6A61" w:rsidRPr="00CC3404">
        <w:rPr>
          <w:rFonts w:ascii="Times New Roman" w:hAnsi="Times New Roman" w:cs="Times New Roman"/>
        </w:rPr>
        <w:t>;</w:t>
      </w:r>
      <w:r w:rsidR="0075318D" w:rsidRPr="00CC3404">
        <w:rPr>
          <w:rFonts w:ascii="Times New Roman" w:hAnsi="Times New Roman" w:cs="Times New Roman"/>
        </w:rPr>
        <w:t xml:space="preserve"> a</w:t>
      </w:r>
      <w:r w:rsidR="007C7989" w:rsidRPr="00CC3404">
        <w:rPr>
          <w:rFonts w:ascii="Times New Roman" w:hAnsi="Times New Roman" w:cs="Times New Roman"/>
        </w:rPr>
        <w:t xml:space="preserve">nd </w:t>
      </w:r>
      <w:r w:rsidR="0075318D" w:rsidRPr="00CC3404">
        <w:rPr>
          <w:rFonts w:ascii="Times New Roman" w:hAnsi="Times New Roman" w:cs="Times New Roman"/>
        </w:rPr>
        <w:t>supporting national policy, institutional reforms, and capacity building</w:t>
      </w:r>
      <w:r w:rsidR="00EF623D" w:rsidRPr="00CC3404">
        <w:rPr>
          <w:rFonts w:ascii="Times New Roman" w:hAnsi="Times New Roman" w:cs="Times New Roman"/>
        </w:rPr>
        <w:t>)</w:t>
      </w:r>
      <w:r w:rsidR="00241BF8" w:rsidRPr="00CC3404">
        <w:rPr>
          <w:rFonts w:ascii="Times New Roman" w:hAnsi="Times New Roman" w:cs="Times New Roman"/>
        </w:rPr>
        <w:t xml:space="preserve">. GPPs </w:t>
      </w:r>
      <w:r w:rsidR="00EF623D" w:rsidRPr="00CC3404">
        <w:rPr>
          <w:rFonts w:ascii="Times New Roman" w:hAnsi="Times New Roman" w:cs="Times New Roman"/>
        </w:rPr>
        <w:t>are</w:t>
      </w:r>
      <w:r w:rsidR="00241BF8" w:rsidRPr="00CC3404">
        <w:rPr>
          <w:rFonts w:ascii="Times New Roman" w:hAnsi="Times New Roman" w:cs="Times New Roman"/>
        </w:rPr>
        <w:t xml:space="preserve"> </w:t>
      </w:r>
      <w:r w:rsidR="007C7989" w:rsidRPr="00CC3404">
        <w:rPr>
          <w:rFonts w:ascii="Times New Roman" w:hAnsi="Times New Roman" w:cs="Times New Roman"/>
        </w:rPr>
        <w:t>global and multi-stakeholder partnerships aiming at concrete outputs</w:t>
      </w:r>
      <w:r w:rsidR="00A256C7" w:rsidRPr="00CC3404">
        <w:rPr>
          <w:rFonts w:ascii="Times New Roman" w:hAnsi="Times New Roman" w:cs="Times New Roman"/>
        </w:rPr>
        <w:t xml:space="preserve">, </w:t>
      </w:r>
      <w:r w:rsidR="007C7989" w:rsidRPr="00CC3404">
        <w:rPr>
          <w:rFonts w:ascii="Times New Roman" w:hAnsi="Times New Roman" w:cs="Times New Roman"/>
        </w:rPr>
        <w:t xml:space="preserve">and are </w:t>
      </w:r>
      <w:r w:rsidR="00241BF8" w:rsidRPr="00CC3404">
        <w:rPr>
          <w:rFonts w:ascii="Times New Roman" w:hAnsi="Times New Roman" w:cs="Times New Roman"/>
        </w:rPr>
        <w:t xml:space="preserve">the most comparable to the Basel Convention “Partnerships” </w:t>
      </w:r>
      <w:r w:rsidR="00D242C7" w:rsidRPr="00CC3404">
        <w:rPr>
          <w:rFonts w:ascii="Times New Roman" w:hAnsi="Times New Roman" w:cs="Times New Roman"/>
        </w:rPr>
        <w:t xml:space="preserve">that have been </w:t>
      </w:r>
      <w:r w:rsidR="00241BF8" w:rsidRPr="00CC3404">
        <w:rPr>
          <w:rFonts w:ascii="Times New Roman" w:hAnsi="Times New Roman" w:cs="Times New Roman"/>
        </w:rPr>
        <w:t>identified</w:t>
      </w:r>
      <w:r w:rsidR="00EF623D" w:rsidRPr="00CC3404">
        <w:rPr>
          <w:rFonts w:ascii="Times New Roman" w:hAnsi="Times New Roman" w:cs="Times New Roman"/>
        </w:rPr>
        <w:t xml:space="preserve">. </w:t>
      </w:r>
      <w:r w:rsidR="00241BF8" w:rsidRPr="00CC3404">
        <w:rPr>
          <w:rFonts w:ascii="Times New Roman" w:hAnsi="Times New Roman" w:cs="Times New Roman"/>
        </w:rPr>
        <w:t>UNICEF</w:t>
      </w:r>
      <w:r w:rsidR="00EF623D" w:rsidRPr="00CC3404">
        <w:rPr>
          <w:rFonts w:ascii="Times New Roman" w:hAnsi="Times New Roman" w:cs="Times New Roman"/>
        </w:rPr>
        <w:t>’s</w:t>
      </w:r>
      <w:r w:rsidR="00241BF8" w:rsidRPr="00CC3404">
        <w:rPr>
          <w:rFonts w:ascii="Times New Roman" w:hAnsi="Times New Roman" w:cs="Times New Roman"/>
        </w:rPr>
        <w:t xml:space="preserve"> roles in GPPs are multifaceted</w:t>
      </w:r>
      <w:r w:rsidR="00EF623D" w:rsidRPr="00CC3404">
        <w:rPr>
          <w:rFonts w:ascii="Times New Roman" w:hAnsi="Times New Roman" w:cs="Times New Roman"/>
        </w:rPr>
        <w:t>: a</w:t>
      </w:r>
      <w:r w:rsidR="00241BF8" w:rsidRPr="00CC3404">
        <w:rPr>
          <w:rFonts w:ascii="Times New Roman" w:hAnsi="Times New Roman" w:cs="Times New Roman"/>
        </w:rPr>
        <w:t xml:space="preserve">t times, </w:t>
      </w:r>
      <w:r w:rsidR="00E24740" w:rsidRPr="00CC3404">
        <w:rPr>
          <w:rFonts w:ascii="Times New Roman" w:hAnsi="Times New Roman" w:cs="Times New Roman"/>
        </w:rPr>
        <w:t>the organization has</w:t>
      </w:r>
      <w:r w:rsidR="00241BF8" w:rsidRPr="00CC3404">
        <w:rPr>
          <w:rFonts w:ascii="Times New Roman" w:hAnsi="Times New Roman" w:cs="Times New Roman"/>
        </w:rPr>
        <w:t xml:space="preserve"> the role of an observer; at other times, that of a convener. In its convening role, UNICEF provides policy expertise and strategic information, coordinates advocacy campaigns, provides procurement services, helps with resource mobilization and in-country technical assistance and receives funds to implement specific projects</w:t>
      </w:r>
      <w:r w:rsidR="000B3044" w:rsidRPr="00CC3404">
        <w:footnoteReference w:id="54"/>
      </w:r>
      <w:r w:rsidR="000B3044" w:rsidRPr="00CC3404">
        <w:rPr>
          <w:rFonts w:ascii="Times New Roman" w:hAnsi="Times New Roman" w:cs="Times New Roman"/>
        </w:rPr>
        <w:t>.</w:t>
      </w:r>
      <w:r w:rsidR="004E6202" w:rsidRPr="00CC3404">
        <w:rPr>
          <w:rFonts w:ascii="Times New Roman" w:hAnsi="Times New Roman" w:cs="Times New Roman"/>
        </w:rPr>
        <w:t xml:space="preserve"> UNICEF’s other types of partnerships are defined by the types of partners and the expected outputs but not by the nature of UNICEF’s role. They include engagement with </w:t>
      </w:r>
      <w:r w:rsidR="002A798A" w:rsidRPr="00CC3404">
        <w:rPr>
          <w:rFonts w:ascii="Times New Roman" w:hAnsi="Times New Roman" w:cs="Times New Roman"/>
        </w:rPr>
        <w:t>knowledge</w:t>
      </w:r>
      <w:r w:rsidR="004E6202" w:rsidRPr="00CC3404">
        <w:rPr>
          <w:rFonts w:ascii="Times New Roman" w:hAnsi="Times New Roman" w:cs="Times New Roman"/>
        </w:rPr>
        <w:t xml:space="preserve"> </w:t>
      </w:r>
      <w:r w:rsidR="002A798A" w:rsidRPr="00CC3404">
        <w:rPr>
          <w:rFonts w:ascii="Times New Roman" w:hAnsi="Times New Roman" w:cs="Times New Roman"/>
        </w:rPr>
        <w:t xml:space="preserve">partners and media (outputs include generation of data, information and knowledge; development of standards; and advocacy); corporate partners (outputs include resource mobilization and development of UNICEF’s institutional capacity); </w:t>
      </w:r>
      <w:r w:rsidR="004E6202" w:rsidRPr="00CC3404">
        <w:rPr>
          <w:rFonts w:ascii="Times New Roman" w:hAnsi="Times New Roman" w:cs="Times New Roman"/>
        </w:rPr>
        <w:t xml:space="preserve">and </w:t>
      </w:r>
      <w:r w:rsidR="002A798A" w:rsidRPr="00CC3404">
        <w:rPr>
          <w:rFonts w:ascii="Times New Roman" w:hAnsi="Times New Roman" w:cs="Times New Roman"/>
        </w:rPr>
        <w:t>civil society organizations (outputs include implementation of programmes; generating technical knowledge and innovative practices; and emergency response)</w:t>
      </w:r>
      <w:r w:rsidR="004E6202" w:rsidRPr="00CC3404">
        <w:rPr>
          <w:rFonts w:ascii="Times New Roman" w:hAnsi="Times New Roman" w:cs="Times New Roman"/>
        </w:rPr>
        <w:t xml:space="preserve">. </w:t>
      </w:r>
    </w:p>
    <w:p w14:paraId="65D6B404" w14:textId="054227BB" w:rsidR="006B66BC" w:rsidRPr="00CC3404" w:rsidRDefault="00CC3404" w:rsidP="00AB64DD">
      <w:pPr>
        <w:autoSpaceDE w:val="0"/>
        <w:autoSpaceDN w:val="0"/>
        <w:adjustRightInd w:val="0"/>
        <w:spacing w:after="0" w:line="240" w:lineRule="auto"/>
        <w:jc w:val="both"/>
        <w:rPr>
          <w:rFonts w:ascii="Times New Roman" w:hAnsi="Times New Roman" w:cs="Times New Roman"/>
        </w:rPr>
      </w:pPr>
      <w:r w:rsidRPr="00CC3404">
        <w:rPr>
          <w:rFonts w:ascii="Times New Roman" w:hAnsi="Times New Roman" w:cs="Times New Roman"/>
        </w:rPr>
        <w:t>52.</w:t>
      </w:r>
      <w:r w:rsidRPr="00CC3404">
        <w:rPr>
          <w:rFonts w:ascii="Times New Roman" w:hAnsi="Times New Roman" w:cs="Times New Roman"/>
        </w:rPr>
        <w:tab/>
      </w:r>
      <w:r w:rsidR="006B66BC" w:rsidRPr="00CC3404">
        <w:rPr>
          <w:rFonts w:ascii="Times New Roman" w:hAnsi="Times New Roman" w:cs="Times New Roman"/>
        </w:rPr>
        <w:t xml:space="preserve">The </w:t>
      </w:r>
      <w:proofErr w:type="spellStart"/>
      <w:r w:rsidR="006B66BC" w:rsidRPr="00CC3404">
        <w:rPr>
          <w:rFonts w:ascii="Times New Roman" w:hAnsi="Times New Roman" w:cs="Times New Roman"/>
        </w:rPr>
        <w:t>Ramsar</w:t>
      </w:r>
      <w:proofErr w:type="spellEnd"/>
      <w:r w:rsidR="006B66BC" w:rsidRPr="00CC3404">
        <w:rPr>
          <w:rFonts w:ascii="Times New Roman" w:hAnsi="Times New Roman" w:cs="Times New Roman"/>
        </w:rPr>
        <w:t xml:space="preserve"> Convention</w:t>
      </w:r>
      <w:r w:rsidR="00A71D64" w:rsidRPr="00CC3404">
        <w:rPr>
          <w:rFonts w:ascii="Times New Roman" w:hAnsi="Times New Roman" w:cs="Times New Roman"/>
        </w:rPr>
        <w:t xml:space="preserve"> also identifies a type of partnership in which the Secretariat has a facilitating role, namely </w:t>
      </w:r>
      <w:r w:rsidR="006B66BC" w:rsidRPr="00CC3404">
        <w:rPr>
          <w:rFonts w:ascii="Times New Roman" w:hAnsi="Times New Roman" w:cs="Times New Roman"/>
        </w:rPr>
        <w:t xml:space="preserve">partnerships with the so-called International Organization Partners (six global </w:t>
      </w:r>
      <w:r w:rsidR="006B66BC" w:rsidRPr="00CC3404">
        <w:rPr>
          <w:rFonts w:ascii="Times New Roman" w:hAnsi="Times New Roman" w:cs="Times New Roman"/>
        </w:rPr>
        <w:lastRenderedPageBreak/>
        <w:t>NGOs accorded this status by COP Resolution</w:t>
      </w:r>
      <w:r w:rsidR="00A71D64" w:rsidRPr="00CC3404">
        <w:rPr>
          <w:rFonts w:ascii="Times New Roman" w:hAnsi="Times New Roman" w:cs="Times New Roman"/>
        </w:rPr>
        <w:t xml:space="preserve">). </w:t>
      </w:r>
      <w:r w:rsidR="004E6202" w:rsidRPr="00CC3404">
        <w:rPr>
          <w:rFonts w:ascii="Times New Roman" w:hAnsi="Times New Roman" w:cs="Times New Roman"/>
        </w:rPr>
        <w:t xml:space="preserve">Other partnership arrangements </w:t>
      </w:r>
      <w:r w:rsidR="0074385F" w:rsidRPr="00CC3404">
        <w:rPr>
          <w:rFonts w:ascii="Times New Roman" w:hAnsi="Times New Roman" w:cs="Times New Roman"/>
        </w:rPr>
        <w:t xml:space="preserve">entered into by </w:t>
      </w:r>
      <w:r w:rsidR="004E6202" w:rsidRPr="00CC3404">
        <w:rPr>
          <w:rFonts w:ascii="Times New Roman" w:hAnsi="Times New Roman" w:cs="Times New Roman"/>
        </w:rPr>
        <w:t>the Secretariat are distinguished by the partners</w:t>
      </w:r>
      <w:r w:rsidR="0074385F" w:rsidRPr="00CC3404">
        <w:rPr>
          <w:rFonts w:ascii="Times New Roman" w:hAnsi="Times New Roman" w:cs="Times New Roman"/>
        </w:rPr>
        <w:t xml:space="preserve"> with which the Secretariat engages, namely </w:t>
      </w:r>
      <w:r w:rsidR="006B66BC" w:rsidRPr="00CC3404">
        <w:rPr>
          <w:rFonts w:ascii="Times New Roman" w:hAnsi="Times New Roman" w:cs="Times New Roman"/>
        </w:rPr>
        <w:t xml:space="preserve">other Convention Secretariats (e.g. through the Biodiversity Liaison Group, established by </w:t>
      </w:r>
      <w:r w:rsidR="00E24740" w:rsidRPr="00CC3404">
        <w:rPr>
          <w:rFonts w:ascii="Times New Roman" w:hAnsi="Times New Roman" w:cs="Times New Roman"/>
        </w:rPr>
        <w:t xml:space="preserve">the </w:t>
      </w:r>
      <w:r w:rsidR="006B66BC" w:rsidRPr="00CC3404">
        <w:rPr>
          <w:rFonts w:ascii="Times New Roman" w:hAnsi="Times New Roman" w:cs="Times New Roman"/>
        </w:rPr>
        <w:t xml:space="preserve">CBD COP and facilitated by </w:t>
      </w:r>
      <w:r w:rsidR="00E24740" w:rsidRPr="00CC3404">
        <w:rPr>
          <w:rFonts w:ascii="Times New Roman" w:hAnsi="Times New Roman" w:cs="Times New Roman"/>
        </w:rPr>
        <w:t xml:space="preserve">the </w:t>
      </w:r>
      <w:r w:rsidR="006B66BC" w:rsidRPr="00CC3404">
        <w:rPr>
          <w:rFonts w:ascii="Times New Roman" w:hAnsi="Times New Roman" w:cs="Times New Roman"/>
        </w:rPr>
        <w:t>CBD Secretariat</w:t>
      </w:r>
      <w:r w:rsidR="004E6202" w:rsidRPr="00CC3404">
        <w:rPr>
          <w:rFonts w:ascii="Times New Roman" w:hAnsi="Times New Roman" w:cs="Times New Roman"/>
        </w:rPr>
        <w:t>, hence similar to a “partnership”</w:t>
      </w:r>
      <w:r w:rsidR="006B66BC" w:rsidRPr="00CC3404">
        <w:rPr>
          <w:rFonts w:ascii="Times New Roman" w:hAnsi="Times New Roman" w:cs="Times New Roman"/>
        </w:rPr>
        <w:t>), and private sector</w:t>
      </w:r>
      <w:r w:rsidR="0074385F" w:rsidRPr="00CC3404">
        <w:rPr>
          <w:rFonts w:ascii="Times New Roman" w:hAnsi="Times New Roman" w:cs="Times New Roman"/>
        </w:rPr>
        <w:t xml:space="preserve"> entities</w:t>
      </w:r>
      <w:r w:rsidR="006B66BC" w:rsidRPr="00CC3404">
        <w:rPr>
          <w:rFonts w:ascii="Times New Roman" w:hAnsi="Times New Roman" w:cs="Times New Roman"/>
        </w:rPr>
        <w:t>, in practice large wetlands conservation projects with a single company</w:t>
      </w:r>
      <w:r w:rsidR="00050BA1" w:rsidRPr="00CC3404">
        <w:rPr>
          <w:rFonts w:ascii="Times New Roman" w:hAnsi="Times New Roman" w:cs="Times New Roman"/>
        </w:rPr>
        <w:t xml:space="preserve"> (in which the Secretariat and the company participate on an equal footing)</w:t>
      </w:r>
      <w:r w:rsidR="006B66BC" w:rsidRPr="00CC3404">
        <w:rPr>
          <w:rFonts w:ascii="Times New Roman" w:hAnsi="Times New Roman" w:cs="Times New Roman"/>
        </w:rPr>
        <w:t>.</w:t>
      </w:r>
    </w:p>
    <w:p w14:paraId="793958BB" w14:textId="77777777" w:rsidR="000B3044" w:rsidRPr="00CC3404" w:rsidRDefault="000B3044" w:rsidP="00AB64DD">
      <w:pPr>
        <w:autoSpaceDE w:val="0"/>
        <w:autoSpaceDN w:val="0"/>
        <w:adjustRightInd w:val="0"/>
        <w:spacing w:after="0" w:line="240" w:lineRule="auto"/>
        <w:jc w:val="both"/>
        <w:rPr>
          <w:rFonts w:ascii="Times New Roman" w:hAnsi="Times New Roman" w:cs="Times New Roman"/>
        </w:rPr>
      </w:pPr>
    </w:p>
    <w:p w14:paraId="691E5143" w14:textId="14A1502A" w:rsidR="00582CCB" w:rsidRPr="00CC3404" w:rsidRDefault="00CC3404" w:rsidP="00AB64DD">
      <w:pPr>
        <w:autoSpaceDE w:val="0"/>
        <w:autoSpaceDN w:val="0"/>
        <w:adjustRightInd w:val="0"/>
        <w:spacing w:after="0" w:line="240" w:lineRule="auto"/>
        <w:jc w:val="both"/>
        <w:rPr>
          <w:rFonts w:ascii="Times New Roman" w:hAnsi="Times New Roman" w:cs="Times New Roman"/>
        </w:rPr>
      </w:pPr>
      <w:r w:rsidRPr="00CC3404">
        <w:rPr>
          <w:rFonts w:ascii="Times New Roman" w:hAnsi="Times New Roman" w:cs="Times New Roman"/>
        </w:rPr>
        <w:t>53.</w:t>
      </w:r>
      <w:r w:rsidRPr="00CC3404">
        <w:rPr>
          <w:rFonts w:ascii="Times New Roman" w:hAnsi="Times New Roman" w:cs="Times New Roman"/>
        </w:rPr>
        <w:tab/>
      </w:r>
      <w:r w:rsidR="00DF6B2A" w:rsidRPr="00CC3404">
        <w:rPr>
          <w:rFonts w:ascii="Times New Roman" w:hAnsi="Times New Roman" w:cs="Times New Roman"/>
        </w:rPr>
        <w:t>UNEP</w:t>
      </w:r>
      <w:r w:rsidR="00EE25F4" w:rsidRPr="00CC3404">
        <w:rPr>
          <w:rFonts w:ascii="Times New Roman" w:hAnsi="Times New Roman" w:cs="Times New Roman"/>
        </w:rPr>
        <w:t xml:space="preserve"> and WHO</w:t>
      </w:r>
      <w:r w:rsidR="00DF6B2A" w:rsidRPr="00CC3404">
        <w:rPr>
          <w:rFonts w:ascii="Times New Roman" w:hAnsi="Times New Roman" w:cs="Times New Roman"/>
        </w:rPr>
        <w:t xml:space="preserve"> </w:t>
      </w:r>
      <w:r w:rsidR="0074385F" w:rsidRPr="00CC3404">
        <w:rPr>
          <w:rFonts w:ascii="Times New Roman" w:hAnsi="Times New Roman" w:cs="Times New Roman"/>
        </w:rPr>
        <w:t xml:space="preserve">likewise </w:t>
      </w:r>
      <w:r w:rsidR="00DF6B2A" w:rsidRPr="00CC3404">
        <w:rPr>
          <w:rFonts w:ascii="Times New Roman" w:hAnsi="Times New Roman" w:cs="Times New Roman"/>
        </w:rPr>
        <w:t xml:space="preserve">distinguish </w:t>
      </w:r>
      <w:r w:rsidR="0074385F" w:rsidRPr="00CC3404">
        <w:rPr>
          <w:rFonts w:ascii="Times New Roman" w:hAnsi="Times New Roman" w:cs="Times New Roman"/>
        </w:rPr>
        <w:t>partnerships through the types of partners and their contribution</w:t>
      </w:r>
      <w:r w:rsidR="003537DD" w:rsidRPr="00CC3404">
        <w:rPr>
          <w:rFonts w:ascii="Times New Roman" w:hAnsi="Times New Roman" w:cs="Times New Roman"/>
        </w:rPr>
        <w:t>s</w:t>
      </w:r>
      <w:r w:rsidR="0074385F" w:rsidRPr="00CC3404">
        <w:rPr>
          <w:rFonts w:ascii="Times New Roman" w:hAnsi="Times New Roman" w:cs="Times New Roman"/>
        </w:rPr>
        <w:t xml:space="preserve"> rather than </w:t>
      </w:r>
      <w:r w:rsidR="00EE25F4" w:rsidRPr="00CC3404">
        <w:rPr>
          <w:rFonts w:ascii="Times New Roman" w:hAnsi="Times New Roman" w:cs="Times New Roman"/>
        </w:rPr>
        <w:t xml:space="preserve">their own role in the partnership. </w:t>
      </w:r>
      <w:r w:rsidR="0074385F" w:rsidRPr="00CC3404">
        <w:rPr>
          <w:rFonts w:ascii="Times New Roman" w:hAnsi="Times New Roman" w:cs="Times New Roman"/>
        </w:rPr>
        <w:t xml:space="preserve"> </w:t>
      </w:r>
      <w:r w:rsidR="00EE25F4" w:rsidRPr="00CC3404">
        <w:rPr>
          <w:rFonts w:ascii="Times New Roman" w:hAnsi="Times New Roman" w:cs="Times New Roman"/>
        </w:rPr>
        <w:t xml:space="preserve">UNEP distinguishes between </w:t>
      </w:r>
      <w:r w:rsidR="00DF6B2A" w:rsidRPr="00CC3404">
        <w:rPr>
          <w:rFonts w:ascii="Times New Roman" w:hAnsi="Times New Roman" w:cs="Times New Roman"/>
        </w:rPr>
        <w:t>implementing partners (</w:t>
      </w:r>
      <w:r w:rsidR="00EE25F4" w:rsidRPr="00CC3404">
        <w:rPr>
          <w:rFonts w:ascii="Times New Roman" w:hAnsi="Times New Roman" w:cs="Times New Roman"/>
        </w:rPr>
        <w:t xml:space="preserve">private sector actors </w:t>
      </w:r>
      <w:r w:rsidR="00DF6B2A" w:rsidRPr="00CC3404">
        <w:rPr>
          <w:rFonts w:ascii="Times New Roman" w:hAnsi="Times New Roman" w:cs="Times New Roman"/>
        </w:rPr>
        <w:t xml:space="preserve">engaging actively in UNEP’s work or projects); financing partners (contributing funding to UNEP’s work); and members of discussion platforms such as UN Finance. Forms of engagement include business and industry dialogue (spreading a message through industry champions) and sectoral initiatives (producing defined outputs such as guidance materials). Types of engagement </w:t>
      </w:r>
      <w:r w:rsidR="00E24740" w:rsidRPr="00CC3404">
        <w:rPr>
          <w:rFonts w:ascii="Times New Roman" w:hAnsi="Times New Roman" w:cs="Times New Roman"/>
        </w:rPr>
        <w:t>by</w:t>
      </w:r>
      <w:r w:rsidR="00DF6B2A" w:rsidRPr="00CC3404">
        <w:rPr>
          <w:rFonts w:ascii="Times New Roman" w:hAnsi="Times New Roman" w:cs="Times New Roman"/>
        </w:rPr>
        <w:t xml:space="preserve"> non-state actors with WHO include financial or in-kind contributions</w:t>
      </w:r>
      <w:r w:rsidR="00A803EC" w:rsidRPr="00CC3404">
        <w:rPr>
          <w:rFonts w:ascii="Times New Roman" w:hAnsi="Times New Roman" w:cs="Times New Roman"/>
        </w:rPr>
        <w:t xml:space="preserve"> (resource mobilization arrangements)</w:t>
      </w:r>
      <w:r w:rsidR="00DF6B2A" w:rsidRPr="00CC3404">
        <w:rPr>
          <w:rFonts w:ascii="Times New Roman" w:hAnsi="Times New Roman" w:cs="Times New Roman"/>
        </w:rPr>
        <w:t xml:space="preserve">, provision of technical information, advocacy, technical collaboration on product development, capacity building, operational collaboration in emergencies, and contributing to the implementation of WHO’s policies. </w:t>
      </w:r>
    </w:p>
    <w:p w14:paraId="334CD292" w14:textId="77777777" w:rsidR="00582CCB" w:rsidRPr="00CC3404" w:rsidRDefault="00582CCB" w:rsidP="00AB64DD">
      <w:pPr>
        <w:autoSpaceDE w:val="0"/>
        <w:autoSpaceDN w:val="0"/>
        <w:adjustRightInd w:val="0"/>
        <w:spacing w:after="0" w:line="240" w:lineRule="auto"/>
        <w:jc w:val="both"/>
        <w:rPr>
          <w:rFonts w:ascii="Times New Roman" w:hAnsi="Times New Roman" w:cs="Times New Roman"/>
        </w:rPr>
      </w:pPr>
    </w:p>
    <w:p w14:paraId="37770D64" w14:textId="4DBE38D0" w:rsidR="00DF6B2A" w:rsidRPr="00CC3404" w:rsidRDefault="00CC3404" w:rsidP="005F46B6">
      <w:pPr>
        <w:autoSpaceDE w:val="0"/>
        <w:autoSpaceDN w:val="0"/>
        <w:adjustRightInd w:val="0"/>
        <w:spacing w:line="240" w:lineRule="auto"/>
        <w:jc w:val="both"/>
        <w:rPr>
          <w:rFonts w:ascii="Times New Roman" w:hAnsi="Times New Roman" w:cs="Times New Roman"/>
        </w:rPr>
      </w:pPr>
      <w:r w:rsidRPr="00CC3404">
        <w:rPr>
          <w:rFonts w:ascii="Times New Roman" w:hAnsi="Times New Roman" w:cs="Times New Roman"/>
        </w:rPr>
        <w:t>54.</w:t>
      </w:r>
      <w:r w:rsidRPr="00CC3404">
        <w:rPr>
          <w:rFonts w:ascii="Times New Roman" w:hAnsi="Times New Roman" w:cs="Times New Roman"/>
        </w:rPr>
        <w:tab/>
      </w:r>
      <w:r w:rsidR="00DF6B2A" w:rsidRPr="00CC3404">
        <w:rPr>
          <w:rFonts w:ascii="Times New Roman" w:hAnsi="Times New Roman" w:cs="Times New Roman"/>
        </w:rPr>
        <w:t xml:space="preserve">Roles of business partners under the </w:t>
      </w:r>
      <w:proofErr w:type="spellStart"/>
      <w:r w:rsidR="00DF6B2A" w:rsidRPr="00CC3404">
        <w:rPr>
          <w:rFonts w:ascii="Times New Roman" w:hAnsi="Times New Roman" w:cs="Times New Roman"/>
        </w:rPr>
        <w:t>Ramsar</w:t>
      </w:r>
      <w:proofErr w:type="spellEnd"/>
      <w:r w:rsidR="00DF6B2A" w:rsidRPr="00CC3404">
        <w:rPr>
          <w:rFonts w:ascii="Times New Roman" w:hAnsi="Times New Roman" w:cs="Times New Roman"/>
        </w:rPr>
        <w:t xml:space="preserve"> Convention are engagement in technical cooperation and capacity building programmes</w:t>
      </w:r>
      <w:r w:rsidR="00D76307" w:rsidRPr="00CC3404">
        <w:rPr>
          <w:rFonts w:ascii="Times New Roman" w:hAnsi="Times New Roman" w:cs="Times New Roman"/>
        </w:rPr>
        <w:t xml:space="preserve">, </w:t>
      </w:r>
      <w:r w:rsidR="00DF6B2A" w:rsidRPr="00CC3404">
        <w:rPr>
          <w:rFonts w:ascii="Times New Roman" w:hAnsi="Times New Roman" w:cs="Times New Roman"/>
        </w:rPr>
        <w:t>and informal or formal provision of information</w:t>
      </w:r>
      <w:r w:rsidR="008B6A61" w:rsidRPr="00CC3404">
        <w:rPr>
          <w:rFonts w:ascii="Times New Roman" w:hAnsi="Times New Roman" w:cs="Times New Roman"/>
        </w:rPr>
        <w:t>.</w:t>
      </w:r>
      <w:r w:rsidR="001C65D2" w:rsidRPr="00CC3404">
        <w:rPr>
          <w:rFonts w:ascii="Times New Roman" w:hAnsi="Times New Roman" w:cs="Times New Roman"/>
        </w:rPr>
        <w:t xml:space="preserve"> </w:t>
      </w:r>
      <w:r w:rsidR="00DB0044" w:rsidRPr="00CC3404">
        <w:rPr>
          <w:rFonts w:ascii="Times New Roman" w:hAnsi="Times New Roman" w:cs="Times New Roman"/>
        </w:rPr>
        <w:t xml:space="preserve">The UNFCCC Secretariat </w:t>
      </w:r>
      <w:r w:rsidR="00626AB3" w:rsidRPr="00CC3404">
        <w:rPr>
          <w:rFonts w:ascii="Times New Roman" w:hAnsi="Times New Roman" w:cs="Times New Roman"/>
        </w:rPr>
        <w:t xml:space="preserve">engages in </w:t>
      </w:r>
      <w:r w:rsidR="00DB0044" w:rsidRPr="00CC3404">
        <w:rPr>
          <w:rFonts w:ascii="Times New Roman" w:hAnsi="Times New Roman" w:cs="Times New Roman"/>
        </w:rPr>
        <w:t>procurement relationships (exchange of goods/services for monetary compensation) and partnerships that are based on the pursuit of common objectives, into which the secretariat and the partner(s) invest resources without seeking financial gain. UNFCCC partnerships are non-exclusive and open to multiple partners at any time.</w:t>
      </w:r>
      <w:r w:rsidR="006B66BC" w:rsidRPr="00CC3404">
        <w:rPr>
          <w:rFonts w:ascii="Times New Roman" w:hAnsi="Times New Roman" w:cs="Times New Roman"/>
        </w:rPr>
        <w:t xml:space="preserve"> </w:t>
      </w:r>
      <w:r w:rsidR="00626AB3" w:rsidRPr="00CC3404">
        <w:rPr>
          <w:rFonts w:ascii="Times New Roman" w:hAnsi="Times New Roman" w:cs="Times New Roman"/>
        </w:rPr>
        <w:t xml:space="preserve">The </w:t>
      </w:r>
      <w:r w:rsidR="006B66BC" w:rsidRPr="00CC3404">
        <w:rPr>
          <w:rFonts w:ascii="Times New Roman" w:hAnsi="Times New Roman" w:cs="Times New Roman"/>
        </w:rPr>
        <w:t xml:space="preserve">UNCCD </w:t>
      </w:r>
      <w:r w:rsidR="00626AB3" w:rsidRPr="00CC3404">
        <w:rPr>
          <w:rFonts w:ascii="Times New Roman" w:hAnsi="Times New Roman" w:cs="Times New Roman"/>
        </w:rPr>
        <w:t>d</w:t>
      </w:r>
      <w:r w:rsidR="006B66BC" w:rsidRPr="00CC3404">
        <w:rPr>
          <w:rFonts w:ascii="Times New Roman" w:hAnsi="Times New Roman" w:cs="Times New Roman"/>
        </w:rPr>
        <w:t>istinguishes between collaborative projects (joint development of a product or service)</w:t>
      </w:r>
      <w:r w:rsidR="00626AB3" w:rsidRPr="00CC3404">
        <w:rPr>
          <w:rFonts w:ascii="Times New Roman" w:hAnsi="Times New Roman" w:cs="Times New Roman"/>
        </w:rPr>
        <w:t>;</w:t>
      </w:r>
      <w:r w:rsidR="006B66BC" w:rsidRPr="00CC3404">
        <w:rPr>
          <w:rFonts w:ascii="Times New Roman" w:hAnsi="Times New Roman" w:cs="Times New Roman"/>
        </w:rPr>
        <w:t xml:space="preserve"> direct financial contribution by business entity (e.g.</w:t>
      </w:r>
      <w:r w:rsidR="002D5D5E">
        <w:rPr>
          <w:rFonts w:ascii="Times New Roman" w:hAnsi="Times New Roman" w:cs="Times New Roman"/>
        </w:rPr>
        <w:t>,</w:t>
      </w:r>
      <w:r w:rsidR="006B66BC" w:rsidRPr="00CC3404">
        <w:rPr>
          <w:rFonts w:ascii="Times New Roman" w:hAnsi="Times New Roman" w:cs="Times New Roman"/>
        </w:rPr>
        <w:t xml:space="preserve"> to</w:t>
      </w:r>
      <w:r w:rsidR="00626AB3" w:rsidRPr="00CC3404">
        <w:rPr>
          <w:rFonts w:ascii="Times New Roman" w:hAnsi="Times New Roman" w:cs="Times New Roman"/>
        </w:rPr>
        <w:t xml:space="preserve"> a</w:t>
      </w:r>
      <w:r w:rsidR="006B66BC" w:rsidRPr="00CC3404">
        <w:rPr>
          <w:rFonts w:ascii="Times New Roman" w:hAnsi="Times New Roman" w:cs="Times New Roman"/>
        </w:rPr>
        <w:t xml:space="preserve"> trust fund); indirect financial contribution by business entity through establishment of a foundation; partnership in </w:t>
      </w:r>
      <w:r w:rsidR="00626AB3" w:rsidRPr="00CC3404">
        <w:rPr>
          <w:rFonts w:ascii="Times New Roman" w:hAnsi="Times New Roman" w:cs="Times New Roman"/>
        </w:rPr>
        <w:t>technical assistance</w:t>
      </w:r>
      <w:r w:rsidR="006B66BC" w:rsidRPr="00CC3404">
        <w:rPr>
          <w:rFonts w:ascii="Times New Roman" w:hAnsi="Times New Roman" w:cs="Times New Roman"/>
        </w:rPr>
        <w:t xml:space="preserve"> projects</w:t>
      </w:r>
      <w:r w:rsidR="00626AB3" w:rsidRPr="00CC3404">
        <w:rPr>
          <w:rFonts w:ascii="Times New Roman" w:hAnsi="Times New Roman" w:cs="Times New Roman"/>
        </w:rPr>
        <w:t xml:space="preserve">; and </w:t>
      </w:r>
      <w:r w:rsidR="006B66BC" w:rsidRPr="00CC3404">
        <w:rPr>
          <w:rFonts w:ascii="Times New Roman" w:hAnsi="Times New Roman" w:cs="Times New Roman"/>
        </w:rPr>
        <w:t xml:space="preserve">partnership in promoting purposes and activities of the Convention </w:t>
      </w:r>
      <w:r w:rsidR="00626AB3" w:rsidRPr="00CC3404">
        <w:rPr>
          <w:rFonts w:ascii="Times New Roman" w:hAnsi="Times New Roman" w:cs="Times New Roman"/>
        </w:rPr>
        <w:t>(</w:t>
      </w:r>
      <w:r w:rsidR="006B66BC" w:rsidRPr="00CC3404">
        <w:rPr>
          <w:rFonts w:ascii="Times New Roman" w:hAnsi="Times New Roman" w:cs="Times New Roman"/>
        </w:rPr>
        <w:t>business partner</w:t>
      </w:r>
      <w:r w:rsidR="00626AB3" w:rsidRPr="00CC3404">
        <w:rPr>
          <w:rFonts w:ascii="Times New Roman" w:hAnsi="Times New Roman" w:cs="Times New Roman"/>
        </w:rPr>
        <w:t xml:space="preserve"> providing a forum for disseminating information about the </w:t>
      </w:r>
      <w:r w:rsidR="00033A9A" w:rsidRPr="00CC3404">
        <w:rPr>
          <w:rFonts w:ascii="Times New Roman" w:hAnsi="Times New Roman" w:cs="Times New Roman"/>
        </w:rPr>
        <w:t>Convention</w:t>
      </w:r>
      <w:r w:rsidR="00626AB3" w:rsidRPr="00CC3404">
        <w:rPr>
          <w:rFonts w:ascii="Times New Roman" w:hAnsi="Times New Roman" w:cs="Times New Roman"/>
        </w:rPr>
        <w:t>).</w:t>
      </w:r>
    </w:p>
    <w:p w14:paraId="31FE43A1" w14:textId="1CB0BEC4" w:rsidR="00604296" w:rsidRPr="00CC3404" w:rsidRDefault="008E5E78" w:rsidP="00AB64DD">
      <w:pPr>
        <w:pStyle w:val="Heading2"/>
        <w:rPr>
          <w:rFonts w:ascii="Times New Roman" w:hAnsi="Times New Roman" w:cs="Times New Roman"/>
          <w:color w:val="auto"/>
        </w:rPr>
      </w:pPr>
      <w:bookmarkStart w:id="28" w:name="_Toc531103784"/>
      <w:r w:rsidRPr="00CC3404">
        <w:rPr>
          <w:rFonts w:ascii="Times New Roman" w:hAnsi="Times New Roman" w:cs="Times New Roman"/>
          <w:color w:val="auto"/>
        </w:rPr>
        <w:t xml:space="preserve">5.2 </w:t>
      </w:r>
      <w:r w:rsidR="00B745B6" w:rsidRPr="00CC3404">
        <w:rPr>
          <w:rFonts w:ascii="Times New Roman" w:hAnsi="Times New Roman" w:cs="Times New Roman"/>
          <w:color w:val="auto"/>
        </w:rPr>
        <w:tab/>
      </w:r>
      <w:r w:rsidR="00604296" w:rsidRPr="003724EF">
        <w:rPr>
          <w:rFonts w:ascii="Times New Roman" w:hAnsi="Times New Roman" w:cs="Times New Roman"/>
          <w:b/>
          <w:bCs/>
          <w:color w:val="auto"/>
        </w:rPr>
        <w:t>Framework, strategy or principles governing partnership</w:t>
      </w:r>
      <w:r w:rsidR="00110617" w:rsidRPr="003724EF">
        <w:rPr>
          <w:rFonts w:ascii="Times New Roman" w:hAnsi="Times New Roman" w:cs="Times New Roman"/>
          <w:b/>
          <w:bCs/>
          <w:color w:val="auto"/>
        </w:rPr>
        <w:t xml:space="preserve">s and other cooperation </w:t>
      </w:r>
      <w:r w:rsidR="00604296" w:rsidRPr="003724EF">
        <w:rPr>
          <w:rFonts w:ascii="Times New Roman" w:hAnsi="Times New Roman" w:cs="Times New Roman"/>
          <w:b/>
          <w:bCs/>
          <w:color w:val="auto"/>
        </w:rPr>
        <w:t>arrangements</w:t>
      </w:r>
      <w:bookmarkEnd w:id="28"/>
      <w:r w:rsidR="00604296" w:rsidRPr="00CC3404">
        <w:rPr>
          <w:rFonts w:ascii="Times New Roman" w:hAnsi="Times New Roman" w:cs="Times New Roman"/>
          <w:color w:val="auto"/>
        </w:rPr>
        <w:t xml:space="preserve"> </w:t>
      </w:r>
    </w:p>
    <w:p w14:paraId="62AFF4A8" w14:textId="4B0BF561" w:rsidR="00324FD0" w:rsidRPr="00CC3404" w:rsidRDefault="00CC3404" w:rsidP="00AB64DD">
      <w:pPr>
        <w:spacing w:before="120"/>
        <w:jc w:val="both"/>
        <w:rPr>
          <w:rFonts w:ascii="Times New Roman" w:hAnsi="Times New Roman" w:cs="Times New Roman"/>
          <w:b/>
          <w:i/>
          <w:lang w:val="en-US"/>
        </w:rPr>
      </w:pPr>
      <w:r w:rsidRPr="00CC3404">
        <w:rPr>
          <w:rFonts w:ascii="Times New Roman" w:hAnsi="Times New Roman" w:cs="Times New Roman"/>
        </w:rPr>
        <w:t>55.</w:t>
      </w:r>
      <w:r w:rsidRPr="00CC3404">
        <w:rPr>
          <w:rFonts w:ascii="Times New Roman" w:hAnsi="Times New Roman" w:cs="Times New Roman"/>
        </w:rPr>
        <w:tab/>
      </w:r>
      <w:r w:rsidR="00604296" w:rsidRPr="00CC3404">
        <w:rPr>
          <w:rFonts w:ascii="Times New Roman" w:hAnsi="Times New Roman" w:cs="Times New Roman"/>
        </w:rPr>
        <w:t xml:space="preserve">The elaboration and adoption of a partnership strategy or similar instrument is an approach chosen by </w:t>
      </w:r>
      <w:r w:rsidR="00033A9A" w:rsidRPr="00CC3404">
        <w:rPr>
          <w:rFonts w:ascii="Times New Roman" w:hAnsi="Times New Roman" w:cs="Times New Roman"/>
        </w:rPr>
        <w:t xml:space="preserve">many UN entities and a few </w:t>
      </w:r>
      <w:r w:rsidR="00604296" w:rsidRPr="00CC3404">
        <w:rPr>
          <w:rFonts w:ascii="Times New Roman" w:hAnsi="Times New Roman" w:cs="Times New Roman"/>
        </w:rPr>
        <w:t>MEAs to define the types of partnerships</w:t>
      </w:r>
      <w:r w:rsidR="00033A9A" w:rsidRPr="00CC3404">
        <w:rPr>
          <w:rFonts w:ascii="Times New Roman" w:hAnsi="Times New Roman" w:cs="Times New Roman"/>
        </w:rPr>
        <w:t xml:space="preserve"> in which they engage</w:t>
      </w:r>
      <w:r w:rsidR="00582CCB" w:rsidRPr="00CC3404">
        <w:rPr>
          <w:rFonts w:ascii="Times New Roman" w:hAnsi="Times New Roman" w:cs="Times New Roman"/>
        </w:rPr>
        <w:t>; to</w:t>
      </w:r>
      <w:r w:rsidR="00033A9A" w:rsidRPr="00CC3404">
        <w:rPr>
          <w:rFonts w:ascii="Times New Roman" w:hAnsi="Times New Roman" w:cs="Times New Roman"/>
        </w:rPr>
        <w:t xml:space="preserve"> </w:t>
      </w:r>
      <w:r w:rsidR="00604296" w:rsidRPr="00CC3404">
        <w:rPr>
          <w:rFonts w:ascii="Times New Roman" w:hAnsi="Times New Roman" w:cs="Times New Roman"/>
        </w:rPr>
        <w:t>ensure consistency</w:t>
      </w:r>
      <w:r w:rsidR="005D1D1E" w:rsidRPr="00CC3404">
        <w:rPr>
          <w:rFonts w:ascii="Times New Roman" w:hAnsi="Times New Roman" w:cs="Times New Roman"/>
        </w:rPr>
        <w:t xml:space="preserve"> of the manner of engagement</w:t>
      </w:r>
      <w:r w:rsidR="00582CCB" w:rsidRPr="00CC3404">
        <w:rPr>
          <w:rFonts w:ascii="Times New Roman" w:hAnsi="Times New Roman" w:cs="Times New Roman"/>
        </w:rPr>
        <w:t>; and to</w:t>
      </w:r>
      <w:r w:rsidR="00604296" w:rsidRPr="00CC3404">
        <w:rPr>
          <w:rFonts w:ascii="Times New Roman" w:hAnsi="Times New Roman" w:cs="Times New Roman"/>
        </w:rPr>
        <w:t xml:space="preserve"> </w:t>
      </w:r>
      <w:r w:rsidR="00582CCB" w:rsidRPr="00CC3404">
        <w:rPr>
          <w:rFonts w:ascii="Times New Roman" w:hAnsi="Times New Roman" w:cs="Times New Roman"/>
        </w:rPr>
        <w:t xml:space="preserve">contain or </w:t>
      </w:r>
      <w:r w:rsidR="00604296" w:rsidRPr="00CC3404">
        <w:rPr>
          <w:rFonts w:ascii="Times New Roman" w:hAnsi="Times New Roman" w:cs="Times New Roman"/>
        </w:rPr>
        <w:t>mitigate</w:t>
      </w:r>
      <w:r w:rsidR="00582CCB" w:rsidRPr="00CC3404">
        <w:rPr>
          <w:rFonts w:ascii="Times New Roman" w:hAnsi="Times New Roman" w:cs="Times New Roman"/>
        </w:rPr>
        <w:t xml:space="preserve"> the</w:t>
      </w:r>
      <w:r w:rsidR="00604296" w:rsidRPr="00CC3404">
        <w:rPr>
          <w:rFonts w:ascii="Times New Roman" w:hAnsi="Times New Roman" w:cs="Times New Roman"/>
        </w:rPr>
        <w:t xml:space="preserve"> risks. These instruments </w:t>
      </w:r>
      <w:r w:rsidR="00110617" w:rsidRPr="00CC3404">
        <w:rPr>
          <w:rFonts w:ascii="Times New Roman" w:hAnsi="Times New Roman" w:cs="Times New Roman"/>
        </w:rPr>
        <w:t xml:space="preserve">generally </w:t>
      </w:r>
      <w:r w:rsidR="00604296" w:rsidRPr="00CC3404">
        <w:rPr>
          <w:rFonts w:ascii="Times New Roman" w:hAnsi="Times New Roman" w:cs="Times New Roman"/>
        </w:rPr>
        <w:t xml:space="preserve">set out </w:t>
      </w:r>
      <w:r w:rsidR="005D1D1E" w:rsidRPr="00CC3404">
        <w:rPr>
          <w:rFonts w:ascii="Times New Roman" w:hAnsi="Times New Roman" w:cs="Times New Roman"/>
        </w:rPr>
        <w:t xml:space="preserve">the </w:t>
      </w:r>
      <w:r w:rsidR="00604296" w:rsidRPr="00CC3404">
        <w:rPr>
          <w:rFonts w:ascii="Times New Roman" w:hAnsi="Times New Roman" w:cs="Times New Roman"/>
        </w:rPr>
        <w:t xml:space="preserve">principles </w:t>
      </w:r>
      <w:r w:rsidR="00110617" w:rsidRPr="00CC3404">
        <w:rPr>
          <w:rFonts w:ascii="Times New Roman" w:hAnsi="Times New Roman" w:cs="Times New Roman"/>
        </w:rPr>
        <w:t xml:space="preserve">governing the </w:t>
      </w:r>
      <w:r w:rsidR="00604296" w:rsidRPr="00CC3404">
        <w:rPr>
          <w:rFonts w:ascii="Times New Roman" w:hAnsi="Times New Roman" w:cs="Times New Roman"/>
        </w:rPr>
        <w:t>partnerships</w:t>
      </w:r>
      <w:r w:rsidR="00D76307" w:rsidRPr="00CC3404">
        <w:rPr>
          <w:rFonts w:ascii="Times New Roman" w:hAnsi="Times New Roman" w:cs="Times New Roman"/>
        </w:rPr>
        <w:t xml:space="preserve"> - often referring to, or building on, the UN Guidelines-</w:t>
      </w:r>
      <w:r w:rsidR="00324FD0" w:rsidRPr="00CC3404">
        <w:rPr>
          <w:rFonts w:ascii="Times New Roman" w:hAnsi="Times New Roman" w:cs="Times New Roman"/>
        </w:rPr>
        <w:t xml:space="preserve">, and </w:t>
      </w:r>
      <w:r w:rsidR="00582CCB" w:rsidRPr="00CC3404">
        <w:rPr>
          <w:rFonts w:ascii="Times New Roman" w:hAnsi="Times New Roman" w:cs="Times New Roman"/>
        </w:rPr>
        <w:t>more detailed guidelines for the establishment and management of the partnerships</w:t>
      </w:r>
      <w:r w:rsidR="000C7010" w:rsidRPr="00CC3404">
        <w:rPr>
          <w:rFonts w:ascii="Times New Roman" w:hAnsi="Times New Roman" w:cs="Times New Roman"/>
        </w:rPr>
        <w:t>.</w:t>
      </w:r>
      <w:r w:rsidR="00604296" w:rsidRPr="00CC3404">
        <w:rPr>
          <w:rFonts w:ascii="Times New Roman" w:hAnsi="Times New Roman" w:cs="Times New Roman"/>
        </w:rPr>
        <w:t xml:space="preserve"> </w:t>
      </w:r>
      <w:r w:rsidR="00842C4E" w:rsidRPr="00CC3404">
        <w:rPr>
          <w:rFonts w:ascii="Times New Roman" w:hAnsi="Times New Roman" w:cs="Times New Roman"/>
        </w:rPr>
        <w:t>For</w:t>
      </w:r>
      <w:r w:rsidR="00110617" w:rsidRPr="00CC3404">
        <w:rPr>
          <w:rFonts w:ascii="Times New Roman" w:hAnsi="Times New Roman" w:cs="Times New Roman"/>
        </w:rPr>
        <w:t xml:space="preserve"> some organizations, these instruments are adopted by the governing bod</w:t>
      </w:r>
      <w:r w:rsidR="00033A9A" w:rsidRPr="00CC3404">
        <w:rPr>
          <w:rFonts w:ascii="Times New Roman" w:hAnsi="Times New Roman" w:cs="Times New Roman"/>
        </w:rPr>
        <w:t>y</w:t>
      </w:r>
      <w:r w:rsidR="007D250E" w:rsidRPr="00CC3404">
        <w:rPr>
          <w:rFonts w:ascii="Times New Roman" w:hAnsi="Times New Roman" w:cs="Times New Roman"/>
        </w:rPr>
        <w:t xml:space="preserve">, which thereby assumes control of the </w:t>
      </w:r>
      <w:r w:rsidR="00324FD0" w:rsidRPr="00CC3404">
        <w:rPr>
          <w:rFonts w:ascii="Times New Roman" w:hAnsi="Times New Roman" w:cs="Times New Roman"/>
        </w:rPr>
        <w:t xml:space="preserve">establishment of </w:t>
      </w:r>
      <w:r w:rsidR="007D250E" w:rsidRPr="00CC3404">
        <w:rPr>
          <w:rFonts w:ascii="Times New Roman" w:hAnsi="Times New Roman" w:cs="Times New Roman"/>
        </w:rPr>
        <w:t xml:space="preserve">partnerships </w:t>
      </w:r>
      <w:r w:rsidR="00324FD0" w:rsidRPr="00CC3404">
        <w:rPr>
          <w:rFonts w:ascii="Times New Roman" w:hAnsi="Times New Roman" w:cs="Times New Roman"/>
        </w:rPr>
        <w:t>by</w:t>
      </w:r>
      <w:r w:rsidR="007D250E" w:rsidRPr="00CC3404">
        <w:rPr>
          <w:rFonts w:ascii="Times New Roman" w:hAnsi="Times New Roman" w:cs="Times New Roman"/>
        </w:rPr>
        <w:t xml:space="preserve"> the organization’s secretariat</w:t>
      </w:r>
      <w:r w:rsidR="00110617" w:rsidRPr="00CC3404">
        <w:rPr>
          <w:rFonts w:ascii="Times New Roman" w:hAnsi="Times New Roman" w:cs="Times New Roman"/>
        </w:rPr>
        <w:t xml:space="preserve">. Examples </w:t>
      </w:r>
      <w:r w:rsidR="007D250E" w:rsidRPr="00CC3404">
        <w:rPr>
          <w:rFonts w:ascii="Times New Roman" w:hAnsi="Times New Roman" w:cs="Times New Roman"/>
        </w:rPr>
        <w:t xml:space="preserve">include </w:t>
      </w:r>
      <w:r w:rsidR="00604296" w:rsidRPr="00CC3404">
        <w:rPr>
          <w:rFonts w:ascii="Times New Roman" w:hAnsi="Times New Roman" w:cs="Times New Roman"/>
        </w:rPr>
        <w:t>UNICEF’s Strategic Framework for Partnerships, adopted by the organization’s Executive Board</w:t>
      </w:r>
      <w:r w:rsidR="00110617" w:rsidRPr="00CC3404">
        <w:rPr>
          <w:rFonts w:ascii="Times New Roman" w:hAnsi="Times New Roman" w:cs="Times New Roman"/>
        </w:rPr>
        <w:t xml:space="preserve">; </w:t>
      </w:r>
      <w:r w:rsidR="00604296" w:rsidRPr="00CC3404">
        <w:rPr>
          <w:rFonts w:ascii="Times New Roman" w:hAnsi="Times New Roman" w:cs="Times New Roman"/>
        </w:rPr>
        <w:t>WHO</w:t>
      </w:r>
      <w:r w:rsidR="00110617" w:rsidRPr="00CC3404">
        <w:rPr>
          <w:rFonts w:ascii="Times New Roman" w:hAnsi="Times New Roman" w:cs="Times New Roman"/>
        </w:rPr>
        <w:t xml:space="preserve">’s </w:t>
      </w:r>
      <w:r w:rsidR="00604296" w:rsidRPr="00CC3404">
        <w:rPr>
          <w:rFonts w:ascii="Times New Roman" w:hAnsi="Times New Roman" w:cs="Times New Roman"/>
        </w:rPr>
        <w:t xml:space="preserve">Framework of Engagement with non-State actors (FENSA) and </w:t>
      </w:r>
      <w:r w:rsidR="00110617" w:rsidRPr="00CC3404">
        <w:rPr>
          <w:rFonts w:ascii="Times New Roman" w:hAnsi="Times New Roman" w:cs="Times New Roman"/>
        </w:rPr>
        <w:t xml:space="preserve">the </w:t>
      </w:r>
      <w:r w:rsidR="00604296" w:rsidRPr="00CC3404">
        <w:rPr>
          <w:rFonts w:ascii="Times New Roman" w:hAnsi="Times New Roman" w:cs="Times New Roman"/>
        </w:rPr>
        <w:t>Policy on WHO Engagement with Global Health Partnerships and Hosting Arrangements</w:t>
      </w:r>
      <w:r w:rsidR="00110617" w:rsidRPr="00CC3404">
        <w:rPr>
          <w:rFonts w:ascii="Times New Roman" w:hAnsi="Times New Roman" w:cs="Times New Roman"/>
        </w:rPr>
        <w:t xml:space="preserve">, </w:t>
      </w:r>
      <w:r w:rsidR="00604296" w:rsidRPr="00CC3404">
        <w:rPr>
          <w:rFonts w:ascii="Times New Roman" w:hAnsi="Times New Roman" w:cs="Times New Roman"/>
        </w:rPr>
        <w:t>adopted by the World Health Assembly</w:t>
      </w:r>
      <w:r w:rsidR="00033A9A" w:rsidRPr="00CC3404">
        <w:rPr>
          <w:rFonts w:ascii="Times New Roman" w:hAnsi="Times New Roman" w:cs="Times New Roman"/>
        </w:rPr>
        <w:t>;</w:t>
      </w:r>
      <w:r w:rsidR="007D250E" w:rsidRPr="00CC3404">
        <w:rPr>
          <w:rFonts w:ascii="Times New Roman" w:hAnsi="Times New Roman" w:cs="Times New Roman"/>
        </w:rPr>
        <w:t xml:space="preserve"> and the </w:t>
      </w:r>
      <w:proofErr w:type="spellStart"/>
      <w:r w:rsidR="007D250E" w:rsidRPr="00CC3404">
        <w:rPr>
          <w:rFonts w:ascii="Times New Roman" w:hAnsi="Times New Roman" w:cs="Times New Roman"/>
        </w:rPr>
        <w:t>Ramsar</w:t>
      </w:r>
      <w:proofErr w:type="spellEnd"/>
      <w:r w:rsidR="007D250E" w:rsidRPr="00CC3404">
        <w:rPr>
          <w:rFonts w:ascii="Times New Roman" w:hAnsi="Times New Roman" w:cs="Times New Roman"/>
        </w:rPr>
        <w:t xml:space="preserve"> Convention’s Principles for Partnership between the </w:t>
      </w:r>
      <w:proofErr w:type="spellStart"/>
      <w:r w:rsidR="007D250E" w:rsidRPr="00CC3404">
        <w:rPr>
          <w:rFonts w:ascii="Times New Roman" w:hAnsi="Times New Roman" w:cs="Times New Roman"/>
        </w:rPr>
        <w:t>Ramsar</w:t>
      </w:r>
      <w:proofErr w:type="spellEnd"/>
      <w:r w:rsidR="007D250E" w:rsidRPr="00CC3404">
        <w:rPr>
          <w:rFonts w:ascii="Times New Roman" w:hAnsi="Times New Roman" w:cs="Times New Roman"/>
        </w:rPr>
        <w:t xml:space="preserve"> Convention and the Business </w:t>
      </w:r>
      <w:r w:rsidR="00033A9A" w:rsidRPr="00CC3404">
        <w:rPr>
          <w:rFonts w:ascii="Times New Roman" w:hAnsi="Times New Roman" w:cs="Times New Roman"/>
        </w:rPr>
        <w:t>S</w:t>
      </w:r>
      <w:r w:rsidR="007D250E" w:rsidRPr="00CC3404">
        <w:rPr>
          <w:rFonts w:ascii="Times New Roman" w:hAnsi="Times New Roman" w:cs="Times New Roman"/>
        </w:rPr>
        <w:t>ector, adopted by the COP.</w:t>
      </w:r>
      <w:r w:rsidR="007567F3" w:rsidRPr="00CC3404">
        <w:rPr>
          <w:rFonts w:ascii="Times New Roman" w:hAnsi="Times New Roman" w:cs="Times New Roman"/>
        </w:rPr>
        <w:t xml:space="preserve"> </w:t>
      </w:r>
      <w:r w:rsidR="007D250E" w:rsidRPr="00CC3404">
        <w:rPr>
          <w:rFonts w:ascii="Times New Roman" w:hAnsi="Times New Roman" w:cs="Times New Roman"/>
        </w:rPr>
        <w:t xml:space="preserve">Another option is </w:t>
      </w:r>
      <w:r w:rsidR="00324FD0" w:rsidRPr="00CC3404">
        <w:rPr>
          <w:rFonts w:ascii="Times New Roman" w:hAnsi="Times New Roman" w:cs="Times New Roman"/>
        </w:rPr>
        <w:t xml:space="preserve">the </w:t>
      </w:r>
      <w:r w:rsidR="007567F3" w:rsidRPr="00CC3404">
        <w:rPr>
          <w:rFonts w:ascii="Times New Roman" w:hAnsi="Times New Roman" w:cs="Times New Roman"/>
        </w:rPr>
        <w:t xml:space="preserve">development of a strategy document by the secretariat </w:t>
      </w:r>
      <w:r w:rsidR="007D250E" w:rsidRPr="00CC3404">
        <w:rPr>
          <w:rFonts w:ascii="Times New Roman" w:hAnsi="Times New Roman" w:cs="Times New Roman"/>
        </w:rPr>
        <w:t>pursuant to a mandate</w:t>
      </w:r>
      <w:r w:rsidR="00324FD0" w:rsidRPr="00CC3404">
        <w:rPr>
          <w:rFonts w:ascii="Times New Roman" w:hAnsi="Times New Roman" w:cs="Times New Roman"/>
        </w:rPr>
        <w:t xml:space="preserve"> from</w:t>
      </w:r>
      <w:r w:rsidR="007D250E" w:rsidRPr="00CC3404">
        <w:rPr>
          <w:rFonts w:ascii="Times New Roman" w:hAnsi="Times New Roman" w:cs="Times New Roman"/>
        </w:rPr>
        <w:t xml:space="preserve"> the COP</w:t>
      </w:r>
      <w:r w:rsidR="007567F3" w:rsidRPr="00CC3404">
        <w:rPr>
          <w:rFonts w:ascii="Times New Roman" w:hAnsi="Times New Roman" w:cs="Times New Roman"/>
        </w:rPr>
        <w:t>, as in the case of the UNCCD</w:t>
      </w:r>
      <w:r w:rsidR="00604296" w:rsidRPr="00CC3404">
        <w:rPr>
          <w:rFonts w:ascii="Times New Roman" w:hAnsi="Times New Roman" w:cs="Times New Roman"/>
        </w:rPr>
        <w:t xml:space="preserve">. </w:t>
      </w:r>
      <w:r w:rsidR="007567F3" w:rsidRPr="00CC3404">
        <w:rPr>
          <w:rFonts w:ascii="Times New Roman" w:hAnsi="Times New Roman" w:cs="Times New Roman"/>
        </w:rPr>
        <w:t xml:space="preserve">The secretariats of some organizations and MEAs, for example FAO, UNEP and the UNFCCC, have developed their own strategy </w:t>
      </w:r>
      <w:r w:rsidR="00360DA1" w:rsidRPr="00CC3404">
        <w:rPr>
          <w:rFonts w:ascii="Times New Roman" w:hAnsi="Times New Roman" w:cs="Times New Roman"/>
        </w:rPr>
        <w:t>and/</w:t>
      </w:r>
      <w:r w:rsidR="007567F3" w:rsidRPr="00CC3404">
        <w:rPr>
          <w:rFonts w:ascii="Times New Roman" w:hAnsi="Times New Roman" w:cs="Times New Roman"/>
        </w:rPr>
        <w:t xml:space="preserve">or guidance documents. </w:t>
      </w:r>
    </w:p>
    <w:p w14:paraId="625A8577" w14:textId="43931E26" w:rsidR="00B4731C" w:rsidRPr="003724EF" w:rsidRDefault="008E5E78" w:rsidP="00AB64DD">
      <w:pPr>
        <w:pStyle w:val="Heading2"/>
        <w:rPr>
          <w:rFonts w:ascii="Times New Roman" w:hAnsi="Times New Roman" w:cs="Times New Roman"/>
          <w:b/>
          <w:bCs/>
          <w:color w:val="auto"/>
        </w:rPr>
      </w:pPr>
      <w:bookmarkStart w:id="29" w:name="_Toc531103785"/>
      <w:r w:rsidRPr="00CC3404">
        <w:rPr>
          <w:rFonts w:ascii="Times New Roman" w:hAnsi="Times New Roman" w:cs="Times New Roman"/>
          <w:color w:val="auto"/>
          <w:lang w:val="en-US"/>
        </w:rPr>
        <w:t xml:space="preserve">5.3 </w:t>
      </w:r>
      <w:r w:rsidR="00B745B6" w:rsidRPr="00CC3404">
        <w:rPr>
          <w:rFonts w:ascii="Times New Roman" w:hAnsi="Times New Roman" w:cs="Times New Roman"/>
          <w:color w:val="auto"/>
          <w:lang w:val="en-US"/>
        </w:rPr>
        <w:tab/>
      </w:r>
      <w:r w:rsidR="00B4731C" w:rsidRPr="003724EF">
        <w:rPr>
          <w:rFonts w:ascii="Times New Roman" w:hAnsi="Times New Roman" w:cs="Times New Roman"/>
          <w:b/>
          <w:bCs/>
          <w:color w:val="auto"/>
          <w:lang w:val="en-US"/>
        </w:rPr>
        <w:t>Definition of risks and mitigation measures</w:t>
      </w:r>
      <w:bookmarkEnd w:id="29"/>
    </w:p>
    <w:p w14:paraId="5A24CC42" w14:textId="16B7AF9A" w:rsidR="007857CB" w:rsidRPr="00CC3404" w:rsidRDefault="00CC3404" w:rsidP="00AB64DD">
      <w:pPr>
        <w:spacing w:before="120"/>
        <w:jc w:val="both"/>
        <w:rPr>
          <w:rFonts w:ascii="Times New Roman" w:hAnsi="Times New Roman" w:cs="Times New Roman"/>
        </w:rPr>
      </w:pPr>
      <w:r w:rsidRPr="00CC3404">
        <w:rPr>
          <w:rFonts w:ascii="Times New Roman" w:hAnsi="Times New Roman" w:cs="Times New Roman"/>
        </w:rPr>
        <w:t>56.</w:t>
      </w:r>
      <w:r w:rsidRPr="00CC3404">
        <w:rPr>
          <w:rFonts w:ascii="Times New Roman" w:hAnsi="Times New Roman" w:cs="Times New Roman"/>
        </w:rPr>
        <w:tab/>
      </w:r>
      <w:r w:rsidR="00026A36" w:rsidRPr="00CC3404">
        <w:rPr>
          <w:rFonts w:ascii="Times New Roman" w:hAnsi="Times New Roman" w:cs="Times New Roman"/>
        </w:rPr>
        <w:t xml:space="preserve">In addition to the risks </w:t>
      </w:r>
      <w:r w:rsidR="00AB398D" w:rsidRPr="00CC3404">
        <w:rPr>
          <w:rFonts w:ascii="Times New Roman" w:hAnsi="Times New Roman" w:cs="Times New Roman"/>
        </w:rPr>
        <w:t>and mitigation measures set out in the fundamental guidance documents for the UN system</w:t>
      </w:r>
      <w:r w:rsidR="00CA61F0" w:rsidRPr="00CC3404">
        <w:rPr>
          <w:rFonts w:ascii="Times New Roman" w:hAnsi="Times New Roman" w:cs="Times New Roman"/>
        </w:rPr>
        <w:t xml:space="preserve"> (see Section </w:t>
      </w:r>
      <w:r w:rsidR="00531333" w:rsidRPr="00CC3404">
        <w:rPr>
          <w:rFonts w:ascii="Times New Roman" w:hAnsi="Times New Roman" w:cs="Times New Roman"/>
        </w:rPr>
        <w:t>4</w:t>
      </w:r>
      <w:r w:rsidR="00CA61F0" w:rsidRPr="00CC3404">
        <w:rPr>
          <w:rFonts w:ascii="Times New Roman" w:hAnsi="Times New Roman" w:cs="Times New Roman"/>
        </w:rPr>
        <w:t>3.)</w:t>
      </w:r>
      <w:r w:rsidR="00AB398D" w:rsidRPr="00CC3404">
        <w:rPr>
          <w:rFonts w:ascii="Times New Roman" w:hAnsi="Times New Roman" w:cs="Times New Roman"/>
        </w:rPr>
        <w:t xml:space="preserve">, some organizations and MEAs have </w:t>
      </w:r>
      <w:r w:rsidR="00AA5602" w:rsidRPr="00CC3404">
        <w:rPr>
          <w:rFonts w:ascii="Times New Roman" w:hAnsi="Times New Roman" w:cs="Times New Roman"/>
        </w:rPr>
        <w:t xml:space="preserve">identified </w:t>
      </w:r>
      <w:r w:rsidR="001C65D2" w:rsidRPr="00CC3404">
        <w:rPr>
          <w:rFonts w:ascii="Times New Roman" w:hAnsi="Times New Roman" w:cs="Times New Roman"/>
        </w:rPr>
        <w:t xml:space="preserve">additional </w:t>
      </w:r>
      <w:r w:rsidR="00AA5602" w:rsidRPr="00CC3404">
        <w:rPr>
          <w:rFonts w:ascii="Times New Roman" w:hAnsi="Times New Roman" w:cs="Times New Roman"/>
        </w:rPr>
        <w:t xml:space="preserve">risks and mitigation measures </w:t>
      </w:r>
      <w:r w:rsidR="00AB398D" w:rsidRPr="00CC3404">
        <w:rPr>
          <w:rFonts w:ascii="Times New Roman" w:hAnsi="Times New Roman" w:cs="Times New Roman"/>
        </w:rPr>
        <w:t>adapted to their particular</w:t>
      </w:r>
      <w:r w:rsidR="00CA61F0" w:rsidRPr="00CC3404">
        <w:rPr>
          <w:rFonts w:ascii="Times New Roman" w:hAnsi="Times New Roman" w:cs="Times New Roman"/>
        </w:rPr>
        <w:t xml:space="preserve"> needs</w:t>
      </w:r>
      <w:r w:rsidR="00AA5602" w:rsidRPr="00CC3404">
        <w:rPr>
          <w:rFonts w:ascii="Times New Roman" w:hAnsi="Times New Roman" w:cs="Times New Roman"/>
        </w:rPr>
        <w:t xml:space="preserve">; these are often set out in a strategy or guidance document (see Section </w:t>
      </w:r>
      <w:r w:rsidR="00531333" w:rsidRPr="00CC3404">
        <w:rPr>
          <w:rFonts w:ascii="Times New Roman" w:hAnsi="Times New Roman" w:cs="Times New Roman"/>
        </w:rPr>
        <w:t>5.2.</w:t>
      </w:r>
      <w:r w:rsidR="00AA5602" w:rsidRPr="00CC3404">
        <w:rPr>
          <w:rFonts w:ascii="Times New Roman" w:hAnsi="Times New Roman" w:cs="Times New Roman"/>
        </w:rPr>
        <w:t>)</w:t>
      </w:r>
      <w:r w:rsidR="00CA61F0" w:rsidRPr="00CC3404">
        <w:rPr>
          <w:rFonts w:ascii="Times New Roman" w:hAnsi="Times New Roman" w:cs="Times New Roman"/>
        </w:rPr>
        <w:t xml:space="preserve">. The risks identified relate mostly to engagement with the private sector, </w:t>
      </w:r>
      <w:r w:rsidR="00CA61F0" w:rsidRPr="00CC3404">
        <w:rPr>
          <w:rFonts w:ascii="Times New Roman" w:hAnsi="Times New Roman" w:cs="Times New Roman"/>
        </w:rPr>
        <w:lastRenderedPageBreak/>
        <w:t>although in practice they may exist also in relation to other stakeholders (e.g.</w:t>
      </w:r>
      <w:r w:rsidR="0081182C">
        <w:rPr>
          <w:rFonts w:ascii="Times New Roman" w:hAnsi="Times New Roman" w:cs="Times New Roman"/>
        </w:rPr>
        <w:t>,</w:t>
      </w:r>
      <w:r w:rsidR="00CA61F0" w:rsidRPr="00CC3404">
        <w:rPr>
          <w:rFonts w:ascii="Times New Roman" w:hAnsi="Times New Roman" w:cs="Times New Roman"/>
        </w:rPr>
        <w:t xml:space="preserve"> NGOs </w:t>
      </w:r>
      <w:r w:rsidR="00AA5602" w:rsidRPr="00CC3404">
        <w:rPr>
          <w:rFonts w:ascii="Times New Roman" w:hAnsi="Times New Roman" w:cs="Times New Roman"/>
        </w:rPr>
        <w:t xml:space="preserve">attempting to </w:t>
      </w:r>
      <w:r w:rsidR="00CA61F0" w:rsidRPr="00CC3404">
        <w:rPr>
          <w:rFonts w:ascii="Times New Roman" w:hAnsi="Times New Roman" w:cs="Times New Roman"/>
        </w:rPr>
        <w:t>advanc</w:t>
      </w:r>
      <w:r w:rsidR="00AA5602" w:rsidRPr="00CC3404">
        <w:rPr>
          <w:rFonts w:ascii="Times New Roman" w:hAnsi="Times New Roman" w:cs="Times New Roman"/>
        </w:rPr>
        <w:t>e</w:t>
      </w:r>
      <w:r w:rsidR="00CA61F0" w:rsidRPr="00CC3404">
        <w:rPr>
          <w:rFonts w:ascii="Times New Roman" w:hAnsi="Times New Roman" w:cs="Times New Roman"/>
        </w:rPr>
        <w:t xml:space="preserve"> their agenda</w:t>
      </w:r>
      <w:r w:rsidR="001C65D2" w:rsidRPr="00CC3404">
        <w:rPr>
          <w:rFonts w:ascii="Times New Roman" w:hAnsi="Times New Roman" w:cs="Times New Roman"/>
        </w:rPr>
        <w:t>s</w:t>
      </w:r>
      <w:r w:rsidR="00CA61F0" w:rsidRPr="00CC3404">
        <w:rPr>
          <w:rFonts w:ascii="Times New Roman" w:hAnsi="Times New Roman" w:cs="Times New Roman"/>
        </w:rPr>
        <w:t xml:space="preserve"> through partnership</w:t>
      </w:r>
      <w:r w:rsidR="003707E3" w:rsidRPr="00CC3404">
        <w:rPr>
          <w:rFonts w:ascii="Times New Roman" w:hAnsi="Times New Roman" w:cs="Times New Roman"/>
        </w:rPr>
        <w:t xml:space="preserve">s with a UN organization or </w:t>
      </w:r>
      <w:r w:rsidR="00531333" w:rsidRPr="00CC3404">
        <w:rPr>
          <w:rFonts w:ascii="Times New Roman" w:hAnsi="Times New Roman" w:cs="Times New Roman"/>
        </w:rPr>
        <w:t>MEA</w:t>
      </w:r>
      <w:r w:rsidR="00CA61F0" w:rsidRPr="00CC3404">
        <w:rPr>
          <w:rFonts w:ascii="Times New Roman" w:hAnsi="Times New Roman" w:cs="Times New Roman"/>
        </w:rPr>
        <w:t xml:space="preserve">). </w:t>
      </w:r>
      <w:r w:rsidR="00AA5602" w:rsidRPr="00CC3404">
        <w:rPr>
          <w:rFonts w:ascii="Times New Roman" w:hAnsi="Times New Roman" w:cs="Times New Roman"/>
        </w:rPr>
        <w:t xml:space="preserve">Some examples are set out below. </w:t>
      </w:r>
    </w:p>
    <w:p w14:paraId="7B35F37A" w14:textId="59513EBD" w:rsidR="007857CB" w:rsidRPr="00CC3404" w:rsidRDefault="00CC3404" w:rsidP="00AB64DD">
      <w:pPr>
        <w:jc w:val="both"/>
        <w:rPr>
          <w:rFonts w:ascii="Times New Roman" w:hAnsi="Times New Roman" w:cs="Times New Roman"/>
        </w:rPr>
      </w:pPr>
      <w:r w:rsidRPr="00CC3404">
        <w:rPr>
          <w:rFonts w:ascii="Times New Roman" w:hAnsi="Times New Roman" w:cs="Times New Roman"/>
        </w:rPr>
        <w:t>57.</w:t>
      </w:r>
      <w:r w:rsidRPr="00CC3404">
        <w:rPr>
          <w:rFonts w:ascii="Times New Roman" w:hAnsi="Times New Roman" w:cs="Times New Roman"/>
        </w:rPr>
        <w:tab/>
      </w:r>
      <w:r w:rsidR="007857CB" w:rsidRPr="00CC3404">
        <w:rPr>
          <w:rFonts w:ascii="Times New Roman" w:hAnsi="Times New Roman" w:cs="Times New Roman"/>
        </w:rPr>
        <w:t>UNICEF</w:t>
      </w:r>
      <w:r w:rsidR="003800D6" w:rsidRPr="00CC3404">
        <w:rPr>
          <w:rFonts w:ascii="Times New Roman" w:hAnsi="Times New Roman" w:cs="Times New Roman"/>
        </w:rPr>
        <w:t xml:space="preserve"> </w:t>
      </w:r>
      <w:r w:rsidR="001C65D2" w:rsidRPr="00CC3404">
        <w:rPr>
          <w:rFonts w:ascii="Times New Roman" w:hAnsi="Times New Roman" w:cs="Times New Roman"/>
        </w:rPr>
        <w:t>identifies</w:t>
      </w:r>
      <w:r w:rsidR="003800D6" w:rsidRPr="00CC3404">
        <w:rPr>
          <w:rFonts w:ascii="Times New Roman" w:hAnsi="Times New Roman" w:cs="Times New Roman"/>
        </w:rPr>
        <w:t xml:space="preserve"> the risk</w:t>
      </w:r>
      <w:r w:rsidR="007857CB" w:rsidRPr="00CC3404">
        <w:rPr>
          <w:rFonts w:ascii="Times New Roman" w:hAnsi="Times New Roman" w:cs="Times New Roman"/>
        </w:rPr>
        <w:t xml:space="preserve"> to </w:t>
      </w:r>
      <w:r w:rsidR="003800D6" w:rsidRPr="00CC3404">
        <w:rPr>
          <w:rFonts w:ascii="Times New Roman" w:hAnsi="Times New Roman" w:cs="Times New Roman"/>
        </w:rPr>
        <w:t xml:space="preserve">the </w:t>
      </w:r>
      <w:r w:rsidR="007857CB" w:rsidRPr="00CC3404">
        <w:rPr>
          <w:rFonts w:ascii="Times New Roman" w:hAnsi="Times New Roman" w:cs="Times New Roman"/>
        </w:rPr>
        <w:t>reputation and moral authority of the org</w:t>
      </w:r>
      <w:r w:rsidR="003800D6" w:rsidRPr="00CC3404">
        <w:rPr>
          <w:rFonts w:ascii="Times New Roman" w:hAnsi="Times New Roman" w:cs="Times New Roman"/>
        </w:rPr>
        <w:t>anization</w:t>
      </w:r>
      <w:r w:rsidR="00AA5602" w:rsidRPr="00CC3404">
        <w:rPr>
          <w:rFonts w:ascii="Times New Roman" w:hAnsi="Times New Roman" w:cs="Times New Roman"/>
        </w:rPr>
        <w:t xml:space="preserve"> (</w:t>
      </w:r>
      <w:r w:rsidR="003800D6" w:rsidRPr="00CC3404">
        <w:rPr>
          <w:rFonts w:ascii="Times New Roman" w:hAnsi="Times New Roman" w:cs="Times New Roman"/>
        </w:rPr>
        <w:t xml:space="preserve">considered </w:t>
      </w:r>
      <w:r w:rsidR="007857CB" w:rsidRPr="00CC3404">
        <w:rPr>
          <w:rFonts w:ascii="Times New Roman" w:hAnsi="Times New Roman" w:cs="Times New Roman"/>
        </w:rPr>
        <w:t>its most important asset</w:t>
      </w:r>
      <w:r w:rsidR="00AA5602" w:rsidRPr="00CC3404">
        <w:rPr>
          <w:rFonts w:ascii="Times New Roman" w:hAnsi="Times New Roman" w:cs="Times New Roman"/>
        </w:rPr>
        <w:t>)</w:t>
      </w:r>
      <w:r w:rsidR="003800D6" w:rsidRPr="00CC3404">
        <w:rPr>
          <w:rFonts w:ascii="Times New Roman" w:hAnsi="Times New Roman" w:cs="Times New Roman"/>
        </w:rPr>
        <w:t xml:space="preserve">; risks emanating from </w:t>
      </w:r>
      <w:r w:rsidR="007857CB" w:rsidRPr="00CC3404">
        <w:rPr>
          <w:rFonts w:ascii="Times New Roman" w:hAnsi="Times New Roman" w:cs="Times New Roman"/>
        </w:rPr>
        <w:t>companies’ PR activities</w:t>
      </w:r>
      <w:r w:rsidR="003800D6" w:rsidRPr="00CC3404">
        <w:rPr>
          <w:rFonts w:ascii="Times New Roman" w:hAnsi="Times New Roman" w:cs="Times New Roman"/>
        </w:rPr>
        <w:t xml:space="preserve"> and</w:t>
      </w:r>
      <w:r w:rsidR="007857CB" w:rsidRPr="00CC3404">
        <w:rPr>
          <w:rFonts w:ascii="Times New Roman" w:hAnsi="Times New Roman" w:cs="Times New Roman"/>
        </w:rPr>
        <w:t xml:space="preserve"> </w:t>
      </w:r>
      <w:r w:rsidR="00AA5602" w:rsidRPr="00CC3404">
        <w:rPr>
          <w:rFonts w:ascii="Times New Roman" w:hAnsi="Times New Roman" w:cs="Times New Roman"/>
        </w:rPr>
        <w:t xml:space="preserve">from </w:t>
      </w:r>
      <w:r w:rsidR="007857CB" w:rsidRPr="00CC3404">
        <w:rPr>
          <w:rFonts w:ascii="Times New Roman" w:hAnsi="Times New Roman" w:cs="Times New Roman"/>
        </w:rPr>
        <w:t>expectation management</w:t>
      </w:r>
      <w:r w:rsidR="003800D6" w:rsidRPr="00CC3404">
        <w:rPr>
          <w:rFonts w:ascii="Times New Roman" w:hAnsi="Times New Roman" w:cs="Times New Roman"/>
        </w:rPr>
        <w:t>; an</w:t>
      </w:r>
      <w:r w:rsidR="001C65D2" w:rsidRPr="00CC3404">
        <w:rPr>
          <w:rFonts w:ascii="Times New Roman" w:hAnsi="Times New Roman" w:cs="Times New Roman"/>
        </w:rPr>
        <w:t>d</w:t>
      </w:r>
      <w:r w:rsidR="003800D6" w:rsidRPr="00CC3404">
        <w:rPr>
          <w:rFonts w:ascii="Times New Roman" w:hAnsi="Times New Roman" w:cs="Times New Roman"/>
        </w:rPr>
        <w:t xml:space="preserve"> the</w:t>
      </w:r>
      <w:r w:rsidR="007857CB" w:rsidRPr="00CC3404">
        <w:rPr>
          <w:rFonts w:ascii="Times New Roman" w:hAnsi="Times New Roman" w:cs="Times New Roman"/>
        </w:rPr>
        <w:t xml:space="preserve"> risk of been seen </w:t>
      </w:r>
      <w:r w:rsidR="003707E3" w:rsidRPr="00CC3404">
        <w:rPr>
          <w:rFonts w:ascii="Times New Roman" w:hAnsi="Times New Roman" w:cs="Times New Roman"/>
        </w:rPr>
        <w:t xml:space="preserve">as </w:t>
      </w:r>
      <w:r w:rsidR="007857CB" w:rsidRPr="00CC3404">
        <w:rPr>
          <w:rFonts w:ascii="Times New Roman" w:hAnsi="Times New Roman" w:cs="Times New Roman"/>
        </w:rPr>
        <w:t xml:space="preserve">endorsing one company but not another. </w:t>
      </w:r>
      <w:r w:rsidR="003800D6" w:rsidRPr="00CC3404">
        <w:rPr>
          <w:rFonts w:ascii="Times New Roman" w:hAnsi="Times New Roman" w:cs="Times New Roman"/>
        </w:rPr>
        <w:t xml:space="preserve">Mitigation measures </w:t>
      </w:r>
      <w:r w:rsidR="0062277D" w:rsidRPr="00CC3404">
        <w:rPr>
          <w:rFonts w:ascii="Times New Roman" w:hAnsi="Times New Roman" w:cs="Times New Roman"/>
        </w:rPr>
        <w:t xml:space="preserve">include </w:t>
      </w:r>
      <w:r w:rsidR="005F4E27" w:rsidRPr="00CC3404">
        <w:rPr>
          <w:rFonts w:ascii="Times New Roman" w:hAnsi="Times New Roman" w:cs="Times New Roman"/>
        </w:rPr>
        <w:t>the development</w:t>
      </w:r>
      <w:r w:rsidR="00350B84" w:rsidRPr="00CC3404">
        <w:rPr>
          <w:rFonts w:ascii="Times New Roman" w:hAnsi="Times New Roman" w:cs="Times New Roman"/>
        </w:rPr>
        <w:t xml:space="preserve"> of</w:t>
      </w:r>
      <w:r w:rsidR="005F4E27" w:rsidRPr="00CC3404">
        <w:rPr>
          <w:rFonts w:ascii="Times New Roman" w:hAnsi="Times New Roman" w:cs="Times New Roman"/>
        </w:rPr>
        <w:t xml:space="preserve"> </w:t>
      </w:r>
      <w:r w:rsidR="007857CB" w:rsidRPr="00CC3404">
        <w:rPr>
          <w:rFonts w:ascii="Times New Roman" w:hAnsi="Times New Roman" w:cs="Times New Roman"/>
        </w:rPr>
        <w:t>selection criteria for partners</w:t>
      </w:r>
      <w:r w:rsidR="005F4E27" w:rsidRPr="00CC3404">
        <w:rPr>
          <w:rFonts w:ascii="Times New Roman" w:hAnsi="Times New Roman" w:cs="Times New Roman"/>
        </w:rPr>
        <w:t xml:space="preserve">, </w:t>
      </w:r>
      <w:r w:rsidR="007857CB" w:rsidRPr="00CC3404">
        <w:rPr>
          <w:rFonts w:ascii="Times New Roman" w:hAnsi="Times New Roman" w:cs="Times New Roman"/>
        </w:rPr>
        <w:t>customized to the respective levels of risk</w:t>
      </w:r>
      <w:r w:rsidR="005F4E27" w:rsidRPr="00CC3404">
        <w:rPr>
          <w:rFonts w:ascii="Times New Roman" w:hAnsi="Times New Roman" w:cs="Times New Roman"/>
        </w:rPr>
        <w:t xml:space="preserve"> </w:t>
      </w:r>
      <w:r w:rsidR="007857CB" w:rsidRPr="00CC3404">
        <w:rPr>
          <w:rFonts w:ascii="Times New Roman" w:hAnsi="Times New Roman" w:cs="Times New Roman"/>
        </w:rPr>
        <w:t>depending on the particular form of engagement</w:t>
      </w:r>
      <w:r w:rsidR="005F4E27" w:rsidRPr="00CC3404">
        <w:rPr>
          <w:rFonts w:ascii="Times New Roman" w:hAnsi="Times New Roman" w:cs="Times New Roman"/>
        </w:rPr>
        <w:t xml:space="preserve">, and the development of </w:t>
      </w:r>
      <w:r w:rsidR="007857CB" w:rsidRPr="00CC3404">
        <w:rPr>
          <w:rFonts w:ascii="Times New Roman" w:hAnsi="Times New Roman" w:cs="Times New Roman"/>
        </w:rPr>
        <w:t>guidelines for the different modes of engagement</w:t>
      </w:r>
      <w:r w:rsidR="00350B84" w:rsidRPr="00CC3404">
        <w:rPr>
          <w:rFonts w:ascii="Times New Roman" w:hAnsi="Times New Roman" w:cs="Times New Roman"/>
        </w:rPr>
        <w:t xml:space="preserve"> with non-state actors</w:t>
      </w:r>
      <w:r w:rsidR="007857CB" w:rsidRPr="00CC3404">
        <w:rPr>
          <w:rFonts w:ascii="Times New Roman" w:hAnsi="Times New Roman" w:cs="Times New Roman"/>
        </w:rPr>
        <w:t xml:space="preserve">, outlining goals, responsibilities, accountabilities and criteria for the level and modality of engagement. </w:t>
      </w:r>
    </w:p>
    <w:p w14:paraId="5FCA9597" w14:textId="1C1D20B1" w:rsidR="007857CB" w:rsidRPr="00CC3404" w:rsidRDefault="00CC3404" w:rsidP="00AB64DD">
      <w:pPr>
        <w:jc w:val="both"/>
        <w:rPr>
          <w:rFonts w:ascii="Times New Roman" w:hAnsi="Times New Roman" w:cs="Times New Roman"/>
        </w:rPr>
      </w:pPr>
      <w:r w:rsidRPr="00CC3404">
        <w:rPr>
          <w:rFonts w:ascii="Times New Roman" w:hAnsi="Times New Roman" w:cs="Times New Roman"/>
        </w:rPr>
        <w:t>58.</w:t>
      </w:r>
      <w:r w:rsidRPr="00CC3404">
        <w:rPr>
          <w:rFonts w:ascii="Times New Roman" w:hAnsi="Times New Roman" w:cs="Times New Roman"/>
        </w:rPr>
        <w:tab/>
      </w:r>
      <w:r w:rsidR="00350B84" w:rsidRPr="00CC3404">
        <w:rPr>
          <w:rFonts w:ascii="Times New Roman" w:hAnsi="Times New Roman" w:cs="Times New Roman"/>
        </w:rPr>
        <w:t xml:space="preserve">Risks identified by </w:t>
      </w:r>
      <w:r w:rsidR="007857CB" w:rsidRPr="00CC3404">
        <w:rPr>
          <w:rFonts w:ascii="Times New Roman" w:hAnsi="Times New Roman" w:cs="Times New Roman"/>
        </w:rPr>
        <w:t>WHO</w:t>
      </w:r>
      <w:r w:rsidR="00350B84" w:rsidRPr="00CC3404">
        <w:rPr>
          <w:rFonts w:ascii="Times New Roman" w:hAnsi="Times New Roman" w:cs="Times New Roman"/>
        </w:rPr>
        <w:t xml:space="preserve"> include c</w:t>
      </w:r>
      <w:r w:rsidR="007857CB" w:rsidRPr="00CC3404">
        <w:rPr>
          <w:rFonts w:ascii="Times New Roman" w:hAnsi="Times New Roman" w:cs="Times New Roman"/>
        </w:rPr>
        <w:t>onflicts of interest</w:t>
      </w:r>
      <w:r w:rsidR="00350B84" w:rsidRPr="00CC3404">
        <w:rPr>
          <w:rFonts w:ascii="Times New Roman" w:hAnsi="Times New Roman" w:cs="Times New Roman"/>
        </w:rPr>
        <w:t xml:space="preserve"> between the organization and the partner;</w:t>
      </w:r>
      <w:r w:rsidR="007857CB" w:rsidRPr="00CC3404">
        <w:rPr>
          <w:rFonts w:ascii="Times New Roman" w:hAnsi="Times New Roman" w:cs="Times New Roman"/>
        </w:rPr>
        <w:t xml:space="preserve"> undue or improper influence of </w:t>
      </w:r>
      <w:r w:rsidR="00350B84" w:rsidRPr="00CC3404">
        <w:rPr>
          <w:rFonts w:ascii="Times New Roman" w:hAnsi="Times New Roman" w:cs="Times New Roman"/>
        </w:rPr>
        <w:t xml:space="preserve">the </w:t>
      </w:r>
      <w:r w:rsidR="007857CB" w:rsidRPr="00CC3404">
        <w:rPr>
          <w:rFonts w:ascii="Times New Roman" w:hAnsi="Times New Roman" w:cs="Times New Roman"/>
        </w:rPr>
        <w:t>partner on WHO’s work</w:t>
      </w:r>
      <w:r w:rsidR="00350B84" w:rsidRPr="00CC3404">
        <w:rPr>
          <w:rFonts w:ascii="Times New Roman" w:hAnsi="Times New Roman" w:cs="Times New Roman"/>
        </w:rPr>
        <w:t>;</w:t>
      </w:r>
      <w:r w:rsidR="007857CB" w:rsidRPr="00CC3404">
        <w:rPr>
          <w:rFonts w:ascii="Times New Roman" w:hAnsi="Times New Roman" w:cs="Times New Roman"/>
        </w:rPr>
        <w:t xml:space="preserve"> negative impact</w:t>
      </w:r>
      <w:r w:rsidR="00350B84" w:rsidRPr="00CC3404">
        <w:rPr>
          <w:rFonts w:ascii="Times New Roman" w:hAnsi="Times New Roman" w:cs="Times New Roman"/>
        </w:rPr>
        <w:t>s</w:t>
      </w:r>
      <w:r w:rsidR="007857CB" w:rsidRPr="00CC3404">
        <w:rPr>
          <w:rFonts w:ascii="Times New Roman" w:hAnsi="Times New Roman" w:cs="Times New Roman"/>
        </w:rPr>
        <w:t xml:space="preserve"> on</w:t>
      </w:r>
      <w:r w:rsidR="00350B84" w:rsidRPr="00CC3404">
        <w:rPr>
          <w:rFonts w:ascii="Times New Roman" w:hAnsi="Times New Roman" w:cs="Times New Roman"/>
        </w:rPr>
        <w:t xml:space="preserve"> the</w:t>
      </w:r>
      <w:r w:rsidR="007857CB" w:rsidRPr="00CC3404">
        <w:rPr>
          <w:rFonts w:ascii="Times New Roman" w:hAnsi="Times New Roman" w:cs="Times New Roman"/>
        </w:rPr>
        <w:t xml:space="preserve"> integrity, independence, credibility and reputation</w:t>
      </w:r>
      <w:r w:rsidR="00350B84" w:rsidRPr="00CC3404">
        <w:rPr>
          <w:rFonts w:ascii="Times New Roman" w:hAnsi="Times New Roman" w:cs="Times New Roman"/>
        </w:rPr>
        <w:t xml:space="preserve"> of the organization, and on its</w:t>
      </w:r>
      <w:r w:rsidR="007857CB" w:rsidRPr="00CC3404">
        <w:rPr>
          <w:rFonts w:ascii="Times New Roman" w:hAnsi="Times New Roman" w:cs="Times New Roman"/>
        </w:rPr>
        <w:t xml:space="preserve"> mandate; </w:t>
      </w:r>
      <w:r w:rsidR="00350B84" w:rsidRPr="00CC3404">
        <w:rPr>
          <w:rFonts w:ascii="Times New Roman" w:hAnsi="Times New Roman" w:cs="Times New Roman"/>
        </w:rPr>
        <w:t xml:space="preserve">the </w:t>
      </w:r>
      <w:r w:rsidR="007857CB" w:rsidRPr="00CC3404">
        <w:rPr>
          <w:rFonts w:ascii="Times New Roman" w:hAnsi="Times New Roman" w:cs="Times New Roman"/>
        </w:rPr>
        <w:t xml:space="preserve">engagement serving only the partner but not </w:t>
      </w:r>
      <w:r w:rsidR="00350B84" w:rsidRPr="00CC3404">
        <w:rPr>
          <w:rFonts w:ascii="Times New Roman" w:hAnsi="Times New Roman" w:cs="Times New Roman"/>
        </w:rPr>
        <w:t>the organization</w:t>
      </w:r>
      <w:r w:rsidR="007857CB" w:rsidRPr="00CC3404">
        <w:rPr>
          <w:rFonts w:ascii="Times New Roman" w:hAnsi="Times New Roman" w:cs="Times New Roman"/>
        </w:rPr>
        <w:t xml:space="preserve">; </w:t>
      </w:r>
      <w:r w:rsidR="00350B84" w:rsidRPr="00CC3404">
        <w:rPr>
          <w:rFonts w:ascii="Times New Roman" w:hAnsi="Times New Roman" w:cs="Times New Roman"/>
        </w:rPr>
        <w:t xml:space="preserve">the </w:t>
      </w:r>
      <w:r w:rsidR="007857CB" w:rsidRPr="00CC3404">
        <w:rPr>
          <w:rFonts w:ascii="Times New Roman" w:hAnsi="Times New Roman" w:cs="Times New Roman"/>
        </w:rPr>
        <w:t xml:space="preserve">engagement conferring endorsement of </w:t>
      </w:r>
      <w:r w:rsidR="00350B84" w:rsidRPr="00CC3404">
        <w:rPr>
          <w:rFonts w:ascii="Times New Roman" w:hAnsi="Times New Roman" w:cs="Times New Roman"/>
        </w:rPr>
        <w:t xml:space="preserve">the </w:t>
      </w:r>
      <w:r w:rsidR="007857CB" w:rsidRPr="00CC3404">
        <w:rPr>
          <w:rFonts w:ascii="Times New Roman" w:hAnsi="Times New Roman" w:cs="Times New Roman"/>
        </w:rPr>
        <w:t xml:space="preserve">partner’s name, brand, product, views, or activity; whitewashing of </w:t>
      </w:r>
      <w:r w:rsidR="003707E3" w:rsidRPr="00CC3404">
        <w:rPr>
          <w:rFonts w:ascii="Times New Roman" w:hAnsi="Times New Roman" w:cs="Times New Roman"/>
        </w:rPr>
        <w:t xml:space="preserve">the </w:t>
      </w:r>
      <w:r w:rsidR="007857CB" w:rsidRPr="00CC3404">
        <w:rPr>
          <w:rFonts w:ascii="Times New Roman" w:hAnsi="Times New Roman" w:cs="Times New Roman"/>
        </w:rPr>
        <w:t xml:space="preserve">partner’s image; </w:t>
      </w:r>
      <w:r w:rsidR="00350B84" w:rsidRPr="00CC3404">
        <w:rPr>
          <w:rFonts w:ascii="Times New Roman" w:hAnsi="Times New Roman" w:cs="Times New Roman"/>
        </w:rPr>
        <w:t xml:space="preserve">and a </w:t>
      </w:r>
      <w:r w:rsidR="007857CB" w:rsidRPr="00CC3404">
        <w:rPr>
          <w:rFonts w:ascii="Times New Roman" w:hAnsi="Times New Roman" w:cs="Times New Roman"/>
        </w:rPr>
        <w:t>competitive advantage</w:t>
      </w:r>
      <w:r w:rsidR="00350B84" w:rsidRPr="00CC3404">
        <w:rPr>
          <w:rFonts w:ascii="Times New Roman" w:hAnsi="Times New Roman" w:cs="Times New Roman"/>
        </w:rPr>
        <w:t xml:space="preserve"> for </w:t>
      </w:r>
      <w:r w:rsidR="003707E3" w:rsidRPr="00CC3404">
        <w:rPr>
          <w:rFonts w:ascii="Times New Roman" w:hAnsi="Times New Roman" w:cs="Times New Roman"/>
        </w:rPr>
        <w:t>private sector</w:t>
      </w:r>
      <w:r w:rsidR="00350B84" w:rsidRPr="00CC3404">
        <w:rPr>
          <w:rFonts w:ascii="Times New Roman" w:hAnsi="Times New Roman" w:cs="Times New Roman"/>
        </w:rPr>
        <w:t xml:space="preserve"> partners</w:t>
      </w:r>
      <w:r w:rsidR="007857CB" w:rsidRPr="00CC3404">
        <w:rPr>
          <w:rFonts w:ascii="Times New Roman" w:hAnsi="Times New Roman" w:cs="Times New Roman"/>
        </w:rPr>
        <w:t>. M</w:t>
      </w:r>
      <w:r w:rsidR="00350B84" w:rsidRPr="00CC3404">
        <w:rPr>
          <w:rFonts w:ascii="Times New Roman" w:hAnsi="Times New Roman" w:cs="Times New Roman"/>
        </w:rPr>
        <w:t>itigation m</w:t>
      </w:r>
      <w:r w:rsidR="007857CB" w:rsidRPr="00CC3404">
        <w:rPr>
          <w:rFonts w:ascii="Times New Roman" w:hAnsi="Times New Roman" w:cs="Times New Roman"/>
        </w:rPr>
        <w:t>easures</w:t>
      </w:r>
      <w:r w:rsidR="000F6008" w:rsidRPr="00CC3404">
        <w:rPr>
          <w:rFonts w:ascii="Times New Roman" w:hAnsi="Times New Roman" w:cs="Times New Roman"/>
        </w:rPr>
        <w:t xml:space="preserve"> include the </w:t>
      </w:r>
      <w:r w:rsidR="007857CB" w:rsidRPr="00CC3404">
        <w:rPr>
          <w:rFonts w:ascii="Times New Roman" w:hAnsi="Times New Roman" w:cs="Times New Roman"/>
        </w:rPr>
        <w:t>requirement for divulging information</w:t>
      </w:r>
      <w:r w:rsidR="000F6008" w:rsidRPr="00CC3404">
        <w:rPr>
          <w:rFonts w:ascii="Times New Roman" w:hAnsi="Times New Roman" w:cs="Times New Roman"/>
        </w:rPr>
        <w:t xml:space="preserve">, the conduct of due diligence, and </w:t>
      </w:r>
      <w:r w:rsidR="007857CB" w:rsidRPr="00CC3404">
        <w:rPr>
          <w:rFonts w:ascii="Times New Roman" w:hAnsi="Times New Roman" w:cs="Times New Roman"/>
        </w:rPr>
        <w:t xml:space="preserve">risk assessment. </w:t>
      </w:r>
      <w:r w:rsidR="000F6008" w:rsidRPr="00CC3404">
        <w:rPr>
          <w:rFonts w:ascii="Times New Roman" w:hAnsi="Times New Roman" w:cs="Times New Roman"/>
        </w:rPr>
        <w:t xml:space="preserve">WHO explicitly precludes any engagement with the tobacco industry, considered as undermining the organization’s mission and mandate. </w:t>
      </w:r>
    </w:p>
    <w:p w14:paraId="4F58A47C" w14:textId="0B2B57F3" w:rsidR="000F6008" w:rsidRPr="00CC3404" w:rsidRDefault="00CC3404" w:rsidP="00AB64DD">
      <w:pPr>
        <w:pStyle w:val="Pa0"/>
        <w:jc w:val="both"/>
        <w:rPr>
          <w:rFonts w:ascii="Times New Roman" w:hAnsi="Times New Roman" w:cs="Times New Roman"/>
          <w:sz w:val="22"/>
          <w:szCs w:val="22"/>
          <w:lang w:val="en-GB"/>
        </w:rPr>
      </w:pPr>
      <w:r w:rsidRPr="00CC3404">
        <w:rPr>
          <w:rFonts w:ascii="Times New Roman" w:hAnsi="Times New Roman" w:cs="Times New Roman"/>
          <w:sz w:val="22"/>
          <w:szCs w:val="22"/>
          <w:lang w:val="en-GB"/>
        </w:rPr>
        <w:t>59.</w:t>
      </w:r>
      <w:r w:rsidRPr="00CC3404">
        <w:rPr>
          <w:rFonts w:ascii="Times New Roman" w:hAnsi="Times New Roman" w:cs="Times New Roman"/>
          <w:sz w:val="22"/>
          <w:szCs w:val="22"/>
          <w:lang w:val="en-GB"/>
        </w:rPr>
        <w:tab/>
      </w:r>
      <w:r w:rsidR="000F6008" w:rsidRPr="00CC3404">
        <w:rPr>
          <w:rFonts w:ascii="Times New Roman" w:hAnsi="Times New Roman" w:cs="Times New Roman"/>
          <w:sz w:val="22"/>
          <w:szCs w:val="22"/>
          <w:lang w:val="en-GB"/>
        </w:rPr>
        <w:t>FAO considers that partnerships with the private sector may compromise the organization’s neutrality and impartiality, result in conflicts of interest or undue influence of the partner on standard setting, and unfair advantages for specific private sector entities. Mitigation measures include a risk assessment process and a monitoring and evaluation system to measure the outcome and impact of collaborations with the private sector. A risk management process is used for all partnerships with the private sector, foundations, international financial institutions, civil society and academia.</w:t>
      </w:r>
    </w:p>
    <w:p w14:paraId="252265A3" w14:textId="77777777" w:rsidR="00B34517" w:rsidRPr="00CC3404" w:rsidRDefault="00B34517" w:rsidP="00AB64DD">
      <w:pPr>
        <w:pStyle w:val="Default"/>
        <w:jc w:val="both"/>
        <w:rPr>
          <w:rFonts w:ascii="Times New Roman" w:hAnsi="Times New Roman" w:cs="Times New Roman"/>
          <w:color w:val="auto"/>
        </w:rPr>
      </w:pPr>
    </w:p>
    <w:p w14:paraId="79D9AEDF" w14:textId="6326AC45" w:rsidR="007857CB" w:rsidRPr="00CC3404" w:rsidRDefault="00CC3404" w:rsidP="00AB64DD">
      <w:pPr>
        <w:pStyle w:val="Default"/>
        <w:jc w:val="both"/>
        <w:rPr>
          <w:rFonts w:ascii="Times New Roman" w:hAnsi="Times New Roman" w:cs="Times New Roman"/>
          <w:color w:val="auto"/>
          <w:sz w:val="22"/>
          <w:szCs w:val="22"/>
        </w:rPr>
      </w:pPr>
      <w:r w:rsidRPr="00CC3404">
        <w:rPr>
          <w:rFonts w:ascii="Times New Roman" w:hAnsi="Times New Roman" w:cs="Times New Roman"/>
          <w:color w:val="auto"/>
          <w:sz w:val="22"/>
          <w:szCs w:val="22"/>
        </w:rPr>
        <w:t>60.</w:t>
      </w:r>
      <w:r w:rsidRPr="00CC3404">
        <w:rPr>
          <w:rFonts w:ascii="Times New Roman" w:hAnsi="Times New Roman" w:cs="Times New Roman"/>
          <w:color w:val="auto"/>
          <w:sz w:val="22"/>
          <w:szCs w:val="22"/>
        </w:rPr>
        <w:tab/>
      </w:r>
      <w:r w:rsidR="00894062" w:rsidRPr="00CC3404">
        <w:rPr>
          <w:rFonts w:ascii="Times New Roman" w:hAnsi="Times New Roman" w:cs="Times New Roman"/>
          <w:color w:val="auto"/>
          <w:sz w:val="22"/>
          <w:szCs w:val="22"/>
        </w:rPr>
        <w:t xml:space="preserve">The </w:t>
      </w:r>
      <w:r w:rsidR="007857CB" w:rsidRPr="00CC3404">
        <w:rPr>
          <w:rFonts w:ascii="Times New Roman" w:hAnsi="Times New Roman" w:cs="Times New Roman"/>
          <w:color w:val="auto"/>
          <w:sz w:val="22"/>
          <w:szCs w:val="22"/>
        </w:rPr>
        <w:t>UNFCCC</w:t>
      </w:r>
      <w:r w:rsidR="00894062" w:rsidRPr="00CC3404">
        <w:rPr>
          <w:rFonts w:ascii="Times New Roman" w:hAnsi="Times New Roman" w:cs="Times New Roman"/>
          <w:color w:val="auto"/>
          <w:sz w:val="22"/>
          <w:szCs w:val="22"/>
        </w:rPr>
        <w:t xml:space="preserve"> Secretariat’s guidelines </w:t>
      </w:r>
      <w:r w:rsidR="00E7355A" w:rsidRPr="00CC3404">
        <w:rPr>
          <w:rFonts w:ascii="Times New Roman" w:hAnsi="Times New Roman" w:cs="Times New Roman"/>
          <w:color w:val="auto"/>
          <w:sz w:val="22"/>
          <w:szCs w:val="22"/>
        </w:rPr>
        <w:t xml:space="preserve">on partnerships </w:t>
      </w:r>
      <w:r w:rsidR="007857CB" w:rsidRPr="00CC3404">
        <w:rPr>
          <w:rFonts w:ascii="Times New Roman" w:hAnsi="Times New Roman" w:cs="Times New Roman"/>
          <w:color w:val="auto"/>
          <w:sz w:val="22"/>
          <w:szCs w:val="22"/>
        </w:rPr>
        <w:t>aim to “</w:t>
      </w:r>
      <w:r w:rsidR="00E7355A" w:rsidRPr="00CC3404">
        <w:rPr>
          <w:rFonts w:ascii="Times New Roman" w:hAnsi="Times New Roman" w:cs="Times New Roman"/>
          <w:color w:val="auto"/>
          <w:sz w:val="22"/>
          <w:szCs w:val="22"/>
        </w:rPr>
        <w:t>s</w:t>
      </w:r>
      <w:r w:rsidR="007857CB" w:rsidRPr="00CC3404">
        <w:rPr>
          <w:rFonts w:ascii="Times New Roman" w:hAnsi="Times New Roman" w:cs="Times New Roman"/>
          <w:color w:val="auto"/>
          <w:sz w:val="22"/>
          <w:szCs w:val="22"/>
        </w:rPr>
        <w:t>afeguard the integrity, impartiality and independence of the secretariat and prevent and mitigate potential risks of adverse impacts on people and the environment”. Measures</w:t>
      </w:r>
      <w:r w:rsidR="00E7355A" w:rsidRPr="00CC3404">
        <w:rPr>
          <w:rFonts w:ascii="Times New Roman" w:hAnsi="Times New Roman" w:cs="Times New Roman"/>
          <w:color w:val="auto"/>
          <w:sz w:val="22"/>
          <w:szCs w:val="22"/>
        </w:rPr>
        <w:t xml:space="preserve"> identified for this purpose are a</w:t>
      </w:r>
      <w:r w:rsidR="007857CB" w:rsidRPr="00CC3404">
        <w:rPr>
          <w:rFonts w:ascii="Times New Roman" w:hAnsi="Times New Roman" w:cs="Times New Roman"/>
          <w:color w:val="auto"/>
          <w:sz w:val="22"/>
          <w:szCs w:val="22"/>
        </w:rPr>
        <w:t xml:space="preserve"> clear definition of </w:t>
      </w:r>
      <w:r w:rsidR="00E7355A" w:rsidRPr="00CC3404">
        <w:rPr>
          <w:rFonts w:ascii="Times New Roman" w:hAnsi="Times New Roman" w:cs="Times New Roman"/>
          <w:color w:val="auto"/>
          <w:sz w:val="22"/>
          <w:szCs w:val="22"/>
        </w:rPr>
        <w:t xml:space="preserve">the </w:t>
      </w:r>
      <w:r w:rsidR="007857CB" w:rsidRPr="00CC3404">
        <w:rPr>
          <w:rFonts w:ascii="Times New Roman" w:hAnsi="Times New Roman" w:cs="Times New Roman"/>
          <w:color w:val="auto"/>
          <w:sz w:val="22"/>
          <w:szCs w:val="22"/>
        </w:rPr>
        <w:t xml:space="preserve">objective of </w:t>
      </w:r>
      <w:r w:rsidR="00E7355A" w:rsidRPr="00CC3404">
        <w:rPr>
          <w:rFonts w:ascii="Times New Roman" w:hAnsi="Times New Roman" w:cs="Times New Roman"/>
          <w:color w:val="auto"/>
          <w:sz w:val="22"/>
          <w:szCs w:val="22"/>
        </w:rPr>
        <w:t xml:space="preserve">each </w:t>
      </w:r>
      <w:r w:rsidR="007857CB" w:rsidRPr="00CC3404">
        <w:rPr>
          <w:rFonts w:ascii="Times New Roman" w:hAnsi="Times New Roman" w:cs="Times New Roman"/>
          <w:color w:val="auto"/>
          <w:sz w:val="22"/>
          <w:szCs w:val="22"/>
        </w:rPr>
        <w:t>partnership</w:t>
      </w:r>
      <w:r w:rsidR="00E7355A" w:rsidRPr="00CC3404">
        <w:rPr>
          <w:rFonts w:ascii="Times New Roman" w:hAnsi="Times New Roman" w:cs="Times New Roman"/>
          <w:color w:val="auto"/>
          <w:sz w:val="22"/>
          <w:szCs w:val="22"/>
        </w:rPr>
        <w:t xml:space="preserve">; securing </w:t>
      </w:r>
      <w:r w:rsidR="007857CB" w:rsidRPr="00CC3404">
        <w:rPr>
          <w:rFonts w:ascii="Times New Roman" w:hAnsi="Times New Roman" w:cs="Times New Roman"/>
          <w:color w:val="auto"/>
          <w:sz w:val="22"/>
          <w:szCs w:val="22"/>
        </w:rPr>
        <w:t>adequate partners</w:t>
      </w:r>
      <w:r w:rsidR="001C27C9" w:rsidRPr="00CC3404">
        <w:rPr>
          <w:rFonts w:ascii="Times New Roman" w:hAnsi="Times New Roman" w:cs="Times New Roman"/>
          <w:color w:val="auto"/>
          <w:sz w:val="22"/>
          <w:szCs w:val="22"/>
        </w:rPr>
        <w:t>;</w:t>
      </w:r>
      <w:r w:rsidR="007857CB" w:rsidRPr="00CC3404">
        <w:rPr>
          <w:rFonts w:ascii="Times New Roman" w:hAnsi="Times New Roman" w:cs="Times New Roman"/>
          <w:color w:val="auto"/>
          <w:sz w:val="22"/>
          <w:szCs w:val="22"/>
        </w:rPr>
        <w:t xml:space="preserve"> </w:t>
      </w:r>
      <w:r w:rsidR="00E7355A" w:rsidRPr="00CC3404">
        <w:rPr>
          <w:rFonts w:ascii="Times New Roman" w:hAnsi="Times New Roman" w:cs="Times New Roman"/>
          <w:color w:val="auto"/>
          <w:sz w:val="22"/>
          <w:szCs w:val="22"/>
        </w:rPr>
        <w:t xml:space="preserve">a </w:t>
      </w:r>
      <w:r w:rsidR="007857CB" w:rsidRPr="00CC3404">
        <w:rPr>
          <w:rFonts w:ascii="Times New Roman" w:hAnsi="Times New Roman" w:cs="Times New Roman"/>
          <w:color w:val="auto"/>
          <w:sz w:val="22"/>
          <w:szCs w:val="22"/>
        </w:rPr>
        <w:t xml:space="preserve">due diligence process (set out in </w:t>
      </w:r>
      <w:r w:rsidR="00E7355A" w:rsidRPr="00CC3404">
        <w:rPr>
          <w:rFonts w:ascii="Times New Roman" w:hAnsi="Times New Roman" w:cs="Times New Roman"/>
          <w:color w:val="auto"/>
          <w:sz w:val="22"/>
          <w:szCs w:val="22"/>
        </w:rPr>
        <w:t xml:space="preserve">an </w:t>
      </w:r>
      <w:r w:rsidR="007857CB" w:rsidRPr="00CC3404">
        <w:rPr>
          <w:rFonts w:ascii="Times New Roman" w:hAnsi="Times New Roman" w:cs="Times New Roman"/>
          <w:color w:val="auto"/>
          <w:sz w:val="22"/>
          <w:szCs w:val="22"/>
        </w:rPr>
        <w:t xml:space="preserve">annex to the </w:t>
      </w:r>
      <w:r w:rsidR="00E7355A" w:rsidRPr="00CC3404">
        <w:rPr>
          <w:rFonts w:ascii="Times New Roman" w:hAnsi="Times New Roman" w:cs="Times New Roman"/>
          <w:color w:val="auto"/>
          <w:sz w:val="22"/>
          <w:szCs w:val="22"/>
        </w:rPr>
        <w:t>guidelines</w:t>
      </w:r>
      <w:r w:rsidR="007857CB" w:rsidRPr="00CC3404">
        <w:rPr>
          <w:rFonts w:ascii="Times New Roman" w:hAnsi="Times New Roman" w:cs="Times New Roman"/>
          <w:color w:val="auto"/>
          <w:sz w:val="22"/>
          <w:szCs w:val="22"/>
        </w:rPr>
        <w:t>)</w:t>
      </w:r>
      <w:r w:rsidR="00E7355A" w:rsidRPr="00CC3404">
        <w:rPr>
          <w:rFonts w:ascii="Times New Roman" w:hAnsi="Times New Roman" w:cs="Times New Roman"/>
          <w:color w:val="auto"/>
          <w:sz w:val="22"/>
          <w:szCs w:val="22"/>
        </w:rPr>
        <w:t>;</w:t>
      </w:r>
      <w:r w:rsidR="007857CB" w:rsidRPr="00CC3404">
        <w:rPr>
          <w:rFonts w:ascii="Times New Roman" w:hAnsi="Times New Roman" w:cs="Times New Roman"/>
          <w:color w:val="auto"/>
          <w:sz w:val="22"/>
          <w:szCs w:val="22"/>
        </w:rPr>
        <w:t xml:space="preserve"> ensur</w:t>
      </w:r>
      <w:r w:rsidR="001C27C9" w:rsidRPr="00CC3404">
        <w:rPr>
          <w:rFonts w:ascii="Times New Roman" w:hAnsi="Times New Roman" w:cs="Times New Roman"/>
          <w:color w:val="auto"/>
          <w:sz w:val="22"/>
          <w:szCs w:val="22"/>
        </w:rPr>
        <w:t>ing</w:t>
      </w:r>
      <w:r w:rsidR="007857CB" w:rsidRPr="00CC3404">
        <w:rPr>
          <w:rFonts w:ascii="Times New Roman" w:hAnsi="Times New Roman" w:cs="Times New Roman"/>
          <w:color w:val="auto"/>
          <w:sz w:val="22"/>
          <w:szCs w:val="22"/>
        </w:rPr>
        <w:t xml:space="preserve"> </w:t>
      </w:r>
      <w:r w:rsidR="00E7355A" w:rsidRPr="00CC3404">
        <w:rPr>
          <w:rFonts w:ascii="Times New Roman" w:hAnsi="Times New Roman" w:cs="Times New Roman"/>
          <w:color w:val="auto"/>
          <w:sz w:val="22"/>
          <w:szCs w:val="22"/>
        </w:rPr>
        <w:t xml:space="preserve">that there can be </w:t>
      </w:r>
      <w:r w:rsidR="007857CB" w:rsidRPr="00CC3404">
        <w:rPr>
          <w:rFonts w:ascii="Times New Roman" w:hAnsi="Times New Roman" w:cs="Times New Roman"/>
          <w:color w:val="auto"/>
          <w:sz w:val="22"/>
          <w:szCs w:val="22"/>
        </w:rPr>
        <w:t>no unfair advantage</w:t>
      </w:r>
      <w:r w:rsidR="00E7355A" w:rsidRPr="00CC3404">
        <w:rPr>
          <w:rFonts w:ascii="Times New Roman" w:hAnsi="Times New Roman" w:cs="Times New Roman"/>
          <w:color w:val="auto"/>
          <w:sz w:val="22"/>
          <w:szCs w:val="22"/>
        </w:rPr>
        <w:t xml:space="preserve"> to a partner; and </w:t>
      </w:r>
      <w:r w:rsidR="007857CB" w:rsidRPr="00CC3404">
        <w:rPr>
          <w:rFonts w:ascii="Times New Roman" w:hAnsi="Times New Roman" w:cs="Times New Roman"/>
          <w:color w:val="auto"/>
          <w:sz w:val="22"/>
          <w:szCs w:val="22"/>
        </w:rPr>
        <w:t>delineat</w:t>
      </w:r>
      <w:r w:rsidR="00E7355A" w:rsidRPr="00CC3404">
        <w:rPr>
          <w:rFonts w:ascii="Times New Roman" w:hAnsi="Times New Roman" w:cs="Times New Roman"/>
          <w:color w:val="auto"/>
          <w:sz w:val="22"/>
          <w:szCs w:val="22"/>
        </w:rPr>
        <w:t xml:space="preserve">ing the </w:t>
      </w:r>
      <w:r w:rsidR="007857CB" w:rsidRPr="00CC3404">
        <w:rPr>
          <w:rFonts w:ascii="Times New Roman" w:hAnsi="Times New Roman" w:cs="Times New Roman"/>
          <w:color w:val="auto"/>
          <w:sz w:val="22"/>
          <w:szCs w:val="22"/>
        </w:rPr>
        <w:t>roles and responsibilities</w:t>
      </w:r>
      <w:r w:rsidR="00E7355A" w:rsidRPr="00CC3404">
        <w:rPr>
          <w:rFonts w:ascii="Times New Roman" w:hAnsi="Times New Roman" w:cs="Times New Roman"/>
          <w:color w:val="auto"/>
          <w:sz w:val="22"/>
          <w:szCs w:val="22"/>
        </w:rPr>
        <w:t xml:space="preserve"> or all partners.</w:t>
      </w:r>
    </w:p>
    <w:p w14:paraId="311C49BA" w14:textId="09F3F031" w:rsidR="007857CB" w:rsidRPr="00CC3404" w:rsidRDefault="007857CB" w:rsidP="00AB64DD">
      <w:pPr>
        <w:pStyle w:val="Pa0"/>
        <w:jc w:val="both"/>
        <w:rPr>
          <w:rFonts w:ascii="Times New Roman" w:hAnsi="Times New Roman" w:cs="Times New Roman"/>
          <w:sz w:val="22"/>
          <w:szCs w:val="22"/>
          <w:lang w:val="en-GB"/>
        </w:rPr>
      </w:pPr>
    </w:p>
    <w:p w14:paraId="25453B44" w14:textId="0B84A46B" w:rsidR="007857CB" w:rsidRPr="00CC3404" w:rsidRDefault="00CC3404" w:rsidP="00AB64DD">
      <w:pPr>
        <w:jc w:val="both"/>
        <w:rPr>
          <w:rFonts w:ascii="Times New Roman" w:hAnsi="Times New Roman" w:cs="Times New Roman"/>
        </w:rPr>
      </w:pPr>
      <w:r w:rsidRPr="00CC3404">
        <w:rPr>
          <w:rFonts w:ascii="Times New Roman" w:hAnsi="Times New Roman" w:cs="Times New Roman"/>
        </w:rPr>
        <w:t>61.</w:t>
      </w:r>
      <w:r w:rsidRPr="00CC3404">
        <w:rPr>
          <w:rFonts w:ascii="Times New Roman" w:hAnsi="Times New Roman" w:cs="Times New Roman"/>
        </w:rPr>
        <w:tab/>
      </w:r>
      <w:r w:rsidR="0001538C" w:rsidRPr="00CC3404">
        <w:rPr>
          <w:rFonts w:ascii="Times New Roman" w:hAnsi="Times New Roman" w:cs="Times New Roman"/>
        </w:rPr>
        <w:t xml:space="preserve">For the </w:t>
      </w:r>
      <w:proofErr w:type="spellStart"/>
      <w:r w:rsidR="007857CB" w:rsidRPr="00CC3404">
        <w:rPr>
          <w:rFonts w:ascii="Times New Roman" w:hAnsi="Times New Roman" w:cs="Times New Roman"/>
        </w:rPr>
        <w:t>Ramsar</w:t>
      </w:r>
      <w:proofErr w:type="spellEnd"/>
      <w:r w:rsidR="0001538C" w:rsidRPr="00CC3404">
        <w:rPr>
          <w:rFonts w:ascii="Times New Roman" w:hAnsi="Times New Roman" w:cs="Times New Roman"/>
        </w:rPr>
        <w:t xml:space="preserve"> Convention, risks inherent in partnerships with the </w:t>
      </w:r>
      <w:r w:rsidR="007857CB" w:rsidRPr="00CC3404">
        <w:rPr>
          <w:rFonts w:ascii="Times New Roman" w:hAnsi="Times New Roman" w:cs="Times New Roman"/>
        </w:rPr>
        <w:t>private sector</w:t>
      </w:r>
      <w:r w:rsidR="0001538C" w:rsidRPr="00CC3404">
        <w:rPr>
          <w:rFonts w:ascii="Times New Roman" w:hAnsi="Times New Roman" w:cs="Times New Roman"/>
        </w:rPr>
        <w:t xml:space="preserve"> include a t</w:t>
      </w:r>
      <w:r w:rsidR="007857CB" w:rsidRPr="00CC3404">
        <w:rPr>
          <w:rFonts w:ascii="Times New Roman" w:hAnsi="Times New Roman" w:cs="Times New Roman"/>
        </w:rPr>
        <w:t xml:space="preserve">hreat to </w:t>
      </w:r>
      <w:r w:rsidR="00B34517" w:rsidRPr="00CC3404">
        <w:rPr>
          <w:rFonts w:ascii="Times New Roman" w:hAnsi="Times New Roman" w:cs="Times New Roman"/>
        </w:rPr>
        <w:t xml:space="preserve">the </w:t>
      </w:r>
      <w:r w:rsidR="007857CB" w:rsidRPr="00CC3404">
        <w:rPr>
          <w:rFonts w:ascii="Times New Roman" w:hAnsi="Times New Roman" w:cs="Times New Roman"/>
        </w:rPr>
        <w:t xml:space="preserve">integrity of the Convention; </w:t>
      </w:r>
      <w:r w:rsidR="0001538C" w:rsidRPr="00CC3404">
        <w:rPr>
          <w:rFonts w:ascii="Times New Roman" w:hAnsi="Times New Roman" w:cs="Times New Roman"/>
        </w:rPr>
        <w:t xml:space="preserve">and the possibility of a </w:t>
      </w:r>
      <w:r w:rsidR="007857CB" w:rsidRPr="00CC3404">
        <w:rPr>
          <w:rFonts w:ascii="Times New Roman" w:hAnsi="Times New Roman" w:cs="Times New Roman"/>
        </w:rPr>
        <w:t>partnership requiring exclusivity</w:t>
      </w:r>
      <w:r w:rsidR="0001538C" w:rsidRPr="00CC3404">
        <w:rPr>
          <w:rFonts w:ascii="Times New Roman" w:hAnsi="Times New Roman" w:cs="Times New Roman"/>
        </w:rPr>
        <w:t xml:space="preserve"> or </w:t>
      </w:r>
      <w:r w:rsidR="007857CB" w:rsidRPr="00CC3404">
        <w:rPr>
          <w:rFonts w:ascii="Times New Roman" w:hAnsi="Times New Roman" w:cs="Times New Roman"/>
        </w:rPr>
        <w:t xml:space="preserve">prohibiting other partnerships of a similar nature. </w:t>
      </w:r>
      <w:r w:rsidR="00B34517" w:rsidRPr="00CC3404">
        <w:rPr>
          <w:rFonts w:ascii="Times New Roman" w:hAnsi="Times New Roman" w:cs="Times New Roman"/>
        </w:rPr>
        <w:t>In terms of mitigation measures, the Convention’s Partnership Principles set out three</w:t>
      </w:r>
      <w:r w:rsidR="007857CB" w:rsidRPr="00CC3404">
        <w:rPr>
          <w:rFonts w:ascii="Times New Roman" w:hAnsi="Times New Roman" w:cs="Times New Roman"/>
        </w:rPr>
        <w:t xml:space="preserve"> criteria for selection of a company for </w:t>
      </w:r>
      <w:r w:rsidR="00B34517" w:rsidRPr="00CC3404">
        <w:rPr>
          <w:rFonts w:ascii="Times New Roman" w:hAnsi="Times New Roman" w:cs="Times New Roman"/>
        </w:rPr>
        <w:t xml:space="preserve">a </w:t>
      </w:r>
      <w:r w:rsidR="007857CB" w:rsidRPr="00CC3404">
        <w:rPr>
          <w:rFonts w:ascii="Times New Roman" w:hAnsi="Times New Roman" w:cs="Times New Roman"/>
        </w:rPr>
        <w:t>partnership</w:t>
      </w:r>
      <w:r w:rsidR="00B34517" w:rsidRPr="00CC3404">
        <w:rPr>
          <w:rFonts w:ascii="Times New Roman" w:hAnsi="Times New Roman" w:cs="Times New Roman"/>
        </w:rPr>
        <w:t xml:space="preserve">, as well as elements of a </w:t>
      </w:r>
      <w:r w:rsidR="007857CB" w:rsidRPr="00CC3404">
        <w:rPr>
          <w:rFonts w:ascii="Times New Roman" w:hAnsi="Times New Roman" w:cs="Times New Roman"/>
        </w:rPr>
        <w:t xml:space="preserve">thorough assessment of the </w:t>
      </w:r>
      <w:r w:rsidR="00260E48" w:rsidRPr="00CC3404">
        <w:rPr>
          <w:rFonts w:ascii="Times New Roman" w:hAnsi="Times New Roman" w:cs="Times New Roman"/>
        </w:rPr>
        <w:t xml:space="preserve">partner </w:t>
      </w:r>
      <w:r w:rsidR="007857CB" w:rsidRPr="00CC3404">
        <w:rPr>
          <w:rFonts w:ascii="Times New Roman" w:hAnsi="Times New Roman" w:cs="Times New Roman"/>
        </w:rPr>
        <w:t>company</w:t>
      </w:r>
      <w:r w:rsidR="00B34517" w:rsidRPr="00CC3404">
        <w:rPr>
          <w:rFonts w:ascii="Times New Roman" w:hAnsi="Times New Roman" w:cs="Times New Roman"/>
        </w:rPr>
        <w:t>.</w:t>
      </w:r>
    </w:p>
    <w:p w14:paraId="79163095" w14:textId="58A29576" w:rsidR="00260E48" w:rsidRPr="00CC3404" w:rsidRDefault="00CC3404" w:rsidP="00AB64DD">
      <w:pPr>
        <w:jc w:val="both"/>
        <w:rPr>
          <w:rFonts w:ascii="Times New Roman" w:hAnsi="Times New Roman" w:cs="Times New Roman"/>
          <w:b/>
          <w:i/>
        </w:rPr>
      </w:pPr>
      <w:r w:rsidRPr="00CC3404">
        <w:rPr>
          <w:rFonts w:ascii="Times New Roman" w:hAnsi="Times New Roman" w:cs="Times New Roman"/>
        </w:rPr>
        <w:t>62.</w:t>
      </w:r>
      <w:r w:rsidRPr="00CC3404">
        <w:rPr>
          <w:rFonts w:ascii="Times New Roman" w:hAnsi="Times New Roman" w:cs="Times New Roman"/>
        </w:rPr>
        <w:tab/>
      </w:r>
      <w:r w:rsidR="00B34517" w:rsidRPr="00CC3404">
        <w:rPr>
          <w:rFonts w:ascii="Times New Roman" w:hAnsi="Times New Roman" w:cs="Times New Roman"/>
        </w:rPr>
        <w:t xml:space="preserve">The </w:t>
      </w:r>
      <w:r w:rsidR="007857CB" w:rsidRPr="00CC3404">
        <w:rPr>
          <w:rFonts w:ascii="Times New Roman" w:hAnsi="Times New Roman" w:cs="Times New Roman"/>
        </w:rPr>
        <w:t xml:space="preserve">UNCCD </w:t>
      </w:r>
      <w:r w:rsidR="00B34517" w:rsidRPr="00CC3404">
        <w:rPr>
          <w:rFonts w:ascii="Times New Roman" w:hAnsi="Times New Roman" w:cs="Times New Roman"/>
        </w:rPr>
        <w:t>Strategy does not specify risks. Measures to mitigate risks inherent in engagement with private sector actors include c</w:t>
      </w:r>
      <w:r w:rsidR="007857CB" w:rsidRPr="00CC3404">
        <w:rPr>
          <w:rFonts w:ascii="Times New Roman" w:hAnsi="Times New Roman" w:cs="Times New Roman"/>
        </w:rPr>
        <w:t xml:space="preserve">riteria for </w:t>
      </w:r>
      <w:r w:rsidR="00B34517" w:rsidRPr="00CC3404">
        <w:rPr>
          <w:rFonts w:ascii="Times New Roman" w:hAnsi="Times New Roman" w:cs="Times New Roman"/>
        </w:rPr>
        <w:t xml:space="preserve">the </w:t>
      </w:r>
      <w:r w:rsidR="007857CB" w:rsidRPr="00CC3404">
        <w:rPr>
          <w:rFonts w:ascii="Times New Roman" w:hAnsi="Times New Roman" w:cs="Times New Roman"/>
        </w:rPr>
        <w:t>selection of partners</w:t>
      </w:r>
      <w:r w:rsidR="00260E48" w:rsidRPr="00CC3404">
        <w:rPr>
          <w:rFonts w:ascii="Times New Roman" w:hAnsi="Times New Roman" w:cs="Times New Roman"/>
        </w:rPr>
        <w:t xml:space="preserve">. As a </w:t>
      </w:r>
      <w:r w:rsidR="00B34517" w:rsidRPr="00CC3404">
        <w:rPr>
          <w:rFonts w:ascii="Times New Roman" w:hAnsi="Times New Roman" w:cs="Times New Roman"/>
        </w:rPr>
        <w:t>precondition, the prospective partner must s</w:t>
      </w:r>
      <w:r w:rsidR="00C15BF0" w:rsidRPr="00CC3404">
        <w:rPr>
          <w:rFonts w:ascii="Times New Roman" w:hAnsi="Times New Roman" w:cs="Times New Roman"/>
        </w:rPr>
        <w:t>atisfy the requirements for accreditation as an observer.</w:t>
      </w:r>
    </w:p>
    <w:p w14:paraId="703D9721" w14:textId="7DF87370" w:rsidR="005A0C54" w:rsidRPr="003724EF" w:rsidRDefault="008E5E78" w:rsidP="00AB64DD">
      <w:pPr>
        <w:pStyle w:val="Heading2"/>
        <w:rPr>
          <w:rFonts w:ascii="Times New Roman" w:hAnsi="Times New Roman" w:cs="Times New Roman"/>
          <w:b/>
          <w:bCs/>
          <w:color w:val="auto"/>
        </w:rPr>
      </w:pPr>
      <w:bookmarkStart w:id="30" w:name="_Toc531103786"/>
      <w:r w:rsidRPr="00CC3404">
        <w:rPr>
          <w:rFonts w:ascii="Times New Roman" w:hAnsi="Times New Roman" w:cs="Times New Roman"/>
          <w:color w:val="auto"/>
        </w:rPr>
        <w:t>5.4</w:t>
      </w:r>
      <w:r w:rsidR="00B745B6" w:rsidRPr="00CC3404">
        <w:rPr>
          <w:rFonts w:ascii="Times New Roman" w:hAnsi="Times New Roman" w:cs="Times New Roman"/>
          <w:color w:val="auto"/>
        </w:rPr>
        <w:tab/>
      </w:r>
      <w:r w:rsidRPr="00CC3404">
        <w:rPr>
          <w:rFonts w:ascii="Times New Roman" w:hAnsi="Times New Roman" w:cs="Times New Roman"/>
          <w:color w:val="auto"/>
        </w:rPr>
        <w:t xml:space="preserve"> </w:t>
      </w:r>
      <w:r w:rsidR="00122C3C" w:rsidRPr="003724EF">
        <w:rPr>
          <w:rFonts w:ascii="Times New Roman" w:hAnsi="Times New Roman" w:cs="Times New Roman"/>
          <w:b/>
          <w:bCs/>
          <w:color w:val="auto"/>
        </w:rPr>
        <w:t>G</w:t>
      </w:r>
      <w:r w:rsidR="00895083" w:rsidRPr="003724EF">
        <w:rPr>
          <w:rFonts w:ascii="Times New Roman" w:hAnsi="Times New Roman" w:cs="Times New Roman"/>
          <w:b/>
          <w:bCs/>
          <w:color w:val="auto"/>
        </w:rPr>
        <w:t>overn</w:t>
      </w:r>
      <w:r w:rsidR="00122C3C" w:rsidRPr="003724EF">
        <w:rPr>
          <w:rFonts w:ascii="Times New Roman" w:hAnsi="Times New Roman" w:cs="Times New Roman"/>
          <w:b/>
          <w:bCs/>
          <w:color w:val="auto"/>
        </w:rPr>
        <w:t>ance structure</w:t>
      </w:r>
      <w:r w:rsidR="004A7A30" w:rsidRPr="003724EF">
        <w:rPr>
          <w:rFonts w:ascii="Times New Roman" w:hAnsi="Times New Roman" w:cs="Times New Roman"/>
          <w:b/>
          <w:bCs/>
          <w:color w:val="auto"/>
        </w:rPr>
        <w:t xml:space="preserve"> and mandate</w:t>
      </w:r>
      <w:r w:rsidR="00122C3C" w:rsidRPr="003724EF">
        <w:rPr>
          <w:rFonts w:ascii="Times New Roman" w:hAnsi="Times New Roman" w:cs="Times New Roman"/>
          <w:b/>
          <w:bCs/>
          <w:color w:val="auto"/>
        </w:rPr>
        <w:t>: establishment and oversight</w:t>
      </w:r>
      <w:bookmarkEnd w:id="30"/>
      <w:r w:rsidR="00122C3C" w:rsidRPr="003724EF">
        <w:rPr>
          <w:rFonts w:ascii="Times New Roman" w:hAnsi="Times New Roman" w:cs="Times New Roman"/>
          <w:b/>
          <w:bCs/>
          <w:color w:val="auto"/>
        </w:rPr>
        <w:t xml:space="preserve"> </w:t>
      </w:r>
    </w:p>
    <w:p w14:paraId="7EAAFE2A" w14:textId="18A98416" w:rsidR="007E1696" w:rsidRPr="00CC3404" w:rsidRDefault="00CC3404" w:rsidP="00AB64DD">
      <w:pPr>
        <w:spacing w:before="120"/>
        <w:jc w:val="both"/>
        <w:rPr>
          <w:rStyle w:val="A0"/>
          <w:rFonts w:ascii="Times New Roman" w:hAnsi="Times New Roman" w:cs="Times New Roman"/>
          <w:color w:val="auto"/>
          <w:sz w:val="22"/>
          <w:szCs w:val="22"/>
        </w:rPr>
      </w:pPr>
      <w:r w:rsidRPr="00CC3404">
        <w:rPr>
          <w:rFonts w:ascii="Times New Roman" w:hAnsi="Times New Roman" w:cs="Times New Roman"/>
        </w:rPr>
        <w:t>63.</w:t>
      </w:r>
      <w:r w:rsidRPr="00CC3404">
        <w:rPr>
          <w:rFonts w:ascii="Times New Roman" w:hAnsi="Times New Roman" w:cs="Times New Roman"/>
        </w:rPr>
        <w:tab/>
      </w:r>
      <w:r w:rsidR="00545C84" w:rsidRPr="00CC3404">
        <w:rPr>
          <w:rFonts w:ascii="Times New Roman" w:hAnsi="Times New Roman" w:cs="Times New Roman"/>
        </w:rPr>
        <w:t>Where partnerships have their own governance structure</w:t>
      </w:r>
      <w:r w:rsidR="00ED0C54" w:rsidRPr="00CC3404">
        <w:rPr>
          <w:rFonts w:ascii="Times New Roman" w:hAnsi="Times New Roman" w:cs="Times New Roman"/>
        </w:rPr>
        <w:t xml:space="preserve"> (similar to “Partnerships”)</w:t>
      </w:r>
      <w:r w:rsidR="00545C84" w:rsidRPr="00CC3404">
        <w:rPr>
          <w:rFonts w:ascii="Times New Roman" w:hAnsi="Times New Roman" w:cs="Times New Roman"/>
        </w:rPr>
        <w:t xml:space="preserve">, </w:t>
      </w:r>
      <w:r w:rsidR="001566BD" w:rsidRPr="00CC3404">
        <w:rPr>
          <w:rFonts w:ascii="Times New Roman" w:hAnsi="Times New Roman" w:cs="Times New Roman"/>
        </w:rPr>
        <w:t>organizations and M</w:t>
      </w:r>
      <w:r w:rsidR="002B2938" w:rsidRPr="00CC3404">
        <w:rPr>
          <w:rFonts w:ascii="Times New Roman" w:hAnsi="Times New Roman" w:cs="Times New Roman"/>
        </w:rPr>
        <w:t>E</w:t>
      </w:r>
      <w:r w:rsidR="001566BD" w:rsidRPr="00CC3404">
        <w:rPr>
          <w:rFonts w:ascii="Times New Roman" w:hAnsi="Times New Roman" w:cs="Times New Roman"/>
        </w:rPr>
        <w:t>As use</w:t>
      </w:r>
      <w:r w:rsidR="00545C84" w:rsidRPr="00CC3404">
        <w:rPr>
          <w:rFonts w:ascii="Times New Roman" w:hAnsi="Times New Roman" w:cs="Times New Roman"/>
        </w:rPr>
        <w:t xml:space="preserve"> different ways </w:t>
      </w:r>
      <w:r w:rsidR="001566BD" w:rsidRPr="00CC3404">
        <w:rPr>
          <w:rFonts w:ascii="Times New Roman" w:hAnsi="Times New Roman" w:cs="Times New Roman"/>
        </w:rPr>
        <w:t>to</w:t>
      </w:r>
      <w:r w:rsidR="00545C84" w:rsidRPr="00CC3404">
        <w:rPr>
          <w:rFonts w:ascii="Times New Roman" w:hAnsi="Times New Roman" w:cs="Times New Roman"/>
        </w:rPr>
        <w:t xml:space="preserve"> </w:t>
      </w:r>
      <w:r w:rsidR="001566BD" w:rsidRPr="00CC3404">
        <w:rPr>
          <w:rFonts w:ascii="Times New Roman" w:hAnsi="Times New Roman" w:cs="Times New Roman"/>
        </w:rPr>
        <w:t>establish</w:t>
      </w:r>
      <w:r w:rsidR="00545C84" w:rsidRPr="00CC3404">
        <w:rPr>
          <w:rFonts w:ascii="Times New Roman" w:hAnsi="Times New Roman" w:cs="Times New Roman"/>
        </w:rPr>
        <w:t xml:space="preserve"> </w:t>
      </w:r>
      <w:r w:rsidR="00122C3C" w:rsidRPr="00CC3404">
        <w:rPr>
          <w:rFonts w:ascii="Times New Roman" w:hAnsi="Times New Roman" w:cs="Times New Roman"/>
        </w:rPr>
        <w:t xml:space="preserve">the partnership’s bodies and adopting their TOR, work plan and membership, </w:t>
      </w:r>
      <w:r w:rsidR="00545C84" w:rsidRPr="00CC3404">
        <w:rPr>
          <w:rFonts w:ascii="Times New Roman" w:hAnsi="Times New Roman" w:cs="Times New Roman"/>
        </w:rPr>
        <w:t xml:space="preserve">and </w:t>
      </w:r>
      <w:r w:rsidR="00122C3C" w:rsidRPr="00CC3404">
        <w:rPr>
          <w:rFonts w:ascii="Times New Roman" w:hAnsi="Times New Roman" w:cs="Times New Roman"/>
        </w:rPr>
        <w:t xml:space="preserve">to </w:t>
      </w:r>
      <w:r w:rsidR="00545C84" w:rsidRPr="00CC3404">
        <w:rPr>
          <w:rFonts w:ascii="Times New Roman" w:hAnsi="Times New Roman" w:cs="Times New Roman"/>
        </w:rPr>
        <w:t>subsequently monitor</w:t>
      </w:r>
      <w:r w:rsidR="001566BD" w:rsidRPr="00CC3404">
        <w:rPr>
          <w:rFonts w:ascii="Times New Roman" w:hAnsi="Times New Roman" w:cs="Times New Roman"/>
        </w:rPr>
        <w:t xml:space="preserve"> </w:t>
      </w:r>
      <w:r w:rsidR="00122C3C" w:rsidRPr="00CC3404">
        <w:rPr>
          <w:rFonts w:ascii="Times New Roman" w:hAnsi="Times New Roman" w:cs="Times New Roman"/>
        </w:rPr>
        <w:t>implementation</w:t>
      </w:r>
      <w:r w:rsidR="00260E48" w:rsidRPr="00CC3404">
        <w:rPr>
          <w:rFonts w:ascii="Times New Roman" w:hAnsi="Times New Roman" w:cs="Times New Roman"/>
        </w:rPr>
        <w:t xml:space="preserve">. This </w:t>
      </w:r>
      <w:r w:rsidR="00122C3C" w:rsidRPr="00CC3404">
        <w:rPr>
          <w:rFonts w:ascii="Times New Roman" w:hAnsi="Times New Roman" w:cs="Times New Roman"/>
        </w:rPr>
        <w:t xml:space="preserve">entails </w:t>
      </w:r>
      <w:r w:rsidR="00E7602E" w:rsidRPr="00CC3404">
        <w:rPr>
          <w:rFonts w:ascii="Times New Roman" w:hAnsi="Times New Roman" w:cs="Times New Roman"/>
        </w:rPr>
        <w:t>different levels of control</w:t>
      </w:r>
      <w:r w:rsidR="00122C3C" w:rsidRPr="00CC3404">
        <w:rPr>
          <w:rFonts w:ascii="Times New Roman" w:hAnsi="Times New Roman" w:cs="Times New Roman"/>
        </w:rPr>
        <w:t xml:space="preserve"> over the partnership</w:t>
      </w:r>
      <w:r w:rsidR="005D65F8" w:rsidRPr="00CC3404">
        <w:rPr>
          <w:rFonts w:ascii="Times New Roman" w:hAnsi="Times New Roman" w:cs="Times New Roman"/>
        </w:rPr>
        <w:t xml:space="preserve"> by the organization’s governing body</w:t>
      </w:r>
      <w:r w:rsidR="00122C3C" w:rsidRPr="00CC3404">
        <w:rPr>
          <w:rFonts w:ascii="Times New Roman" w:hAnsi="Times New Roman" w:cs="Times New Roman"/>
        </w:rPr>
        <w:t>.</w:t>
      </w:r>
      <w:r w:rsidR="00545C84" w:rsidRPr="00CC3404">
        <w:rPr>
          <w:rFonts w:ascii="Times New Roman" w:hAnsi="Times New Roman" w:cs="Times New Roman"/>
        </w:rPr>
        <w:t xml:space="preserve"> For example, the UNICEF Secretariat defines the governance structure</w:t>
      </w:r>
      <w:r w:rsidR="007A4DAA" w:rsidRPr="00CC3404">
        <w:rPr>
          <w:rFonts w:ascii="Times New Roman" w:hAnsi="Times New Roman" w:cs="Times New Roman"/>
        </w:rPr>
        <w:t xml:space="preserve"> of its partnerships</w:t>
      </w:r>
      <w:r w:rsidR="00545C84" w:rsidRPr="00CC3404">
        <w:rPr>
          <w:rFonts w:ascii="Times New Roman" w:hAnsi="Times New Roman" w:cs="Times New Roman"/>
        </w:rPr>
        <w:t xml:space="preserve"> in accordance with the Strategic Framework adopted by the Executive Board. For WHO, responsibility for determining the governance structure is with the Director General, who </w:t>
      </w:r>
      <w:r w:rsidR="00E7602E" w:rsidRPr="00CC3404">
        <w:rPr>
          <w:rFonts w:ascii="Times New Roman" w:hAnsi="Times New Roman" w:cs="Times New Roman"/>
        </w:rPr>
        <w:t>reports thereon</w:t>
      </w:r>
      <w:r w:rsidR="00545C84" w:rsidRPr="00CC3404">
        <w:rPr>
          <w:rFonts w:ascii="Times New Roman" w:hAnsi="Times New Roman" w:cs="Times New Roman"/>
        </w:rPr>
        <w:t xml:space="preserve"> to the Executive Board</w:t>
      </w:r>
      <w:r w:rsidR="00E7602E" w:rsidRPr="00CC3404">
        <w:rPr>
          <w:rFonts w:ascii="Times New Roman" w:hAnsi="Times New Roman" w:cs="Times New Roman"/>
        </w:rPr>
        <w:t xml:space="preserve">. </w:t>
      </w:r>
      <w:r w:rsidR="00514BAB" w:rsidRPr="00CC3404">
        <w:rPr>
          <w:rFonts w:ascii="Times New Roman" w:hAnsi="Times New Roman" w:cs="Times New Roman"/>
        </w:rPr>
        <w:t xml:space="preserve">WHO distinguishes between “formal partnerships” with a governance structure that takes decisions independently of WHO’s </w:t>
      </w:r>
      <w:r w:rsidR="00514BAB" w:rsidRPr="00CC3404">
        <w:rPr>
          <w:rFonts w:ascii="Times New Roman" w:hAnsi="Times New Roman" w:cs="Times New Roman"/>
        </w:rPr>
        <w:lastRenderedPageBreak/>
        <w:t xml:space="preserve">governing bodies, and other forms of cooperation. </w:t>
      </w:r>
      <w:r w:rsidR="00E7602E" w:rsidRPr="00CC3404">
        <w:rPr>
          <w:rFonts w:ascii="Times New Roman" w:hAnsi="Times New Roman" w:cs="Times New Roman"/>
        </w:rPr>
        <w:t xml:space="preserve">FAO’s Partnerships with the private sector are established by the Secretariat in accordance with </w:t>
      </w:r>
      <w:r w:rsidR="00ED0C54" w:rsidRPr="00CC3404">
        <w:rPr>
          <w:rFonts w:ascii="Times New Roman" w:hAnsi="Times New Roman" w:cs="Times New Roman"/>
        </w:rPr>
        <w:t xml:space="preserve">the organization’s </w:t>
      </w:r>
      <w:r w:rsidR="00E7602E" w:rsidRPr="00CC3404">
        <w:rPr>
          <w:rFonts w:ascii="Times New Roman" w:hAnsi="Times New Roman" w:cs="Times New Roman"/>
        </w:rPr>
        <w:t xml:space="preserve">Strategy, following preliminary screening, review and endorsement </w:t>
      </w:r>
      <w:r w:rsidR="00E7602E" w:rsidRPr="00CC3404">
        <w:rPr>
          <w:rStyle w:val="A0"/>
          <w:rFonts w:ascii="Times New Roman" w:hAnsi="Times New Roman" w:cs="Times New Roman"/>
          <w:color w:val="auto"/>
          <w:sz w:val="22"/>
          <w:szCs w:val="22"/>
        </w:rPr>
        <w:t xml:space="preserve">by the FAO Partnerships Committee. The Committee subsequently monitors and evaluates the partnerships. The UNEP Secretariat </w:t>
      </w:r>
      <w:r w:rsidR="002B2938" w:rsidRPr="00CC3404">
        <w:rPr>
          <w:rStyle w:val="A0"/>
          <w:rFonts w:ascii="Times New Roman" w:hAnsi="Times New Roman" w:cs="Times New Roman"/>
          <w:color w:val="auto"/>
          <w:sz w:val="22"/>
          <w:szCs w:val="22"/>
        </w:rPr>
        <w:t>establishes partnerships in accordance with the guidance documents, and reports to the Committee o</w:t>
      </w:r>
      <w:r w:rsidR="00260E48" w:rsidRPr="00CC3404">
        <w:rPr>
          <w:rStyle w:val="A0"/>
          <w:rFonts w:ascii="Times New Roman" w:hAnsi="Times New Roman" w:cs="Times New Roman"/>
          <w:color w:val="auto"/>
          <w:sz w:val="22"/>
          <w:szCs w:val="22"/>
        </w:rPr>
        <w:t>f</w:t>
      </w:r>
      <w:r w:rsidR="002B2938" w:rsidRPr="00CC3404">
        <w:rPr>
          <w:rStyle w:val="A0"/>
          <w:rFonts w:ascii="Times New Roman" w:hAnsi="Times New Roman" w:cs="Times New Roman"/>
          <w:color w:val="auto"/>
          <w:sz w:val="22"/>
          <w:szCs w:val="22"/>
        </w:rPr>
        <w:t xml:space="preserve"> Permanent Representatives. T</w:t>
      </w:r>
      <w:r w:rsidR="00E7602E" w:rsidRPr="00CC3404">
        <w:rPr>
          <w:rStyle w:val="A0"/>
          <w:rFonts w:ascii="Times New Roman" w:hAnsi="Times New Roman" w:cs="Times New Roman"/>
          <w:color w:val="auto"/>
          <w:sz w:val="22"/>
          <w:szCs w:val="22"/>
        </w:rPr>
        <w:t>he Secretariats of the UNFCCC</w:t>
      </w:r>
      <w:r w:rsidR="00383A0C" w:rsidRPr="00CC3404">
        <w:rPr>
          <w:rStyle w:val="A0"/>
          <w:rFonts w:ascii="Times New Roman" w:hAnsi="Times New Roman" w:cs="Times New Roman"/>
          <w:color w:val="auto"/>
          <w:sz w:val="22"/>
          <w:szCs w:val="22"/>
        </w:rPr>
        <w:t xml:space="preserve">, </w:t>
      </w:r>
      <w:r w:rsidR="007A4DAA" w:rsidRPr="00CC3404">
        <w:rPr>
          <w:rStyle w:val="A0"/>
          <w:rFonts w:ascii="Times New Roman" w:hAnsi="Times New Roman" w:cs="Times New Roman"/>
          <w:color w:val="auto"/>
          <w:sz w:val="22"/>
          <w:szCs w:val="22"/>
        </w:rPr>
        <w:t>the UNCCD</w:t>
      </w:r>
      <w:r w:rsidR="00383A0C" w:rsidRPr="00CC3404">
        <w:rPr>
          <w:rStyle w:val="A0"/>
          <w:rFonts w:ascii="Times New Roman" w:hAnsi="Times New Roman" w:cs="Times New Roman"/>
          <w:color w:val="auto"/>
          <w:sz w:val="22"/>
          <w:szCs w:val="22"/>
        </w:rPr>
        <w:t xml:space="preserve"> and the </w:t>
      </w:r>
      <w:proofErr w:type="spellStart"/>
      <w:r w:rsidR="00383A0C" w:rsidRPr="00CC3404">
        <w:rPr>
          <w:rStyle w:val="A0"/>
          <w:rFonts w:ascii="Times New Roman" w:hAnsi="Times New Roman" w:cs="Times New Roman"/>
          <w:color w:val="auto"/>
          <w:sz w:val="22"/>
          <w:szCs w:val="22"/>
        </w:rPr>
        <w:t>Ramsar</w:t>
      </w:r>
      <w:proofErr w:type="spellEnd"/>
      <w:r w:rsidR="00383A0C" w:rsidRPr="00CC3404">
        <w:rPr>
          <w:rStyle w:val="A0"/>
          <w:rFonts w:ascii="Times New Roman" w:hAnsi="Times New Roman" w:cs="Times New Roman"/>
          <w:color w:val="auto"/>
          <w:sz w:val="22"/>
          <w:szCs w:val="22"/>
        </w:rPr>
        <w:t xml:space="preserve"> Convention</w:t>
      </w:r>
      <w:r w:rsidR="007A4DAA" w:rsidRPr="00CC3404">
        <w:rPr>
          <w:rStyle w:val="A0"/>
          <w:rFonts w:ascii="Times New Roman" w:hAnsi="Times New Roman" w:cs="Times New Roman"/>
          <w:color w:val="auto"/>
          <w:sz w:val="22"/>
          <w:szCs w:val="22"/>
        </w:rPr>
        <w:t xml:space="preserve"> </w:t>
      </w:r>
      <w:r w:rsidR="00E7602E" w:rsidRPr="00CC3404">
        <w:rPr>
          <w:rStyle w:val="A0"/>
          <w:rFonts w:ascii="Times New Roman" w:hAnsi="Times New Roman" w:cs="Times New Roman"/>
          <w:color w:val="auto"/>
          <w:sz w:val="22"/>
          <w:szCs w:val="22"/>
        </w:rPr>
        <w:t>establish the governance structure</w:t>
      </w:r>
      <w:r w:rsidR="000C002A" w:rsidRPr="00CC3404">
        <w:rPr>
          <w:rStyle w:val="A0"/>
          <w:rFonts w:ascii="Times New Roman" w:hAnsi="Times New Roman" w:cs="Times New Roman"/>
          <w:color w:val="auto"/>
          <w:sz w:val="22"/>
          <w:szCs w:val="22"/>
        </w:rPr>
        <w:t xml:space="preserve"> of their partnerships</w:t>
      </w:r>
      <w:r w:rsidR="00E7602E" w:rsidRPr="00CC3404">
        <w:rPr>
          <w:rStyle w:val="A0"/>
          <w:rFonts w:ascii="Times New Roman" w:hAnsi="Times New Roman" w:cs="Times New Roman"/>
          <w:color w:val="auto"/>
          <w:sz w:val="22"/>
          <w:szCs w:val="22"/>
        </w:rPr>
        <w:t xml:space="preserve"> in accordance with the </w:t>
      </w:r>
      <w:r w:rsidR="00383A0C" w:rsidRPr="00CC3404">
        <w:rPr>
          <w:rStyle w:val="A0"/>
          <w:rFonts w:ascii="Times New Roman" w:hAnsi="Times New Roman" w:cs="Times New Roman"/>
          <w:color w:val="auto"/>
          <w:sz w:val="22"/>
          <w:szCs w:val="22"/>
        </w:rPr>
        <w:t xml:space="preserve">applicable </w:t>
      </w:r>
      <w:r w:rsidR="00E7602E" w:rsidRPr="00CC3404">
        <w:rPr>
          <w:rStyle w:val="A0"/>
          <w:rFonts w:ascii="Times New Roman" w:hAnsi="Times New Roman" w:cs="Times New Roman"/>
          <w:color w:val="auto"/>
          <w:sz w:val="22"/>
          <w:szCs w:val="22"/>
        </w:rPr>
        <w:t>guidelines</w:t>
      </w:r>
      <w:r w:rsidR="000C002A" w:rsidRPr="00CC3404">
        <w:rPr>
          <w:rStyle w:val="A0"/>
          <w:rFonts w:ascii="Times New Roman" w:hAnsi="Times New Roman" w:cs="Times New Roman"/>
          <w:color w:val="auto"/>
          <w:sz w:val="22"/>
          <w:szCs w:val="22"/>
        </w:rPr>
        <w:t xml:space="preserve"> or principles</w:t>
      </w:r>
      <w:r w:rsidR="007A4DAA" w:rsidRPr="00CC3404">
        <w:rPr>
          <w:rStyle w:val="A0"/>
          <w:rFonts w:ascii="Times New Roman" w:hAnsi="Times New Roman" w:cs="Times New Roman"/>
          <w:color w:val="auto"/>
          <w:sz w:val="22"/>
          <w:szCs w:val="22"/>
        </w:rPr>
        <w:t xml:space="preserve">. </w:t>
      </w:r>
    </w:p>
    <w:p w14:paraId="45608824" w14:textId="72BE4DE5" w:rsidR="00D5135E" w:rsidRPr="00CC3404" w:rsidRDefault="00CC3404" w:rsidP="00AB64DD">
      <w:pPr>
        <w:jc w:val="both"/>
        <w:rPr>
          <w:rFonts w:ascii="Times New Roman" w:hAnsi="Times New Roman" w:cs="Times New Roman"/>
        </w:rPr>
      </w:pPr>
      <w:r w:rsidRPr="00CC3404">
        <w:rPr>
          <w:rStyle w:val="A0"/>
          <w:rFonts w:ascii="Times New Roman" w:hAnsi="Times New Roman" w:cs="Times New Roman"/>
          <w:color w:val="auto"/>
          <w:sz w:val="22"/>
          <w:szCs w:val="22"/>
        </w:rPr>
        <w:t>64.</w:t>
      </w:r>
      <w:r w:rsidRPr="00CC3404">
        <w:rPr>
          <w:rStyle w:val="A0"/>
          <w:rFonts w:ascii="Times New Roman" w:hAnsi="Times New Roman" w:cs="Times New Roman"/>
          <w:color w:val="auto"/>
          <w:sz w:val="22"/>
          <w:szCs w:val="22"/>
        </w:rPr>
        <w:tab/>
      </w:r>
      <w:r w:rsidR="00383A0C" w:rsidRPr="00CC3404">
        <w:rPr>
          <w:rStyle w:val="A0"/>
          <w:rFonts w:ascii="Times New Roman" w:hAnsi="Times New Roman" w:cs="Times New Roman"/>
          <w:color w:val="auto"/>
          <w:sz w:val="22"/>
          <w:szCs w:val="22"/>
        </w:rPr>
        <w:t xml:space="preserve">The system used by the </w:t>
      </w:r>
      <w:proofErr w:type="spellStart"/>
      <w:r w:rsidR="00383A0C" w:rsidRPr="00CC3404">
        <w:rPr>
          <w:rStyle w:val="A0"/>
          <w:rFonts w:ascii="Times New Roman" w:hAnsi="Times New Roman" w:cs="Times New Roman"/>
          <w:color w:val="auto"/>
          <w:sz w:val="22"/>
          <w:szCs w:val="22"/>
        </w:rPr>
        <w:t>Ramsar</w:t>
      </w:r>
      <w:proofErr w:type="spellEnd"/>
      <w:r w:rsidR="00383A0C" w:rsidRPr="00CC3404">
        <w:rPr>
          <w:rStyle w:val="A0"/>
          <w:rFonts w:ascii="Times New Roman" w:hAnsi="Times New Roman" w:cs="Times New Roman"/>
          <w:color w:val="auto"/>
          <w:sz w:val="22"/>
          <w:szCs w:val="22"/>
        </w:rPr>
        <w:t xml:space="preserve"> Convention is particularly interesting. </w:t>
      </w:r>
      <w:r w:rsidR="000C002A" w:rsidRPr="00CC3404">
        <w:rPr>
          <w:rStyle w:val="A0"/>
          <w:rFonts w:ascii="Times New Roman" w:hAnsi="Times New Roman" w:cs="Times New Roman"/>
          <w:color w:val="auto"/>
          <w:sz w:val="22"/>
          <w:szCs w:val="22"/>
        </w:rPr>
        <w:t xml:space="preserve">For partnerships with the private sector, the </w:t>
      </w:r>
      <w:r w:rsidR="000C002A" w:rsidRPr="00CC3404">
        <w:rPr>
          <w:rFonts w:ascii="Times New Roman" w:hAnsi="Times New Roman" w:cs="Times New Roman"/>
        </w:rPr>
        <w:t xml:space="preserve">Secretariat </w:t>
      </w:r>
      <w:r w:rsidR="001566BD" w:rsidRPr="00CC3404">
        <w:rPr>
          <w:rFonts w:ascii="Times New Roman" w:hAnsi="Times New Roman" w:cs="Times New Roman"/>
        </w:rPr>
        <w:t xml:space="preserve">must </w:t>
      </w:r>
      <w:r w:rsidR="000C002A" w:rsidRPr="00CC3404">
        <w:rPr>
          <w:rFonts w:ascii="Times New Roman" w:hAnsi="Times New Roman" w:cs="Times New Roman"/>
        </w:rPr>
        <w:t xml:space="preserve">obtain advance agreement of the Administrative Authority (i.e. the focal points of </w:t>
      </w:r>
      <w:r w:rsidR="00BE03F8" w:rsidRPr="00CC3404">
        <w:rPr>
          <w:rFonts w:ascii="Times New Roman" w:hAnsi="Times New Roman" w:cs="Times New Roman"/>
        </w:rPr>
        <w:t xml:space="preserve">a </w:t>
      </w:r>
      <w:r w:rsidR="000C002A" w:rsidRPr="00CC3404">
        <w:rPr>
          <w:rFonts w:ascii="Times New Roman" w:hAnsi="Times New Roman" w:cs="Times New Roman"/>
        </w:rPr>
        <w:t>Party) for any partnerships in the territory of the Party</w:t>
      </w:r>
      <w:r w:rsidR="00BE03F8" w:rsidRPr="00CC3404">
        <w:rPr>
          <w:rFonts w:ascii="Times New Roman" w:hAnsi="Times New Roman" w:cs="Times New Roman"/>
        </w:rPr>
        <w:t>.</w:t>
      </w:r>
      <w:r w:rsidR="000C002A" w:rsidRPr="00CC3404">
        <w:rPr>
          <w:rFonts w:ascii="Times New Roman" w:hAnsi="Times New Roman" w:cs="Times New Roman"/>
        </w:rPr>
        <w:t xml:space="preserve"> </w:t>
      </w:r>
      <w:r w:rsidR="001566BD" w:rsidRPr="00CC3404">
        <w:rPr>
          <w:rFonts w:ascii="Times New Roman" w:hAnsi="Times New Roman" w:cs="Times New Roman"/>
        </w:rPr>
        <w:t>T</w:t>
      </w:r>
      <w:r w:rsidR="000C002A" w:rsidRPr="00CC3404">
        <w:rPr>
          <w:rFonts w:ascii="Times New Roman" w:hAnsi="Times New Roman" w:cs="Times New Roman"/>
        </w:rPr>
        <w:t>he Secretariat must</w:t>
      </w:r>
      <w:r w:rsidR="001566BD" w:rsidRPr="00CC3404">
        <w:rPr>
          <w:rFonts w:ascii="Times New Roman" w:hAnsi="Times New Roman" w:cs="Times New Roman"/>
        </w:rPr>
        <w:t xml:space="preserve"> also</w:t>
      </w:r>
      <w:r w:rsidR="000C002A" w:rsidRPr="00CC3404">
        <w:rPr>
          <w:rFonts w:ascii="Times New Roman" w:hAnsi="Times New Roman" w:cs="Times New Roman"/>
        </w:rPr>
        <w:t xml:space="preserve"> consult with the Management Working Group of the Standing Committee (one of the two main subsidiary bodies of the COP). Following a preliminary assessment</w:t>
      </w:r>
      <w:r w:rsidR="007E1696" w:rsidRPr="00CC3404">
        <w:rPr>
          <w:rFonts w:ascii="Times New Roman" w:hAnsi="Times New Roman" w:cs="Times New Roman"/>
        </w:rPr>
        <w:t>,</w:t>
      </w:r>
      <w:r w:rsidR="000C002A" w:rsidRPr="00CC3404">
        <w:rPr>
          <w:rFonts w:ascii="Times New Roman" w:hAnsi="Times New Roman" w:cs="Times New Roman"/>
        </w:rPr>
        <w:t xml:space="preserve"> the Secretariat </w:t>
      </w:r>
      <w:r w:rsidR="007E1696" w:rsidRPr="00CC3404">
        <w:rPr>
          <w:rFonts w:ascii="Times New Roman" w:hAnsi="Times New Roman" w:cs="Times New Roman"/>
        </w:rPr>
        <w:t xml:space="preserve">must then </w:t>
      </w:r>
      <w:r w:rsidR="000C002A" w:rsidRPr="00CC3404">
        <w:rPr>
          <w:rFonts w:ascii="Times New Roman" w:hAnsi="Times New Roman" w:cs="Times New Roman"/>
        </w:rPr>
        <w:t>undertak</w:t>
      </w:r>
      <w:r w:rsidR="007E1696" w:rsidRPr="00CC3404">
        <w:rPr>
          <w:rFonts w:ascii="Times New Roman" w:hAnsi="Times New Roman" w:cs="Times New Roman"/>
        </w:rPr>
        <w:t>e</w:t>
      </w:r>
      <w:r w:rsidR="000C002A" w:rsidRPr="00CC3404">
        <w:rPr>
          <w:rFonts w:ascii="Times New Roman" w:hAnsi="Times New Roman" w:cs="Times New Roman"/>
        </w:rPr>
        <w:t xml:space="preserve"> the necessary consultations in order to seek the approval of the Standing Committee for the further development of the partnership. Additionally, a notification must be sent to all Parties. In the event of an objection by a Party, the issue </w:t>
      </w:r>
      <w:r w:rsidR="001566BD" w:rsidRPr="00CC3404">
        <w:rPr>
          <w:rFonts w:ascii="Times New Roman" w:hAnsi="Times New Roman" w:cs="Times New Roman"/>
        </w:rPr>
        <w:t xml:space="preserve">is submitted to </w:t>
      </w:r>
      <w:r w:rsidR="000C002A" w:rsidRPr="00CC3404">
        <w:rPr>
          <w:rFonts w:ascii="Times New Roman" w:hAnsi="Times New Roman" w:cs="Times New Roman"/>
        </w:rPr>
        <w:t xml:space="preserve">the next </w:t>
      </w:r>
      <w:r w:rsidR="001566BD" w:rsidRPr="00CC3404">
        <w:rPr>
          <w:rFonts w:ascii="Times New Roman" w:hAnsi="Times New Roman" w:cs="Times New Roman"/>
        </w:rPr>
        <w:t>meeting of the COP</w:t>
      </w:r>
      <w:r w:rsidR="000C002A" w:rsidRPr="00CC3404">
        <w:rPr>
          <w:rFonts w:ascii="Times New Roman" w:hAnsi="Times New Roman" w:cs="Times New Roman"/>
        </w:rPr>
        <w:t xml:space="preserve">.  </w:t>
      </w:r>
      <w:r w:rsidR="005F49A2" w:rsidRPr="00CC3404">
        <w:rPr>
          <w:rFonts w:ascii="Times New Roman" w:hAnsi="Times New Roman" w:cs="Times New Roman"/>
        </w:rPr>
        <w:t>Finally, the Secretariat must submit r</w:t>
      </w:r>
      <w:r w:rsidR="000C002A" w:rsidRPr="00CC3404">
        <w:rPr>
          <w:rFonts w:ascii="Times New Roman" w:hAnsi="Times New Roman" w:cs="Times New Roman"/>
        </w:rPr>
        <w:t>eports on the activities and progress of all partnerships</w:t>
      </w:r>
      <w:r w:rsidR="007E1696" w:rsidRPr="00CC3404">
        <w:rPr>
          <w:rFonts w:ascii="Times New Roman" w:hAnsi="Times New Roman" w:cs="Times New Roman"/>
        </w:rPr>
        <w:t xml:space="preserve"> with </w:t>
      </w:r>
      <w:r w:rsidR="001566BD" w:rsidRPr="00CC3404">
        <w:rPr>
          <w:rFonts w:ascii="Times New Roman" w:hAnsi="Times New Roman" w:cs="Times New Roman"/>
        </w:rPr>
        <w:t xml:space="preserve">the private </w:t>
      </w:r>
      <w:r w:rsidR="000C002A" w:rsidRPr="00CC3404">
        <w:rPr>
          <w:rFonts w:ascii="Times New Roman" w:hAnsi="Times New Roman" w:cs="Times New Roman"/>
        </w:rPr>
        <w:t>sector to each meeting of the C</w:t>
      </w:r>
      <w:r w:rsidR="007E1696" w:rsidRPr="00CC3404">
        <w:rPr>
          <w:rFonts w:ascii="Times New Roman" w:hAnsi="Times New Roman" w:cs="Times New Roman"/>
        </w:rPr>
        <w:t>OP, using a standard summary format</w:t>
      </w:r>
      <w:r w:rsidR="001566BD" w:rsidRPr="00CC3404">
        <w:rPr>
          <w:rFonts w:ascii="Times New Roman" w:hAnsi="Times New Roman" w:cs="Times New Roman"/>
        </w:rPr>
        <w:t>.</w:t>
      </w:r>
      <w:r w:rsidR="007E1696" w:rsidRPr="00CC3404">
        <w:rPr>
          <w:rFonts w:ascii="Times New Roman" w:hAnsi="Times New Roman" w:cs="Times New Roman"/>
        </w:rPr>
        <w:t xml:space="preserve"> </w:t>
      </w:r>
      <w:r w:rsidR="000C002A" w:rsidRPr="00CC3404">
        <w:rPr>
          <w:rFonts w:ascii="Times New Roman" w:hAnsi="Times New Roman" w:cs="Times New Roman"/>
        </w:rPr>
        <w:t xml:space="preserve">All resources received from the partners for the Convention’s use </w:t>
      </w:r>
      <w:r w:rsidR="007E1696" w:rsidRPr="00CC3404">
        <w:rPr>
          <w:rFonts w:ascii="Times New Roman" w:hAnsi="Times New Roman" w:cs="Times New Roman"/>
        </w:rPr>
        <w:t xml:space="preserve">must </w:t>
      </w:r>
      <w:r w:rsidR="000C002A" w:rsidRPr="00CC3404">
        <w:rPr>
          <w:rFonts w:ascii="Times New Roman" w:hAnsi="Times New Roman" w:cs="Times New Roman"/>
        </w:rPr>
        <w:t>be accounted for.</w:t>
      </w:r>
    </w:p>
    <w:p w14:paraId="084F1216" w14:textId="3F719583" w:rsidR="00E7602E" w:rsidRPr="003724EF" w:rsidRDefault="008E5E78" w:rsidP="00AB64DD">
      <w:pPr>
        <w:pStyle w:val="Heading2"/>
        <w:rPr>
          <w:rFonts w:ascii="Times New Roman" w:hAnsi="Times New Roman" w:cs="Times New Roman"/>
          <w:b/>
          <w:bCs/>
          <w:color w:val="auto"/>
        </w:rPr>
      </w:pPr>
      <w:bookmarkStart w:id="31" w:name="_Toc531103787"/>
      <w:r w:rsidRPr="00CC3404">
        <w:rPr>
          <w:rFonts w:ascii="Times New Roman" w:hAnsi="Times New Roman" w:cs="Times New Roman"/>
          <w:color w:val="auto"/>
        </w:rPr>
        <w:t xml:space="preserve">5.5 </w:t>
      </w:r>
      <w:r w:rsidR="00B745B6" w:rsidRPr="00CC3404">
        <w:rPr>
          <w:rFonts w:ascii="Times New Roman" w:hAnsi="Times New Roman" w:cs="Times New Roman"/>
          <w:color w:val="auto"/>
        </w:rPr>
        <w:tab/>
      </w:r>
      <w:r w:rsidR="0045711F" w:rsidRPr="003724EF">
        <w:rPr>
          <w:rFonts w:ascii="Times New Roman" w:hAnsi="Times New Roman" w:cs="Times New Roman"/>
          <w:b/>
          <w:bCs/>
          <w:color w:val="auto"/>
        </w:rPr>
        <w:t xml:space="preserve">Formal agreement </w:t>
      </w:r>
      <w:r w:rsidR="00ED2B1A" w:rsidRPr="003724EF">
        <w:rPr>
          <w:rFonts w:ascii="Times New Roman" w:hAnsi="Times New Roman" w:cs="Times New Roman"/>
          <w:b/>
          <w:bCs/>
          <w:color w:val="auto"/>
        </w:rPr>
        <w:t>between partners</w:t>
      </w:r>
      <w:bookmarkEnd w:id="31"/>
    </w:p>
    <w:p w14:paraId="645078E2" w14:textId="7BEFBFD0" w:rsidR="005146E7" w:rsidRPr="00CC3404" w:rsidRDefault="00CC3404" w:rsidP="00AB64DD">
      <w:pPr>
        <w:spacing w:before="120"/>
        <w:jc w:val="both"/>
        <w:rPr>
          <w:rFonts w:ascii="Times New Roman" w:hAnsi="Times New Roman" w:cs="Times New Roman"/>
        </w:rPr>
      </w:pPr>
      <w:r w:rsidRPr="00CC3404">
        <w:rPr>
          <w:rFonts w:ascii="Times New Roman" w:hAnsi="Times New Roman" w:cs="Times New Roman"/>
        </w:rPr>
        <w:t>65.</w:t>
      </w:r>
      <w:r w:rsidRPr="00CC3404">
        <w:rPr>
          <w:rFonts w:ascii="Times New Roman" w:hAnsi="Times New Roman" w:cs="Times New Roman"/>
        </w:rPr>
        <w:tab/>
      </w:r>
      <w:r w:rsidR="0045711F" w:rsidRPr="00CC3404">
        <w:rPr>
          <w:rFonts w:ascii="Times New Roman" w:hAnsi="Times New Roman" w:cs="Times New Roman"/>
        </w:rPr>
        <w:t xml:space="preserve">A formal agreement setting out the essential elements of the partnership as well as the rights and duties of the participants provides security and predictability. The UN Guidelines </w:t>
      </w:r>
      <w:r w:rsidR="0039002F" w:rsidRPr="00CC3404">
        <w:rPr>
          <w:rFonts w:ascii="Times New Roman" w:hAnsi="Times New Roman" w:cs="Times New Roman"/>
        </w:rPr>
        <w:t>recommend a</w:t>
      </w:r>
      <w:r w:rsidR="0045711F" w:rsidRPr="00CC3404">
        <w:rPr>
          <w:rFonts w:ascii="Times New Roman" w:hAnsi="Times New Roman" w:cs="Times New Roman"/>
        </w:rPr>
        <w:t xml:space="preserve"> formal written agreement for partnerships between a UN entity and private sector partners, subject to approval by the Controller or the relevant financial official </w:t>
      </w:r>
      <w:r w:rsidR="009D56DF" w:rsidRPr="00CC3404">
        <w:rPr>
          <w:rFonts w:ascii="Times New Roman" w:hAnsi="Times New Roman" w:cs="Times New Roman"/>
        </w:rPr>
        <w:t xml:space="preserve">and </w:t>
      </w:r>
      <w:r w:rsidR="0045711F" w:rsidRPr="00CC3404">
        <w:rPr>
          <w:rFonts w:ascii="Times New Roman" w:hAnsi="Times New Roman" w:cs="Times New Roman"/>
        </w:rPr>
        <w:t>appropriate legal review by the UN and the UN entity concerned.</w:t>
      </w:r>
    </w:p>
    <w:p w14:paraId="5D0392B2" w14:textId="5C95AB7B" w:rsidR="00B74A66" w:rsidRPr="00CC3404" w:rsidRDefault="00CC3404" w:rsidP="00AB64DD">
      <w:pPr>
        <w:jc w:val="both"/>
        <w:rPr>
          <w:rFonts w:ascii="Times New Roman" w:hAnsi="Times New Roman" w:cs="Times New Roman"/>
        </w:rPr>
      </w:pPr>
      <w:r w:rsidRPr="00CC3404">
        <w:rPr>
          <w:rFonts w:ascii="Times New Roman" w:hAnsi="Times New Roman" w:cs="Times New Roman"/>
        </w:rPr>
        <w:t>66.</w:t>
      </w:r>
      <w:r w:rsidRPr="00CC3404">
        <w:rPr>
          <w:rFonts w:ascii="Times New Roman" w:hAnsi="Times New Roman" w:cs="Times New Roman"/>
        </w:rPr>
        <w:tab/>
      </w:r>
      <w:r w:rsidR="009D56DF" w:rsidRPr="00CC3404">
        <w:rPr>
          <w:rFonts w:ascii="Times New Roman" w:hAnsi="Times New Roman" w:cs="Times New Roman"/>
        </w:rPr>
        <w:t xml:space="preserve">This is addressed differently by the different organizations. For example, UNICEF provides for written agreements only for partnerships in which a transfer of funds is envisaged. For UNEP’s partnerships, a legal agreement signed by all partners is required. The UNFCCC Secretariat’s guidelines provide for a partnership agreement between the partner and the Secretariat, setting out the elements it must contain. The </w:t>
      </w:r>
      <w:proofErr w:type="spellStart"/>
      <w:r w:rsidR="009D56DF" w:rsidRPr="00CC3404">
        <w:rPr>
          <w:rFonts w:ascii="Times New Roman" w:hAnsi="Times New Roman" w:cs="Times New Roman"/>
        </w:rPr>
        <w:t>Ramsar</w:t>
      </w:r>
      <w:proofErr w:type="spellEnd"/>
      <w:r w:rsidR="009D56DF" w:rsidRPr="00CC3404">
        <w:rPr>
          <w:rFonts w:ascii="Times New Roman" w:hAnsi="Times New Roman" w:cs="Times New Roman"/>
        </w:rPr>
        <w:t xml:space="preserve"> principles for partnerships with the private sector provide for a signed agreement, containing a monitoring and evaluation framework with the implementing mechanism of the partnership to facilitate periodic assessment of the effectiveness of the partnership, and prompt recommendations to improve the outcomes. The agreement must also design a mechanism to undertake this</w:t>
      </w:r>
      <w:r w:rsidR="00B74A66" w:rsidRPr="00CC3404">
        <w:rPr>
          <w:rFonts w:ascii="Times New Roman" w:hAnsi="Times New Roman" w:cs="Times New Roman"/>
        </w:rPr>
        <w:t xml:space="preserve"> this assessment, and </w:t>
      </w:r>
      <w:r w:rsidR="009D56DF" w:rsidRPr="00CC3404">
        <w:rPr>
          <w:rFonts w:ascii="Times New Roman" w:hAnsi="Times New Roman" w:cs="Times New Roman"/>
        </w:rPr>
        <w:t>includ</w:t>
      </w:r>
      <w:r w:rsidR="00B74A66" w:rsidRPr="00CC3404">
        <w:rPr>
          <w:rFonts w:ascii="Times New Roman" w:hAnsi="Times New Roman" w:cs="Times New Roman"/>
        </w:rPr>
        <w:t>e</w:t>
      </w:r>
      <w:r w:rsidR="009D56DF" w:rsidRPr="00CC3404">
        <w:rPr>
          <w:rFonts w:ascii="Times New Roman" w:hAnsi="Times New Roman" w:cs="Times New Roman"/>
        </w:rPr>
        <w:t xml:space="preserve"> a budget line to provide the necessary resources</w:t>
      </w:r>
      <w:r w:rsidR="00B74A66" w:rsidRPr="00CC3404">
        <w:rPr>
          <w:rFonts w:ascii="Times New Roman" w:hAnsi="Times New Roman" w:cs="Times New Roman"/>
        </w:rPr>
        <w:t>. UNCCD likewise opts for a fo</w:t>
      </w:r>
      <w:r w:rsidR="009D56DF" w:rsidRPr="00CC3404">
        <w:rPr>
          <w:rFonts w:ascii="Times New Roman" w:hAnsi="Times New Roman" w:cs="Times New Roman"/>
        </w:rPr>
        <w:t>rmal agreement required for all partnership arrangements</w:t>
      </w:r>
      <w:r w:rsidR="00B74A66" w:rsidRPr="00CC3404">
        <w:rPr>
          <w:rFonts w:ascii="Times New Roman" w:hAnsi="Times New Roman" w:cs="Times New Roman"/>
        </w:rPr>
        <w:t>, with the following differentiation:</w:t>
      </w:r>
    </w:p>
    <w:p w14:paraId="1B98FB1A" w14:textId="1FD855DA" w:rsidR="00B74A66" w:rsidRPr="00CC3404" w:rsidRDefault="004A7A30" w:rsidP="00E45D56">
      <w:pPr>
        <w:pStyle w:val="ListParagraph"/>
        <w:numPr>
          <w:ilvl w:val="0"/>
          <w:numId w:val="10"/>
        </w:numPr>
        <w:jc w:val="both"/>
        <w:rPr>
          <w:rFonts w:ascii="Times New Roman" w:hAnsi="Times New Roman" w:cs="Times New Roman"/>
        </w:rPr>
      </w:pPr>
      <w:r w:rsidRPr="00CC3404">
        <w:rPr>
          <w:rFonts w:ascii="Times New Roman" w:hAnsi="Times New Roman" w:cs="Times New Roman"/>
        </w:rPr>
        <w:t>C</w:t>
      </w:r>
      <w:r w:rsidR="009D56DF" w:rsidRPr="00CC3404">
        <w:rPr>
          <w:rFonts w:ascii="Times New Roman" w:hAnsi="Times New Roman" w:cs="Times New Roman"/>
        </w:rPr>
        <w:t>ollaborative projects (</w:t>
      </w:r>
      <w:r w:rsidR="00B74A66" w:rsidRPr="00CC3404">
        <w:rPr>
          <w:rFonts w:ascii="Times New Roman" w:hAnsi="Times New Roman" w:cs="Times New Roman"/>
        </w:rPr>
        <w:t xml:space="preserve">i.e. </w:t>
      </w:r>
      <w:r w:rsidR="009D56DF" w:rsidRPr="00CC3404">
        <w:rPr>
          <w:rFonts w:ascii="Times New Roman" w:hAnsi="Times New Roman" w:cs="Times New Roman"/>
        </w:rPr>
        <w:t>joint product or service</w:t>
      </w:r>
      <w:r w:rsidR="00B74A66" w:rsidRPr="00CC3404">
        <w:rPr>
          <w:rFonts w:ascii="Times New Roman" w:hAnsi="Times New Roman" w:cs="Times New Roman"/>
        </w:rPr>
        <w:t xml:space="preserve"> as outcome of the partnership: MOU</w:t>
      </w:r>
      <w:r w:rsidR="0081182C">
        <w:rPr>
          <w:rFonts w:ascii="Times New Roman" w:hAnsi="Times New Roman" w:cs="Times New Roman"/>
        </w:rPr>
        <w:t>;</w:t>
      </w:r>
    </w:p>
    <w:p w14:paraId="18806389" w14:textId="49625ACB" w:rsidR="00B74A66" w:rsidRPr="00CC3404" w:rsidRDefault="00B74A66" w:rsidP="00E45D56">
      <w:pPr>
        <w:pStyle w:val="ListParagraph"/>
        <w:numPr>
          <w:ilvl w:val="0"/>
          <w:numId w:val="10"/>
        </w:numPr>
        <w:jc w:val="both"/>
        <w:rPr>
          <w:rFonts w:ascii="Times New Roman" w:hAnsi="Times New Roman" w:cs="Times New Roman"/>
        </w:rPr>
      </w:pPr>
      <w:r w:rsidRPr="00CC3404">
        <w:rPr>
          <w:rFonts w:ascii="Times New Roman" w:hAnsi="Times New Roman" w:cs="Times New Roman"/>
        </w:rPr>
        <w:t>Direct contributions by a private sector partner</w:t>
      </w:r>
      <w:r w:rsidR="00C76E84" w:rsidRPr="00CC3404">
        <w:rPr>
          <w:rFonts w:ascii="Times New Roman" w:hAnsi="Times New Roman" w:cs="Times New Roman"/>
        </w:rPr>
        <w:t xml:space="preserve"> (resource mobilization partnership)</w:t>
      </w:r>
      <w:r w:rsidRPr="00CC3404">
        <w:rPr>
          <w:rFonts w:ascii="Times New Roman" w:hAnsi="Times New Roman" w:cs="Times New Roman"/>
        </w:rPr>
        <w:t>: C</w:t>
      </w:r>
      <w:r w:rsidR="009D56DF" w:rsidRPr="00CC3404">
        <w:rPr>
          <w:rFonts w:ascii="Times New Roman" w:hAnsi="Times New Roman" w:cs="Times New Roman"/>
        </w:rPr>
        <w:t>ompliance with UN Financial Rules and Regulations</w:t>
      </w:r>
      <w:r w:rsidR="0081182C">
        <w:rPr>
          <w:rFonts w:ascii="Times New Roman" w:hAnsi="Times New Roman" w:cs="Times New Roman"/>
        </w:rPr>
        <w:t>;</w:t>
      </w:r>
    </w:p>
    <w:p w14:paraId="0376665C" w14:textId="5D420C57" w:rsidR="00B74A66" w:rsidRPr="00CC3404" w:rsidRDefault="00B74A66" w:rsidP="00E45D56">
      <w:pPr>
        <w:pStyle w:val="ListParagraph"/>
        <w:numPr>
          <w:ilvl w:val="0"/>
          <w:numId w:val="10"/>
        </w:numPr>
        <w:jc w:val="both"/>
        <w:rPr>
          <w:rFonts w:ascii="Times New Roman" w:hAnsi="Times New Roman" w:cs="Times New Roman"/>
        </w:rPr>
      </w:pPr>
      <w:r w:rsidRPr="00CC3404">
        <w:rPr>
          <w:rFonts w:ascii="Times New Roman" w:hAnsi="Times New Roman" w:cs="Times New Roman"/>
        </w:rPr>
        <w:t xml:space="preserve">Indirect contribution through a foundation: </w:t>
      </w:r>
      <w:r w:rsidR="009D56DF" w:rsidRPr="00CC3404">
        <w:rPr>
          <w:rFonts w:ascii="Times New Roman" w:hAnsi="Times New Roman" w:cs="Times New Roman"/>
        </w:rPr>
        <w:t>relationship agreement</w:t>
      </w:r>
      <w:r w:rsidR="0081182C">
        <w:rPr>
          <w:rFonts w:ascii="Times New Roman" w:hAnsi="Times New Roman" w:cs="Times New Roman"/>
        </w:rPr>
        <w:t>;</w:t>
      </w:r>
    </w:p>
    <w:p w14:paraId="49F2D0C9" w14:textId="49E04357" w:rsidR="00B74A66" w:rsidRPr="00CC3404" w:rsidRDefault="00B74A66" w:rsidP="00E45D56">
      <w:pPr>
        <w:pStyle w:val="ListParagraph"/>
        <w:numPr>
          <w:ilvl w:val="0"/>
          <w:numId w:val="10"/>
        </w:numPr>
        <w:jc w:val="both"/>
        <w:rPr>
          <w:rFonts w:ascii="Times New Roman" w:hAnsi="Times New Roman" w:cs="Times New Roman"/>
        </w:rPr>
      </w:pPr>
      <w:r w:rsidRPr="00CC3404">
        <w:rPr>
          <w:rFonts w:ascii="Times New Roman" w:hAnsi="Times New Roman" w:cs="Times New Roman"/>
        </w:rPr>
        <w:t>Technical assistance project partnerships: T</w:t>
      </w:r>
      <w:r w:rsidR="009D56DF" w:rsidRPr="00CC3404">
        <w:rPr>
          <w:rFonts w:ascii="Times New Roman" w:hAnsi="Times New Roman" w:cs="Times New Roman"/>
        </w:rPr>
        <w:t xml:space="preserve">ripartite agreement between </w:t>
      </w:r>
      <w:r w:rsidRPr="00CC3404">
        <w:rPr>
          <w:rFonts w:ascii="Times New Roman" w:hAnsi="Times New Roman" w:cs="Times New Roman"/>
        </w:rPr>
        <w:t xml:space="preserve">a government, </w:t>
      </w:r>
      <w:r w:rsidR="009D56DF" w:rsidRPr="00CC3404">
        <w:rPr>
          <w:rFonts w:ascii="Times New Roman" w:hAnsi="Times New Roman" w:cs="Times New Roman"/>
        </w:rPr>
        <w:t>the Secr</w:t>
      </w:r>
      <w:r w:rsidRPr="00CC3404">
        <w:rPr>
          <w:rFonts w:ascii="Times New Roman" w:hAnsi="Times New Roman" w:cs="Times New Roman"/>
        </w:rPr>
        <w:t xml:space="preserve">etariat and </w:t>
      </w:r>
      <w:r w:rsidR="009D56DF" w:rsidRPr="00CC3404">
        <w:rPr>
          <w:rFonts w:ascii="Times New Roman" w:hAnsi="Times New Roman" w:cs="Times New Roman"/>
        </w:rPr>
        <w:t>the business partner</w:t>
      </w:r>
      <w:r w:rsidR="0081182C">
        <w:rPr>
          <w:rFonts w:ascii="Times New Roman" w:hAnsi="Times New Roman" w:cs="Times New Roman"/>
        </w:rPr>
        <w:t>;</w:t>
      </w:r>
    </w:p>
    <w:p w14:paraId="428690E4" w14:textId="30D5A241" w:rsidR="00ED0C54" w:rsidRPr="00CC3404" w:rsidRDefault="00B74A66" w:rsidP="00E45D56">
      <w:pPr>
        <w:pStyle w:val="ListParagraph"/>
        <w:numPr>
          <w:ilvl w:val="0"/>
          <w:numId w:val="10"/>
        </w:numPr>
        <w:jc w:val="both"/>
        <w:rPr>
          <w:rFonts w:ascii="Times New Roman" w:hAnsi="Times New Roman" w:cs="Times New Roman"/>
        </w:rPr>
      </w:pPr>
      <w:r w:rsidRPr="00CC3404">
        <w:rPr>
          <w:rFonts w:ascii="Times New Roman" w:hAnsi="Times New Roman" w:cs="Times New Roman"/>
        </w:rPr>
        <w:t xml:space="preserve">Outreach partnerships: </w:t>
      </w:r>
      <w:r w:rsidR="009D56DF" w:rsidRPr="00CC3404">
        <w:rPr>
          <w:rFonts w:ascii="Times New Roman" w:hAnsi="Times New Roman" w:cs="Times New Roman"/>
        </w:rPr>
        <w:t xml:space="preserve">direct agreement with </w:t>
      </w:r>
      <w:r w:rsidR="00316930" w:rsidRPr="00CC3404">
        <w:rPr>
          <w:rFonts w:ascii="Times New Roman" w:hAnsi="Times New Roman" w:cs="Times New Roman"/>
        </w:rPr>
        <w:t xml:space="preserve">the </w:t>
      </w:r>
      <w:r w:rsidR="009D56DF" w:rsidRPr="00CC3404">
        <w:rPr>
          <w:rFonts w:ascii="Times New Roman" w:hAnsi="Times New Roman" w:cs="Times New Roman"/>
        </w:rPr>
        <w:t>company</w:t>
      </w:r>
      <w:r w:rsidR="00921AEA">
        <w:rPr>
          <w:rFonts w:ascii="Times New Roman" w:hAnsi="Times New Roman" w:cs="Times New Roman"/>
        </w:rPr>
        <w:t>.</w:t>
      </w:r>
      <w:r w:rsidR="009D56DF" w:rsidRPr="00CC3404">
        <w:rPr>
          <w:rFonts w:ascii="Times New Roman" w:hAnsi="Times New Roman" w:cs="Times New Roman"/>
        </w:rPr>
        <w:t xml:space="preserve"> </w:t>
      </w:r>
    </w:p>
    <w:p w14:paraId="39D8A9C6" w14:textId="7A994BEC" w:rsidR="005F44BC" w:rsidRPr="003724EF" w:rsidRDefault="00B745B6" w:rsidP="00CC3404">
      <w:pPr>
        <w:pStyle w:val="Heading1"/>
        <w:spacing w:after="240"/>
        <w:rPr>
          <w:rFonts w:ascii="Times New Roman" w:hAnsi="Times New Roman" w:cs="Times New Roman"/>
          <w:b/>
          <w:bCs/>
          <w:color w:val="auto"/>
        </w:rPr>
      </w:pPr>
      <w:bookmarkStart w:id="32" w:name="_Toc531103788"/>
      <w:r w:rsidRPr="00CC3404">
        <w:rPr>
          <w:rFonts w:ascii="Times New Roman" w:hAnsi="Times New Roman" w:cs="Times New Roman"/>
          <w:color w:val="auto"/>
        </w:rPr>
        <w:lastRenderedPageBreak/>
        <w:t>6.</w:t>
      </w:r>
      <w:r w:rsidRPr="00CC3404">
        <w:rPr>
          <w:rFonts w:ascii="Times New Roman" w:hAnsi="Times New Roman" w:cs="Times New Roman"/>
          <w:color w:val="auto"/>
        </w:rPr>
        <w:tab/>
      </w:r>
      <w:r w:rsidR="005F44BC" w:rsidRPr="003724EF">
        <w:rPr>
          <w:rFonts w:ascii="Times New Roman" w:hAnsi="Times New Roman" w:cs="Times New Roman"/>
          <w:b/>
          <w:bCs/>
          <w:color w:val="auto"/>
        </w:rPr>
        <w:t xml:space="preserve">Conclusions </w:t>
      </w:r>
      <w:bookmarkEnd w:id="0"/>
      <w:r w:rsidR="00F40379" w:rsidRPr="003724EF">
        <w:rPr>
          <w:rFonts w:ascii="Times New Roman" w:hAnsi="Times New Roman" w:cs="Times New Roman"/>
          <w:b/>
          <w:bCs/>
          <w:color w:val="auto"/>
        </w:rPr>
        <w:t>and recommendations</w:t>
      </w:r>
      <w:bookmarkEnd w:id="32"/>
    </w:p>
    <w:p w14:paraId="2D795B38" w14:textId="038185F4" w:rsidR="00EE76FB" w:rsidRPr="003724EF" w:rsidRDefault="008E5E78" w:rsidP="00AB64DD">
      <w:pPr>
        <w:pStyle w:val="Heading2"/>
        <w:rPr>
          <w:rFonts w:ascii="Times New Roman" w:hAnsi="Times New Roman" w:cs="Times New Roman"/>
          <w:b/>
          <w:bCs/>
          <w:color w:val="auto"/>
        </w:rPr>
      </w:pPr>
      <w:bookmarkStart w:id="33" w:name="_Toc531103376"/>
      <w:bookmarkStart w:id="34" w:name="_Toc531103789"/>
      <w:r w:rsidRPr="00C85C4C">
        <w:rPr>
          <w:rFonts w:ascii="Times New Roman" w:hAnsi="Times New Roman" w:cs="Times New Roman"/>
          <w:color w:val="auto"/>
        </w:rPr>
        <w:t xml:space="preserve">6.1 </w:t>
      </w:r>
      <w:r w:rsidR="00B745B6" w:rsidRPr="00C85C4C">
        <w:rPr>
          <w:rFonts w:ascii="Times New Roman" w:hAnsi="Times New Roman" w:cs="Times New Roman"/>
          <w:color w:val="auto"/>
        </w:rPr>
        <w:tab/>
      </w:r>
      <w:r w:rsidR="00EE76FB" w:rsidRPr="003724EF">
        <w:rPr>
          <w:rFonts w:ascii="Times New Roman" w:hAnsi="Times New Roman" w:cs="Times New Roman"/>
          <w:b/>
          <w:bCs/>
          <w:color w:val="auto"/>
        </w:rPr>
        <w:t>Recommendations on the development of the Basel Convention global multi-stakeholder Partnerships (“Partnerships”)</w:t>
      </w:r>
      <w:bookmarkEnd w:id="33"/>
      <w:bookmarkEnd w:id="34"/>
    </w:p>
    <w:p w14:paraId="04A05504" w14:textId="12054B49" w:rsidR="00EE76FB" w:rsidRPr="00CC3404" w:rsidRDefault="00CC3404" w:rsidP="00AB64DD">
      <w:pPr>
        <w:spacing w:before="120"/>
        <w:jc w:val="both"/>
        <w:rPr>
          <w:rFonts w:ascii="Times New Roman" w:hAnsi="Times New Roman" w:cs="Times New Roman"/>
          <w:bCs/>
        </w:rPr>
      </w:pPr>
      <w:r w:rsidRPr="00CC3404">
        <w:rPr>
          <w:rFonts w:ascii="Times New Roman" w:hAnsi="Times New Roman" w:cs="Times New Roman"/>
          <w:bCs/>
        </w:rPr>
        <w:t>67.</w:t>
      </w:r>
      <w:r w:rsidRPr="00CC3404">
        <w:rPr>
          <w:rFonts w:ascii="Times New Roman" w:hAnsi="Times New Roman" w:cs="Times New Roman"/>
          <w:bCs/>
        </w:rPr>
        <w:tab/>
      </w:r>
      <w:r w:rsidR="00EE76FB" w:rsidRPr="00CC3404">
        <w:rPr>
          <w:rFonts w:ascii="Times New Roman" w:hAnsi="Times New Roman" w:cs="Times New Roman"/>
          <w:bCs/>
        </w:rPr>
        <w:t>Multi-stakeholder Partnerships operating under the ultimate authority of the COP have proven to be an effective way to address global issues perceived as meriting attention and efforts for which a range of expertise and experience of specific entities could complement that of Party representatives. it is noteworthy that more recent Partnerships have built on the experience and lessons learned from previous Partnerships, including by taking their practical arrangements (membership criteria; officers of the partnership; role of observers and experts; role of</w:t>
      </w:r>
      <w:bookmarkStart w:id="35" w:name="_GoBack"/>
      <w:bookmarkEnd w:id="35"/>
      <w:r w:rsidR="00EE76FB" w:rsidRPr="00CC3404">
        <w:rPr>
          <w:rFonts w:ascii="Times New Roman" w:hAnsi="Times New Roman" w:cs="Times New Roman"/>
          <w:bCs/>
        </w:rPr>
        <w:t xml:space="preserve"> the Secretariat; decision-making processes; confidentiality; public information; financial information; intellectual property rights; publication names; emblems and logos; liability; and dispute r</w:t>
      </w:r>
      <w:r w:rsidR="0085181C" w:rsidRPr="00CC3404">
        <w:rPr>
          <w:rFonts w:ascii="Times New Roman" w:hAnsi="Times New Roman" w:cs="Times New Roman"/>
          <w:bCs/>
        </w:rPr>
        <w:t xml:space="preserve">esolution) as a basis for the </w:t>
      </w:r>
      <w:r w:rsidR="00EE76FB" w:rsidRPr="00CC3404">
        <w:rPr>
          <w:rFonts w:ascii="Times New Roman" w:hAnsi="Times New Roman" w:cs="Times New Roman"/>
          <w:bCs/>
        </w:rPr>
        <w:t>negotiation</w:t>
      </w:r>
      <w:r w:rsidR="0085181C" w:rsidRPr="00CC3404">
        <w:rPr>
          <w:rFonts w:ascii="Times New Roman" w:hAnsi="Times New Roman" w:cs="Times New Roman"/>
          <w:bCs/>
        </w:rPr>
        <w:t xml:space="preserve"> of their own </w:t>
      </w:r>
      <w:proofErr w:type="spellStart"/>
      <w:r w:rsidR="0085181C" w:rsidRPr="00CC3404">
        <w:rPr>
          <w:rFonts w:ascii="Times New Roman" w:hAnsi="Times New Roman" w:cs="Times New Roman"/>
          <w:bCs/>
        </w:rPr>
        <w:t>ToRs</w:t>
      </w:r>
      <w:proofErr w:type="spellEnd"/>
      <w:r w:rsidR="00EE76FB" w:rsidRPr="00CC3404">
        <w:rPr>
          <w:rStyle w:val="FootnoteReference"/>
          <w:rFonts w:ascii="Times New Roman" w:hAnsi="Times New Roman" w:cs="Times New Roman"/>
          <w:bCs/>
        </w:rPr>
        <w:footnoteReference w:id="55"/>
      </w:r>
      <w:r w:rsidR="00EE76FB" w:rsidRPr="00CC3404">
        <w:rPr>
          <w:rFonts w:ascii="Times New Roman" w:hAnsi="Times New Roman" w:cs="Times New Roman"/>
          <w:bCs/>
        </w:rPr>
        <w:t>. This approach should be welcomed as an effective way to streamline the process for setting up new Partnerships</w:t>
      </w:r>
      <w:r w:rsidR="00EA0979" w:rsidRPr="00CC3404">
        <w:rPr>
          <w:rFonts w:ascii="Times New Roman" w:hAnsi="Times New Roman" w:cs="Times New Roman"/>
          <w:bCs/>
        </w:rPr>
        <w:t>, while maintaining the flexibility of the COP to adjust the approach on a case by case basis</w:t>
      </w:r>
      <w:r w:rsidR="00EE76FB" w:rsidRPr="00CC3404">
        <w:rPr>
          <w:rFonts w:ascii="Times New Roman" w:hAnsi="Times New Roman" w:cs="Times New Roman"/>
          <w:bCs/>
        </w:rPr>
        <w:t>.</w:t>
      </w:r>
    </w:p>
    <w:p w14:paraId="538F1987" w14:textId="7EACDC62" w:rsidR="00EE76FB" w:rsidRPr="00CC3404" w:rsidRDefault="00CC3404" w:rsidP="00296489">
      <w:pPr>
        <w:rPr>
          <w:rFonts w:ascii="Times New Roman" w:hAnsi="Times New Roman" w:cs="Times New Roman"/>
        </w:rPr>
      </w:pPr>
      <w:r w:rsidRPr="00CC3404">
        <w:rPr>
          <w:rFonts w:ascii="Times New Roman" w:hAnsi="Times New Roman" w:cs="Times New Roman"/>
          <w:bCs/>
        </w:rPr>
        <w:t>68.</w:t>
      </w:r>
      <w:r w:rsidRPr="00CC3404">
        <w:rPr>
          <w:rFonts w:ascii="Times New Roman" w:hAnsi="Times New Roman" w:cs="Times New Roman"/>
          <w:bCs/>
        </w:rPr>
        <w:tab/>
      </w:r>
      <w:r w:rsidR="002D1CD5" w:rsidRPr="00CC3404">
        <w:rPr>
          <w:rFonts w:ascii="Times New Roman" w:hAnsi="Times New Roman" w:cs="Times New Roman"/>
          <w:bCs/>
        </w:rPr>
        <w:t>Building on the approach of MPPI, PACE and the Household waste partnership, additional areas under the Convention that could merit the attention and efforts from non-</w:t>
      </w:r>
      <w:r w:rsidR="009913AD" w:rsidRPr="00CC3404">
        <w:rPr>
          <w:rFonts w:ascii="Times New Roman" w:hAnsi="Times New Roman" w:cs="Times New Roman"/>
          <w:bCs/>
        </w:rPr>
        <w:t>s</w:t>
      </w:r>
      <w:r w:rsidR="002D1CD5" w:rsidRPr="00CC3404">
        <w:rPr>
          <w:rFonts w:ascii="Times New Roman" w:hAnsi="Times New Roman" w:cs="Times New Roman"/>
          <w:bCs/>
        </w:rPr>
        <w:t xml:space="preserve">tate stakeholders in addition to that of Parties, regional centres and intergovernmental organizations, </w:t>
      </w:r>
      <w:r w:rsidR="002D1CD5" w:rsidRPr="00CC3404">
        <w:rPr>
          <w:rFonts w:ascii="Times New Roman" w:hAnsi="Times New Roman" w:cs="Times New Roman"/>
        </w:rPr>
        <w:t xml:space="preserve">could </w:t>
      </w:r>
      <w:r w:rsidR="00EE76FB" w:rsidRPr="00CC3404">
        <w:rPr>
          <w:rFonts w:ascii="Times New Roman" w:hAnsi="Times New Roman" w:cs="Times New Roman"/>
        </w:rPr>
        <w:t xml:space="preserve">include activities to address  </w:t>
      </w:r>
      <w:r w:rsidR="002D1CD5" w:rsidRPr="00CC3404">
        <w:rPr>
          <w:rFonts w:ascii="Times New Roman" w:hAnsi="Times New Roman" w:cs="Times New Roman"/>
        </w:rPr>
        <w:t xml:space="preserve">other specific </w:t>
      </w:r>
      <w:r w:rsidR="00EE76FB" w:rsidRPr="00CC3404">
        <w:rPr>
          <w:rFonts w:ascii="Times New Roman" w:hAnsi="Times New Roman" w:cs="Times New Roman"/>
        </w:rPr>
        <w:t>waste streams such as POPs wastes, mercury wastes, used lead-acid batteries, used oils, obsolete stocks of pesticides, PCBs, dioxins/furans, by-products from the dismantling of ships, biomedical wastes and healthcare wastes</w:t>
      </w:r>
      <w:r w:rsidR="002D1CD5" w:rsidRPr="00CC3404">
        <w:rPr>
          <w:rFonts w:ascii="Times New Roman" w:hAnsi="Times New Roman" w:cs="Times New Roman"/>
        </w:rPr>
        <w:t xml:space="preserve">. For the approach to be meaningful, the COP would need to assess the specific added value of a partnership approach and define what activities would complement that </w:t>
      </w:r>
      <w:r w:rsidR="00C01654" w:rsidRPr="00CC3404">
        <w:rPr>
          <w:rFonts w:ascii="Times New Roman" w:hAnsi="Times New Roman" w:cs="Times New Roman"/>
        </w:rPr>
        <w:t xml:space="preserve">otherwise </w:t>
      </w:r>
      <w:r w:rsidR="002D1CD5" w:rsidRPr="00CC3404">
        <w:rPr>
          <w:rFonts w:ascii="Times New Roman" w:hAnsi="Times New Roman" w:cs="Times New Roman"/>
        </w:rPr>
        <w:t>undertaken by Convention bodies</w:t>
      </w:r>
      <w:r w:rsidR="00477C55" w:rsidRPr="00CC3404">
        <w:rPr>
          <w:rFonts w:ascii="Times New Roman" w:hAnsi="Times New Roman" w:cs="Times New Roman"/>
        </w:rPr>
        <w:t xml:space="preserve"> with membership limited to Parties</w:t>
      </w:r>
      <w:r w:rsidR="002D1CD5" w:rsidRPr="00CC3404">
        <w:rPr>
          <w:rFonts w:ascii="Times New Roman" w:hAnsi="Times New Roman" w:cs="Times New Roman"/>
        </w:rPr>
        <w:t>.</w:t>
      </w:r>
      <w:r w:rsidR="00EE76FB" w:rsidRPr="00CC3404">
        <w:rPr>
          <w:rFonts w:ascii="Times New Roman" w:hAnsi="Times New Roman" w:cs="Times New Roman"/>
        </w:rPr>
        <w:t xml:space="preserve"> </w:t>
      </w:r>
    </w:p>
    <w:p w14:paraId="53353AA5" w14:textId="31CD4154" w:rsidR="00C01654" w:rsidRPr="00CC3404" w:rsidRDefault="00CC3404" w:rsidP="0070461C">
      <w:pPr>
        <w:rPr>
          <w:rFonts w:ascii="Times New Roman" w:hAnsi="Times New Roman" w:cs="Times New Roman"/>
          <w:lang w:val="en-US"/>
        </w:rPr>
      </w:pPr>
      <w:r w:rsidRPr="00CC3404">
        <w:rPr>
          <w:rFonts w:ascii="Times New Roman" w:hAnsi="Times New Roman" w:cs="Times New Roman"/>
        </w:rPr>
        <w:t>69.</w:t>
      </w:r>
      <w:r w:rsidRPr="00CC3404">
        <w:rPr>
          <w:rFonts w:ascii="Times New Roman" w:hAnsi="Times New Roman" w:cs="Times New Roman"/>
        </w:rPr>
        <w:tab/>
      </w:r>
      <w:r w:rsidR="00C01654" w:rsidRPr="00CC3404">
        <w:rPr>
          <w:rFonts w:ascii="Times New Roman" w:hAnsi="Times New Roman" w:cs="Times New Roman"/>
        </w:rPr>
        <w:t>Besides focusing on specific waste streams, Partnerships can be seen as a valuable model to foster cooperation with non</w:t>
      </w:r>
      <w:r w:rsidR="00C01654" w:rsidRPr="00CC3404">
        <w:rPr>
          <w:rFonts w:ascii="Times New Roman" w:hAnsi="Times New Roman" w:cs="Times New Roman"/>
          <w:lang w:val="en-US"/>
        </w:rPr>
        <w:t>-</w:t>
      </w:r>
      <w:r w:rsidR="009913AD" w:rsidRPr="00CC3404">
        <w:rPr>
          <w:rFonts w:ascii="Times New Roman" w:hAnsi="Times New Roman" w:cs="Times New Roman"/>
        </w:rPr>
        <w:t>s</w:t>
      </w:r>
      <w:r w:rsidR="00C01654" w:rsidRPr="00CC3404">
        <w:rPr>
          <w:rFonts w:ascii="Times New Roman" w:hAnsi="Times New Roman" w:cs="Times New Roman"/>
        </w:rPr>
        <w:t xml:space="preserve">tate stakeholders towards an improved implementation of specific obligations under the Convention, for instance following the model of ENFORCE in relation to Article 9. Article 6 for instance, which sets out the </w:t>
      </w:r>
      <w:r w:rsidR="0070461C" w:rsidRPr="00CC3404">
        <w:rPr>
          <w:rFonts w:ascii="Times New Roman" w:hAnsi="Times New Roman" w:cs="Times New Roman"/>
        </w:rPr>
        <w:t>PIC procedure, assigns specific responsibilities to exporters, generators, importers and disposers. These usually are non</w:t>
      </w:r>
      <w:r w:rsidR="0070461C" w:rsidRPr="00CC3404">
        <w:rPr>
          <w:rFonts w:ascii="Times New Roman" w:hAnsi="Times New Roman" w:cs="Times New Roman"/>
          <w:lang w:val="en-US"/>
        </w:rPr>
        <w:t>-</w:t>
      </w:r>
      <w:r w:rsidR="009913AD" w:rsidRPr="00CC3404">
        <w:rPr>
          <w:rFonts w:ascii="Times New Roman" w:hAnsi="Times New Roman" w:cs="Times New Roman"/>
          <w:lang w:val="en-US"/>
        </w:rPr>
        <w:t>s</w:t>
      </w:r>
      <w:r w:rsidR="0070461C" w:rsidRPr="00CC3404">
        <w:rPr>
          <w:rFonts w:ascii="Times New Roman" w:hAnsi="Times New Roman" w:cs="Times New Roman"/>
          <w:lang w:val="en-US"/>
        </w:rPr>
        <w:t xml:space="preserve">tate stakeholders whose greater involvement at the global level </w:t>
      </w:r>
      <w:r w:rsidR="00477C55" w:rsidRPr="00CC3404">
        <w:rPr>
          <w:rFonts w:ascii="Times New Roman" w:hAnsi="Times New Roman" w:cs="Times New Roman"/>
          <w:lang w:val="en-US"/>
        </w:rPr>
        <w:t xml:space="preserve">towards sharing best practices or testing and disseminating guidance </w:t>
      </w:r>
      <w:r w:rsidR="0070461C" w:rsidRPr="00CC3404">
        <w:rPr>
          <w:rFonts w:ascii="Times New Roman" w:hAnsi="Times New Roman" w:cs="Times New Roman"/>
          <w:lang w:val="en-US"/>
        </w:rPr>
        <w:t>could possibly improve the implementation of that provision.</w:t>
      </w:r>
      <w:r w:rsidR="0070461C" w:rsidRPr="00CC3404">
        <w:rPr>
          <w:rFonts w:ascii="Times New Roman" w:hAnsi="Times New Roman" w:cs="Times New Roman"/>
        </w:rPr>
        <w:t xml:space="preserve"> </w:t>
      </w:r>
    </w:p>
    <w:p w14:paraId="40E75F3D" w14:textId="3E0D7AA0" w:rsidR="00EE76FB" w:rsidRPr="00CC3404" w:rsidRDefault="00CC3404" w:rsidP="0070461C">
      <w:pPr>
        <w:jc w:val="both"/>
        <w:rPr>
          <w:rFonts w:ascii="Times New Roman" w:hAnsi="Times New Roman" w:cs="Times New Roman"/>
          <w:bCs/>
          <w:lang w:val="en-US"/>
        </w:rPr>
      </w:pPr>
      <w:r w:rsidRPr="00CC3404">
        <w:rPr>
          <w:rFonts w:ascii="Times New Roman" w:hAnsi="Times New Roman" w:cs="Times New Roman"/>
          <w:bCs/>
        </w:rPr>
        <w:t>70.</w:t>
      </w:r>
      <w:r w:rsidRPr="00CC3404">
        <w:rPr>
          <w:rFonts w:ascii="Times New Roman" w:hAnsi="Times New Roman" w:cs="Times New Roman"/>
          <w:bCs/>
        </w:rPr>
        <w:tab/>
      </w:r>
      <w:r w:rsidR="0070461C" w:rsidRPr="00CC3404">
        <w:rPr>
          <w:rFonts w:ascii="Times New Roman" w:hAnsi="Times New Roman" w:cs="Times New Roman"/>
          <w:bCs/>
        </w:rPr>
        <w:t>Regarding the kind of activities to be entrusted to a Partnership, f</w:t>
      </w:r>
      <w:r w:rsidR="00EE76FB" w:rsidRPr="00CC3404">
        <w:rPr>
          <w:rFonts w:ascii="Times New Roman" w:hAnsi="Times New Roman" w:cs="Times New Roman"/>
          <w:bCs/>
        </w:rPr>
        <w:t xml:space="preserve">rom the experience of PACE, it appears that the development </w:t>
      </w:r>
      <w:r w:rsidR="002D1CD5" w:rsidRPr="00CC3404">
        <w:rPr>
          <w:rFonts w:ascii="Times New Roman" w:hAnsi="Times New Roman" w:cs="Times New Roman"/>
          <w:bCs/>
        </w:rPr>
        <w:t xml:space="preserve">by multi-stakeholders Partnerships of </w:t>
      </w:r>
      <w:r w:rsidR="00EE76FB" w:rsidRPr="00CC3404">
        <w:rPr>
          <w:rFonts w:ascii="Times New Roman" w:hAnsi="Times New Roman" w:cs="Times New Roman"/>
          <w:bCs/>
        </w:rPr>
        <w:t xml:space="preserve">policy guidance </w:t>
      </w:r>
      <w:r w:rsidR="002D1CD5" w:rsidRPr="00CC3404">
        <w:rPr>
          <w:rFonts w:ascii="Times New Roman" w:hAnsi="Times New Roman" w:cs="Times New Roman"/>
          <w:bCs/>
        </w:rPr>
        <w:t>aimed at clarifying the Convention may bear</w:t>
      </w:r>
      <w:r w:rsidR="00EE76FB" w:rsidRPr="00CC3404">
        <w:rPr>
          <w:rFonts w:ascii="Times New Roman" w:hAnsi="Times New Roman" w:cs="Times New Roman"/>
          <w:bCs/>
        </w:rPr>
        <w:t xml:space="preserve"> certain risks</w:t>
      </w:r>
      <w:r w:rsidR="00477C55" w:rsidRPr="00CC3404">
        <w:rPr>
          <w:rFonts w:ascii="Times New Roman" w:hAnsi="Times New Roman" w:cs="Times New Roman"/>
          <w:bCs/>
        </w:rPr>
        <w:t>, in particular</w:t>
      </w:r>
      <w:r w:rsidR="002D1CD5" w:rsidRPr="00CC3404">
        <w:rPr>
          <w:rFonts w:ascii="Times New Roman" w:hAnsi="Times New Roman" w:cs="Times New Roman"/>
          <w:bCs/>
        </w:rPr>
        <w:t xml:space="preserve"> if similar tasks are entrusted to a separate process </w:t>
      </w:r>
      <w:r w:rsidR="00C01654" w:rsidRPr="00CC3404">
        <w:rPr>
          <w:rFonts w:ascii="Times New Roman" w:hAnsi="Times New Roman" w:cs="Times New Roman"/>
          <w:bCs/>
        </w:rPr>
        <w:t>led by Parties</w:t>
      </w:r>
      <w:r w:rsidR="00EE76FB" w:rsidRPr="00CC3404">
        <w:rPr>
          <w:rFonts w:ascii="Times New Roman" w:hAnsi="Times New Roman" w:cs="Times New Roman"/>
          <w:bCs/>
        </w:rPr>
        <w:t xml:space="preserve">. </w:t>
      </w:r>
      <w:r w:rsidR="002D1CD5" w:rsidRPr="00CC3404">
        <w:rPr>
          <w:rFonts w:ascii="Times New Roman" w:hAnsi="Times New Roman" w:cs="Times New Roman"/>
          <w:bCs/>
        </w:rPr>
        <w:t>M</w:t>
      </w:r>
      <w:r w:rsidR="00EE76FB" w:rsidRPr="00CC3404">
        <w:rPr>
          <w:rFonts w:ascii="Times New Roman" w:hAnsi="Times New Roman" w:cs="Times New Roman"/>
          <w:bCs/>
        </w:rPr>
        <w:t>ulti</w:t>
      </w:r>
      <w:r w:rsidR="00EE76FB" w:rsidRPr="00CC3404">
        <w:rPr>
          <w:rFonts w:ascii="Times New Roman" w:hAnsi="Times New Roman" w:cs="Times New Roman"/>
          <w:bCs/>
          <w:lang w:val="en-US"/>
        </w:rPr>
        <w:t xml:space="preserve">-stakeholder Partnerships </w:t>
      </w:r>
      <w:r w:rsidR="002D1CD5" w:rsidRPr="00CC3404">
        <w:rPr>
          <w:rFonts w:ascii="Times New Roman" w:hAnsi="Times New Roman" w:cs="Times New Roman"/>
          <w:bCs/>
          <w:lang w:val="en-US"/>
        </w:rPr>
        <w:t>on the other hand</w:t>
      </w:r>
      <w:r w:rsidR="00477C55" w:rsidRPr="00CC3404">
        <w:rPr>
          <w:rFonts w:ascii="Times New Roman" w:hAnsi="Times New Roman" w:cs="Times New Roman"/>
          <w:bCs/>
          <w:lang w:val="en-US"/>
        </w:rPr>
        <w:t>, and as mentioned above,</w:t>
      </w:r>
      <w:r w:rsidR="002D1CD5" w:rsidRPr="00CC3404">
        <w:rPr>
          <w:rFonts w:ascii="Times New Roman" w:hAnsi="Times New Roman" w:cs="Times New Roman"/>
          <w:bCs/>
          <w:lang w:val="en-US"/>
        </w:rPr>
        <w:t xml:space="preserve"> have </w:t>
      </w:r>
      <w:r w:rsidR="00C01654" w:rsidRPr="00CC3404">
        <w:rPr>
          <w:rFonts w:ascii="Times New Roman" w:hAnsi="Times New Roman" w:cs="Times New Roman"/>
          <w:bCs/>
          <w:lang w:val="en-US"/>
        </w:rPr>
        <w:t>a clear potential</w:t>
      </w:r>
      <w:r w:rsidR="002D1CD5" w:rsidRPr="00CC3404">
        <w:rPr>
          <w:rFonts w:ascii="Times New Roman" w:hAnsi="Times New Roman" w:cs="Times New Roman"/>
          <w:bCs/>
          <w:lang w:val="en-US"/>
        </w:rPr>
        <w:t xml:space="preserve"> </w:t>
      </w:r>
      <w:r w:rsidR="00C01654" w:rsidRPr="00CC3404">
        <w:rPr>
          <w:rFonts w:ascii="Times New Roman" w:hAnsi="Times New Roman" w:cs="Times New Roman"/>
          <w:bCs/>
          <w:lang w:val="en-US"/>
        </w:rPr>
        <w:t xml:space="preserve">with respect to </w:t>
      </w:r>
      <w:r w:rsidR="00EE76FB" w:rsidRPr="00CC3404">
        <w:rPr>
          <w:rFonts w:ascii="Times New Roman" w:hAnsi="Times New Roman" w:cs="Times New Roman"/>
          <w:bCs/>
          <w:lang w:val="en-US"/>
        </w:rPr>
        <w:t>information exchange, or dissemination, testing and implementation of guidance</w:t>
      </w:r>
      <w:r w:rsidR="0085181C" w:rsidRPr="00CC3404">
        <w:rPr>
          <w:rFonts w:ascii="Times New Roman" w:hAnsi="Times New Roman" w:cs="Times New Roman"/>
          <w:bCs/>
          <w:lang w:val="en-US"/>
        </w:rPr>
        <w:t>, for example</w:t>
      </w:r>
      <w:r w:rsidR="00EE76FB" w:rsidRPr="00CC3404">
        <w:rPr>
          <w:rFonts w:ascii="Times New Roman" w:hAnsi="Times New Roman" w:cs="Times New Roman"/>
          <w:bCs/>
          <w:lang w:val="en-US"/>
        </w:rPr>
        <w:t xml:space="preserve">. </w:t>
      </w:r>
    </w:p>
    <w:p w14:paraId="3F077CFD" w14:textId="6F588E65" w:rsidR="0070461C" w:rsidRPr="00CC3404" w:rsidRDefault="00CC3404" w:rsidP="0070461C">
      <w:pPr>
        <w:jc w:val="both"/>
        <w:rPr>
          <w:rFonts w:ascii="Times New Roman" w:hAnsi="Times New Roman" w:cs="Times New Roman"/>
          <w:bCs/>
          <w:lang w:val="en-US"/>
        </w:rPr>
      </w:pPr>
      <w:r w:rsidRPr="00CC3404">
        <w:rPr>
          <w:rFonts w:ascii="Times New Roman" w:hAnsi="Times New Roman" w:cs="Times New Roman"/>
          <w:bCs/>
          <w:lang w:val="en-US"/>
        </w:rPr>
        <w:t>71.</w:t>
      </w:r>
      <w:r w:rsidRPr="00CC3404">
        <w:rPr>
          <w:rFonts w:ascii="Times New Roman" w:hAnsi="Times New Roman" w:cs="Times New Roman"/>
          <w:bCs/>
          <w:lang w:val="en-US"/>
        </w:rPr>
        <w:tab/>
      </w:r>
      <w:r w:rsidR="0070461C" w:rsidRPr="00CC3404">
        <w:rPr>
          <w:rFonts w:ascii="Times New Roman" w:hAnsi="Times New Roman" w:cs="Times New Roman"/>
          <w:bCs/>
          <w:lang w:val="en-US"/>
        </w:rPr>
        <w:t>It is therefore recommended that the Conference of the Parties request the Secretariat to seek the views of Parties and observers to the Convention on additional areas of work under the Convention that would benefit from the greater involvement of non-</w:t>
      </w:r>
      <w:r w:rsidR="009913AD" w:rsidRPr="00CC3404">
        <w:rPr>
          <w:rFonts w:ascii="Times New Roman" w:hAnsi="Times New Roman" w:cs="Times New Roman"/>
          <w:bCs/>
          <w:lang w:val="en-US"/>
        </w:rPr>
        <w:t>s</w:t>
      </w:r>
      <w:r w:rsidR="0070461C" w:rsidRPr="00CC3404">
        <w:rPr>
          <w:rFonts w:ascii="Times New Roman" w:hAnsi="Times New Roman" w:cs="Times New Roman"/>
          <w:bCs/>
          <w:lang w:val="en-US"/>
        </w:rPr>
        <w:t xml:space="preserve">tate stakeholders towards an improved implementation of the Convention and to report back to the Conference of the Parties </w:t>
      </w:r>
      <w:r w:rsidR="00477C55" w:rsidRPr="00CC3404">
        <w:rPr>
          <w:rFonts w:ascii="Times New Roman" w:hAnsi="Times New Roman" w:cs="Times New Roman"/>
          <w:bCs/>
          <w:lang w:val="en-US"/>
        </w:rPr>
        <w:t xml:space="preserve">at its fifteenth meeting </w:t>
      </w:r>
      <w:r w:rsidR="0070461C" w:rsidRPr="00CC3404">
        <w:rPr>
          <w:rFonts w:ascii="Times New Roman" w:hAnsi="Times New Roman" w:cs="Times New Roman"/>
          <w:bCs/>
          <w:lang w:val="en-US"/>
        </w:rPr>
        <w:t>through the Open-ended Working Group</w:t>
      </w:r>
      <w:r w:rsidR="00477C55" w:rsidRPr="00CC3404">
        <w:rPr>
          <w:rFonts w:ascii="Times New Roman" w:hAnsi="Times New Roman" w:cs="Times New Roman"/>
          <w:bCs/>
          <w:lang w:val="en-US"/>
        </w:rPr>
        <w:t xml:space="preserve"> at its twelfth meeting</w:t>
      </w:r>
      <w:r w:rsidR="0070461C" w:rsidRPr="00CC3404">
        <w:rPr>
          <w:rFonts w:ascii="Times New Roman" w:hAnsi="Times New Roman" w:cs="Times New Roman"/>
          <w:bCs/>
          <w:lang w:val="en-US"/>
        </w:rPr>
        <w:t>.</w:t>
      </w:r>
    </w:p>
    <w:p w14:paraId="073D6C8C" w14:textId="62E7B898" w:rsidR="00EE76FB" w:rsidRPr="00CC3404" w:rsidRDefault="00CC3404" w:rsidP="0070461C">
      <w:pPr>
        <w:jc w:val="both"/>
        <w:rPr>
          <w:rFonts w:ascii="Times New Roman" w:hAnsi="Times New Roman" w:cs="Times New Roman"/>
          <w:bCs/>
        </w:rPr>
      </w:pPr>
      <w:r w:rsidRPr="00CC3404">
        <w:rPr>
          <w:rFonts w:ascii="Times New Roman" w:hAnsi="Times New Roman" w:cs="Times New Roman"/>
          <w:bCs/>
          <w:lang w:val="en-US"/>
        </w:rPr>
        <w:t>72.</w:t>
      </w:r>
      <w:r w:rsidRPr="00CC3404">
        <w:rPr>
          <w:rFonts w:ascii="Times New Roman" w:hAnsi="Times New Roman" w:cs="Times New Roman"/>
          <w:bCs/>
          <w:lang w:val="en-US"/>
        </w:rPr>
        <w:tab/>
      </w:r>
      <w:r w:rsidR="0070461C" w:rsidRPr="00CC3404">
        <w:rPr>
          <w:rFonts w:ascii="Times New Roman" w:hAnsi="Times New Roman" w:cs="Times New Roman"/>
          <w:bCs/>
          <w:lang w:val="en-US"/>
        </w:rPr>
        <w:t xml:space="preserve">Moreover, </w:t>
      </w:r>
      <w:proofErr w:type="spellStart"/>
      <w:r w:rsidR="0070461C" w:rsidRPr="00CC3404">
        <w:rPr>
          <w:rFonts w:ascii="Times New Roman" w:hAnsi="Times New Roman" w:cs="Times New Roman"/>
          <w:bCs/>
          <w:lang w:val="en-US"/>
        </w:rPr>
        <w:t>i</w:t>
      </w:r>
      <w:r w:rsidR="00EE76FB" w:rsidRPr="00CC3404">
        <w:rPr>
          <w:rFonts w:ascii="Times New Roman" w:hAnsi="Times New Roman" w:cs="Times New Roman"/>
          <w:bCs/>
        </w:rPr>
        <w:t>n</w:t>
      </w:r>
      <w:proofErr w:type="spellEnd"/>
      <w:r w:rsidR="00EE76FB" w:rsidRPr="00CC3404">
        <w:rPr>
          <w:rFonts w:ascii="Times New Roman" w:hAnsi="Times New Roman" w:cs="Times New Roman"/>
          <w:bCs/>
        </w:rPr>
        <w:t xml:space="preserve"> light of the overall </w:t>
      </w:r>
      <w:r w:rsidR="0085181C" w:rsidRPr="00CC3404">
        <w:rPr>
          <w:rFonts w:ascii="Times New Roman" w:hAnsi="Times New Roman" w:cs="Times New Roman"/>
          <w:bCs/>
        </w:rPr>
        <w:t>success story</w:t>
      </w:r>
      <w:r w:rsidR="00EE76FB" w:rsidRPr="00CC3404">
        <w:rPr>
          <w:rFonts w:ascii="Times New Roman" w:hAnsi="Times New Roman" w:cs="Times New Roman"/>
          <w:bCs/>
        </w:rPr>
        <w:t xml:space="preserve"> of multi-stakeholders Partnerships under the Basel Convention, </w:t>
      </w:r>
      <w:r w:rsidR="00F74B1D" w:rsidRPr="00CC3404">
        <w:rPr>
          <w:rFonts w:ascii="Times New Roman" w:hAnsi="Times New Roman" w:cs="Times New Roman"/>
          <w:bCs/>
        </w:rPr>
        <w:t xml:space="preserve">it is recommended that </w:t>
      </w:r>
      <w:r w:rsidR="0070461C" w:rsidRPr="00CC3404">
        <w:rPr>
          <w:rFonts w:ascii="Times New Roman" w:hAnsi="Times New Roman" w:cs="Times New Roman"/>
          <w:bCs/>
        </w:rPr>
        <w:t xml:space="preserve">the Conference of the Parties consider inviting the Conferences of </w:t>
      </w:r>
      <w:r w:rsidR="0070461C" w:rsidRPr="00CC3404">
        <w:rPr>
          <w:rFonts w:ascii="Times New Roman" w:hAnsi="Times New Roman" w:cs="Times New Roman"/>
          <w:bCs/>
        </w:rPr>
        <w:lastRenderedPageBreak/>
        <w:t xml:space="preserve">the Parties to </w:t>
      </w:r>
      <w:r w:rsidR="00EE76FB" w:rsidRPr="00CC3404">
        <w:rPr>
          <w:rFonts w:ascii="Times New Roman" w:hAnsi="Times New Roman" w:cs="Times New Roman"/>
          <w:bCs/>
        </w:rPr>
        <w:t xml:space="preserve">the Rotterdam and Stockholm conventions </w:t>
      </w:r>
      <w:r w:rsidR="0070461C" w:rsidRPr="00CC3404">
        <w:rPr>
          <w:rFonts w:ascii="Times New Roman" w:hAnsi="Times New Roman" w:cs="Times New Roman"/>
          <w:bCs/>
        </w:rPr>
        <w:t xml:space="preserve">to also consider whether </w:t>
      </w:r>
      <w:r w:rsidR="00EE76FB" w:rsidRPr="00CC3404">
        <w:rPr>
          <w:rFonts w:ascii="Times New Roman" w:hAnsi="Times New Roman" w:cs="Times New Roman"/>
          <w:bCs/>
        </w:rPr>
        <w:t>the establishment of Partnerships</w:t>
      </w:r>
      <w:r w:rsidR="0070461C" w:rsidRPr="00CC3404">
        <w:rPr>
          <w:rFonts w:ascii="Times New Roman" w:hAnsi="Times New Roman" w:cs="Times New Roman"/>
          <w:bCs/>
        </w:rPr>
        <w:t xml:space="preserve"> could also be of benefit</w:t>
      </w:r>
      <w:r w:rsidR="00296489" w:rsidRPr="00CC3404">
        <w:rPr>
          <w:rFonts w:ascii="Times New Roman" w:hAnsi="Times New Roman" w:cs="Times New Roman"/>
          <w:bCs/>
        </w:rPr>
        <w:t xml:space="preserve"> to them</w:t>
      </w:r>
      <w:r w:rsidR="0070461C" w:rsidRPr="00CC3404">
        <w:rPr>
          <w:rFonts w:ascii="Times New Roman" w:hAnsi="Times New Roman" w:cs="Times New Roman"/>
          <w:bCs/>
        </w:rPr>
        <w:t>, through a similar request to the Secretariat</w:t>
      </w:r>
      <w:r w:rsidR="00EE76FB" w:rsidRPr="00CC3404">
        <w:rPr>
          <w:rFonts w:ascii="Times New Roman" w:hAnsi="Times New Roman" w:cs="Times New Roman"/>
          <w:bCs/>
        </w:rPr>
        <w:t>.</w:t>
      </w:r>
      <w:r w:rsidR="0070461C" w:rsidRPr="00CC3404">
        <w:rPr>
          <w:rFonts w:ascii="Times New Roman" w:hAnsi="Times New Roman" w:cs="Times New Roman"/>
          <w:bCs/>
        </w:rPr>
        <w:t xml:space="preserve"> </w:t>
      </w:r>
    </w:p>
    <w:p w14:paraId="2D3F18A0" w14:textId="660289E7" w:rsidR="0001711E" w:rsidRPr="003724EF" w:rsidRDefault="00296489" w:rsidP="00AB64DD">
      <w:pPr>
        <w:pStyle w:val="Heading2"/>
        <w:rPr>
          <w:rFonts w:ascii="Times New Roman" w:hAnsi="Times New Roman" w:cs="Times New Roman"/>
          <w:b/>
          <w:bCs/>
          <w:color w:val="auto"/>
        </w:rPr>
      </w:pPr>
      <w:bookmarkStart w:id="36" w:name="_Toc531103377"/>
      <w:bookmarkStart w:id="37" w:name="_Toc531103790"/>
      <w:r w:rsidRPr="00CC3404">
        <w:rPr>
          <w:rFonts w:ascii="Times New Roman" w:hAnsi="Times New Roman" w:cs="Times New Roman"/>
          <w:color w:val="auto"/>
        </w:rPr>
        <w:t xml:space="preserve">6.2 </w:t>
      </w:r>
      <w:r w:rsidR="00B745B6" w:rsidRPr="00CC3404">
        <w:rPr>
          <w:rFonts w:ascii="Times New Roman" w:hAnsi="Times New Roman" w:cs="Times New Roman"/>
          <w:color w:val="auto"/>
        </w:rPr>
        <w:tab/>
      </w:r>
      <w:r w:rsidR="00EE76FB" w:rsidRPr="003724EF">
        <w:rPr>
          <w:rFonts w:ascii="Times New Roman" w:hAnsi="Times New Roman" w:cs="Times New Roman"/>
          <w:b/>
          <w:bCs/>
          <w:color w:val="auto"/>
        </w:rPr>
        <w:t>Recommendations on the development of the Secretariat involvement in partnerships (“partnerships”)</w:t>
      </w:r>
      <w:bookmarkEnd w:id="36"/>
      <w:bookmarkEnd w:id="37"/>
    </w:p>
    <w:p w14:paraId="79016358" w14:textId="7DCC7F70" w:rsidR="00E066B3" w:rsidRPr="00CC3404" w:rsidRDefault="00CC3404" w:rsidP="00AB64DD">
      <w:pPr>
        <w:spacing w:before="120"/>
        <w:jc w:val="both"/>
        <w:rPr>
          <w:rFonts w:ascii="Times New Roman" w:hAnsi="Times New Roman" w:cs="Times New Roman"/>
        </w:rPr>
      </w:pPr>
      <w:r w:rsidRPr="00CC3404">
        <w:rPr>
          <w:rFonts w:ascii="Times New Roman" w:hAnsi="Times New Roman" w:cs="Times New Roman"/>
        </w:rPr>
        <w:t>73.</w:t>
      </w:r>
      <w:r w:rsidRPr="00CC3404">
        <w:rPr>
          <w:rFonts w:ascii="Times New Roman" w:hAnsi="Times New Roman" w:cs="Times New Roman"/>
        </w:rPr>
        <w:tab/>
      </w:r>
      <w:r w:rsidR="00510B3F" w:rsidRPr="00CC3404">
        <w:rPr>
          <w:rFonts w:ascii="Times New Roman" w:hAnsi="Times New Roman" w:cs="Times New Roman"/>
        </w:rPr>
        <w:t>An increased use of partnerships</w:t>
      </w:r>
      <w:r w:rsidR="00E066B3" w:rsidRPr="00CC3404">
        <w:rPr>
          <w:rFonts w:ascii="Times New Roman" w:hAnsi="Times New Roman" w:cs="Times New Roman"/>
        </w:rPr>
        <w:t xml:space="preserve"> by the Secretariat in its</w:t>
      </w:r>
      <w:r w:rsidR="00510B3F" w:rsidRPr="00CC3404">
        <w:rPr>
          <w:rFonts w:ascii="Times New Roman" w:hAnsi="Times New Roman" w:cs="Times New Roman"/>
        </w:rPr>
        <w:t xml:space="preserve"> </w:t>
      </w:r>
      <w:r w:rsidR="00E066B3" w:rsidRPr="00CC3404">
        <w:rPr>
          <w:rFonts w:ascii="Times New Roman" w:hAnsi="Times New Roman" w:cs="Times New Roman"/>
        </w:rPr>
        <w:t>programmatic activities can be expected to facilitate:</w:t>
      </w:r>
    </w:p>
    <w:p w14:paraId="73429318" w14:textId="0EBE62B2" w:rsidR="00E066B3" w:rsidRPr="00CC3404" w:rsidRDefault="00E066B3" w:rsidP="00E45D56">
      <w:pPr>
        <w:pStyle w:val="ListParagraph"/>
        <w:numPr>
          <w:ilvl w:val="0"/>
          <w:numId w:val="11"/>
        </w:numPr>
        <w:spacing w:before="120"/>
        <w:jc w:val="both"/>
        <w:rPr>
          <w:rFonts w:ascii="Times New Roman" w:hAnsi="Times New Roman" w:cs="Times New Roman"/>
        </w:rPr>
      </w:pPr>
      <w:r w:rsidRPr="00CC3404">
        <w:rPr>
          <w:rFonts w:ascii="Times New Roman" w:hAnsi="Times New Roman" w:cs="Times New Roman"/>
          <w:caps/>
        </w:rPr>
        <w:t>A</w:t>
      </w:r>
      <w:r w:rsidRPr="00CC3404">
        <w:rPr>
          <w:rFonts w:ascii="Times New Roman" w:hAnsi="Times New Roman" w:cs="Times New Roman"/>
        </w:rPr>
        <w:t>ccess to experience and expertise of entities other than Parties</w:t>
      </w:r>
      <w:r w:rsidR="00921AEA">
        <w:rPr>
          <w:rFonts w:ascii="Times New Roman" w:hAnsi="Times New Roman" w:cs="Times New Roman"/>
        </w:rPr>
        <w:t>;</w:t>
      </w:r>
      <w:r w:rsidRPr="00CC3404">
        <w:rPr>
          <w:rFonts w:ascii="Times New Roman" w:hAnsi="Times New Roman" w:cs="Times New Roman"/>
        </w:rPr>
        <w:t xml:space="preserve">   </w:t>
      </w:r>
    </w:p>
    <w:p w14:paraId="4A97B69B" w14:textId="6313D917" w:rsidR="00E066B3" w:rsidRPr="00CC3404" w:rsidRDefault="00E066B3" w:rsidP="00E45D56">
      <w:pPr>
        <w:pStyle w:val="ListParagraph"/>
        <w:numPr>
          <w:ilvl w:val="0"/>
          <w:numId w:val="11"/>
        </w:numPr>
        <w:spacing w:before="120"/>
        <w:jc w:val="both"/>
        <w:rPr>
          <w:rFonts w:ascii="Times New Roman" w:hAnsi="Times New Roman" w:cs="Times New Roman"/>
        </w:rPr>
      </w:pPr>
      <w:r w:rsidRPr="00CC3404">
        <w:rPr>
          <w:rFonts w:ascii="Times New Roman" w:hAnsi="Times New Roman" w:cs="Times New Roman"/>
        </w:rPr>
        <w:t>Access to additional financial resources and capacity</w:t>
      </w:r>
      <w:r w:rsidR="00921AEA">
        <w:rPr>
          <w:rFonts w:ascii="Times New Roman" w:hAnsi="Times New Roman" w:cs="Times New Roman"/>
        </w:rPr>
        <w:t>;</w:t>
      </w:r>
    </w:p>
    <w:p w14:paraId="2EE2CF44" w14:textId="107AC87F" w:rsidR="00E066B3" w:rsidRPr="00CC3404" w:rsidRDefault="00E066B3" w:rsidP="00E45D56">
      <w:pPr>
        <w:pStyle w:val="ListParagraph"/>
        <w:numPr>
          <w:ilvl w:val="0"/>
          <w:numId w:val="11"/>
        </w:numPr>
        <w:spacing w:before="120"/>
        <w:jc w:val="both"/>
        <w:rPr>
          <w:rFonts w:ascii="Times New Roman" w:hAnsi="Times New Roman" w:cs="Times New Roman"/>
        </w:rPr>
      </w:pPr>
      <w:r w:rsidRPr="00CC3404">
        <w:rPr>
          <w:rFonts w:ascii="Times New Roman" w:hAnsi="Times New Roman" w:cs="Times New Roman"/>
        </w:rPr>
        <w:t>Additional outreach and visibility</w:t>
      </w:r>
      <w:r w:rsidR="00921AEA">
        <w:rPr>
          <w:rFonts w:ascii="Times New Roman" w:hAnsi="Times New Roman" w:cs="Times New Roman"/>
        </w:rPr>
        <w:t>.</w:t>
      </w:r>
    </w:p>
    <w:p w14:paraId="3EEA9F38" w14:textId="75BB1D89" w:rsidR="00EE76FB" w:rsidRPr="00CC3404" w:rsidRDefault="00CC3404" w:rsidP="00AB64DD">
      <w:pPr>
        <w:spacing w:before="120"/>
        <w:jc w:val="both"/>
        <w:rPr>
          <w:rFonts w:ascii="Times New Roman" w:hAnsi="Times New Roman" w:cs="Times New Roman"/>
        </w:rPr>
      </w:pPr>
      <w:r w:rsidRPr="00CC3404">
        <w:rPr>
          <w:rFonts w:ascii="Times New Roman" w:hAnsi="Times New Roman" w:cs="Times New Roman"/>
        </w:rPr>
        <w:t>74.</w:t>
      </w:r>
      <w:r w:rsidRPr="00CC3404">
        <w:rPr>
          <w:rFonts w:ascii="Times New Roman" w:hAnsi="Times New Roman" w:cs="Times New Roman"/>
        </w:rPr>
        <w:tab/>
      </w:r>
      <w:r w:rsidR="00296489" w:rsidRPr="00CC3404">
        <w:rPr>
          <w:rFonts w:ascii="Times New Roman" w:hAnsi="Times New Roman" w:cs="Times New Roman"/>
        </w:rPr>
        <w:t>Areas of the work programme entrusted to the Secretariat that could benefit from cooperation with non-</w:t>
      </w:r>
      <w:r w:rsidR="009913AD" w:rsidRPr="00CC3404">
        <w:rPr>
          <w:rFonts w:ascii="Times New Roman" w:hAnsi="Times New Roman" w:cs="Times New Roman"/>
        </w:rPr>
        <w:t>s</w:t>
      </w:r>
      <w:r w:rsidR="00296489" w:rsidRPr="00CC3404">
        <w:rPr>
          <w:rFonts w:ascii="Times New Roman" w:hAnsi="Times New Roman" w:cs="Times New Roman"/>
        </w:rPr>
        <w:t>tate stakeholders could include</w:t>
      </w:r>
      <w:r w:rsidR="00477C55" w:rsidRPr="00CC3404">
        <w:rPr>
          <w:rFonts w:ascii="Times New Roman" w:hAnsi="Times New Roman" w:cs="Times New Roman"/>
        </w:rPr>
        <w:t xml:space="preserve"> for instance</w:t>
      </w:r>
      <w:r w:rsidR="00296489" w:rsidRPr="00CC3404">
        <w:rPr>
          <w:rFonts w:ascii="Times New Roman" w:hAnsi="Times New Roman" w:cs="Times New Roman"/>
        </w:rPr>
        <w:t xml:space="preserve"> technical assistance activities </w:t>
      </w:r>
      <w:r w:rsidR="00477C55" w:rsidRPr="00CC3404">
        <w:rPr>
          <w:rFonts w:ascii="Times New Roman" w:hAnsi="Times New Roman" w:cs="Times New Roman"/>
        </w:rPr>
        <w:t xml:space="preserve">and </w:t>
      </w:r>
      <w:r w:rsidR="001D26AC" w:rsidRPr="00CC3404">
        <w:rPr>
          <w:rFonts w:ascii="Times New Roman" w:hAnsi="Times New Roman" w:cs="Times New Roman"/>
        </w:rPr>
        <w:t>public awareness</w:t>
      </w:r>
      <w:r w:rsidR="00477C55" w:rsidRPr="00CC3404">
        <w:rPr>
          <w:rFonts w:ascii="Times New Roman" w:hAnsi="Times New Roman" w:cs="Times New Roman"/>
        </w:rPr>
        <w:t xml:space="preserve"> activities</w:t>
      </w:r>
      <w:r w:rsidR="00EE76FB" w:rsidRPr="00CC3404">
        <w:rPr>
          <w:rFonts w:ascii="Times New Roman" w:hAnsi="Times New Roman" w:cs="Times New Roman"/>
        </w:rPr>
        <w:t xml:space="preserve">. </w:t>
      </w:r>
    </w:p>
    <w:p w14:paraId="49EB0E98" w14:textId="540E6852" w:rsidR="00EE76FB" w:rsidRPr="00CC3404" w:rsidRDefault="00CC3404" w:rsidP="006C63D6">
      <w:pPr>
        <w:jc w:val="both"/>
        <w:rPr>
          <w:rFonts w:ascii="Times New Roman" w:hAnsi="Times New Roman" w:cs="Times New Roman"/>
        </w:rPr>
      </w:pPr>
      <w:r w:rsidRPr="006C63D6">
        <w:rPr>
          <w:rFonts w:ascii="Times New Roman" w:hAnsi="Times New Roman" w:cs="Times New Roman"/>
        </w:rPr>
        <w:t>75.</w:t>
      </w:r>
      <w:r w:rsidRPr="006C63D6">
        <w:rPr>
          <w:rFonts w:ascii="Times New Roman" w:hAnsi="Times New Roman" w:cs="Times New Roman"/>
        </w:rPr>
        <w:tab/>
      </w:r>
      <w:r w:rsidR="00E066B3" w:rsidRPr="006C63D6">
        <w:rPr>
          <w:rFonts w:ascii="Times New Roman" w:hAnsi="Times New Roman" w:cs="Times New Roman"/>
        </w:rPr>
        <w:t>At present</w:t>
      </w:r>
      <w:r w:rsidR="00EE76FB" w:rsidRPr="006C63D6">
        <w:rPr>
          <w:rFonts w:ascii="Times New Roman" w:hAnsi="Times New Roman" w:cs="Times New Roman"/>
        </w:rPr>
        <w:t xml:space="preserve">, </w:t>
      </w:r>
      <w:r w:rsidR="00A57C8E" w:rsidRPr="006C63D6">
        <w:rPr>
          <w:rFonts w:ascii="Times New Roman" w:hAnsi="Times New Roman" w:cs="Times New Roman"/>
        </w:rPr>
        <w:t xml:space="preserve">the involvement of the Secretariat in partnerships includes </w:t>
      </w:r>
      <w:r w:rsidR="00BC5343" w:rsidRPr="006C63D6">
        <w:rPr>
          <w:rFonts w:ascii="Times New Roman" w:hAnsi="Times New Roman" w:cs="Times New Roman"/>
        </w:rPr>
        <w:t xml:space="preserve">participation in the Global Mercury Partnership (UNEP Chemicals), the Global Partnership on Waste Management (UNEP/IETC) </w:t>
      </w:r>
      <w:proofErr w:type="spellStart"/>
      <w:r w:rsidR="00BC5343" w:rsidRPr="006C63D6">
        <w:rPr>
          <w:rFonts w:ascii="Times New Roman" w:hAnsi="Times New Roman" w:cs="Times New Roman"/>
        </w:rPr>
        <w:t>StEP</w:t>
      </w:r>
      <w:proofErr w:type="spellEnd"/>
      <w:r w:rsidR="00BC5343" w:rsidRPr="006C63D6">
        <w:rPr>
          <w:rFonts w:ascii="Times New Roman" w:hAnsi="Times New Roman" w:cs="Times New Roman"/>
        </w:rPr>
        <w:t xml:space="preserve"> (UNU), and the Partnership on Measuring ICT for Development (ITU)</w:t>
      </w:r>
      <w:r w:rsidR="00BC5343" w:rsidRPr="006C63D6">
        <w:rPr>
          <w:rStyle w:val="FootnoteReference"/>
          <w:rFonts w:ascii="Times New Roman" w:hAnsi="Times New Roman" w:cs="Times New Roman"/>
        </w:rPr>
        <w:footnoteReference w:id="56"/>
      </w:r>
      <w:r w:rsidR="00BC5343" w:rsidRPr="006C63D6">
        <w:rPr>
          <w:rFonts w:ascii="Times New Roman" w:hAnsi="Times New Roman" w:cs="Times New Roman"/>
        </w:rPr>
        <w:t>. In addition, the Secretariat is an observer in SAICM. T</w:t>
      </w:r>
      <w:r w:rsidR="00EE76FB" w:rsidRPr="006C63D6">
        <w:rPr>
          <w:rFonts w:ascii="Times New Roman" w:hAnsi="Times New Roman" w:cs="Times New Roman"/>
        </w:rPr>
        <w:t>he absence of guidance from the COP</w:t>
      </w:r>
      <w:r w:rsidR="00E066B3" w:rsidRPr="006C63D6">
        <w:rPr>
          <w:rFonts w:ascii="Times New Roman" w:hAnsi="Times New Roman" w:cs="Times New Roman"/>
        </w:rPr>
        <w:t xml:space="preserve"> however</w:t>
      </w:r>
      <w:r w:rsidR="00EE76FB" w:rsidRPr="006C63D6">
        <w:rPr>
          <w:rFonts w:ascii="Times New Roman" w:hAnsi="Times New Roman" w:cs="Times New Roman"/>
        </w:rPr>
        <w:t xml:space="preserve"> appears</w:t>
      </w:r>
      <w:r w:rsidR="00EE76FB" w:rsidRPr="00CC3404">
        <w:rPr>
          <w:rFonts w:ascii="Times New Roman" w:hAnsi="Times New Roman" w:cs="Times New Roman"/>
        </w:rPr>
        <w:t xml:space="preserve"> to be a practical obstacle to </w:t>
      </w:r>
      <w:r w:rsidR="00E066B3" w:rsidRPr="00CC3404">
        <w:rPr>
          <w:rFonts w:ascii="Times New Roman" w:hAnsi="Times New Roman" w:cs="Times New Roman"/>
        </w:rPr>
        <w:t xml:space="preserve">an increased involvement </w:t>
      </w:r>
      <w:r w:rsidR="00F74B1D" w:rsidRPr="00CC3404">
        <w:rPr>
          <w:rFonts w:ascii="Times New Roman" w:hAnsi="Times New Roman" w:cs="Times New Roman"/>
        </w:rPr>
        <w:t xml:space="preserve">by the Secretariat </w:t>
      </w:r>
      <w:r w:rsidR="00E066B3" w:rsidRPr="00CC3404">
        <w:rPr>
          <w:rFonts w:ascii="Times New Roman" w:hAnsi="Times New Roman" w:cs="Times New Roman"/>
        </w:rPr>
        <w:t xml:space="preserve">in </w:t>
      </w:r>
      <w:r w:rsidR="00F74B1D" w:rsidRPr="00CC3404">
        <w:rPr>
          <w:rFonts w:ascii="Times New Roman" w:hAnsi="Times New Roman" w:cs="Times New Roman"/>
        </w:rPr>
        <w:t xml:space="preserve">such </w:t>
      </w:r>
      <w:r w:rsidR="00E066B3" w:rsidRPr="00CC3404">
        <w:rPr>
          <w:rFonts w:ascii="Times New Roman" w:hAnsi="Times New Roman" w:cs="Times New Roman"/>
        </w:rPr>
        <w:t>partnership</w:t>
      </w:r>
      <w:r w:rsidR="00477C55" w:rsidRPr="00CC3404">
        <w:rPr>
          <w:rFonts w:ascii="Times New Roman" w:hAnsi="Times New Roman" w:cs="Times New Roman"/>
        </w:rPr>
        <w:t xml:space="preserve"> activities</w:t>
      </w:r>
      <w:r w:rsidR="00EE76FB" w:rsidRPr="00CC3404">
        <w:rPr>
          <w:rFonts w:ascii="Times New Roman" w:hAnsi="Times New Roman" w:cs="Times New Roman"/>
        </w:rPr>
        <w:t xml:space="preserve">. </w:t>
      </w:r>
    </w:p>
    <w:p w14:paraId="354541A3" w14:textId="1AD9575D" w:rsidR="00EE76FB" w:rsidRPr="00CC3404" w:rsidRDefault="00CC3404" w:rsidP="00AB64DD">
      <w:pPr>
        <w:spacing w:before="120"/>
        <w:jc w:val="both"/>
        <w:rPr>
          <w:rFonts w:ascii="Times New Roman" w:hAnsi="Times New Roman" w:cs="Times New Roman"/>
        </w:rPr>
      </w:pPr>
      <w:r w:rsidRPr="00CC3404">
        <w:rPr>
          <w:rFonts w:ascii="Times New Roman" w:hAnsi="Times New Roman" w:cs="Times New Roman"/>
        </w:rPr>
        <w:t>76.</w:t>
      </w:r>
      <w:r w:rsidRPr="00CC3404">
        <w:rPr>
          <w:rFonts w:ascii="Times New Roman" w:hAnsi="Times New Roman" w:cs="Times New Roman"/>
        </w:rPr>
        <w:tab/>
      </w:r>
      <w:r w:rsidR="00EE76FB" w:rsidRPr="00CC3404">
        <w:rPr>
          <w:rFonts w:ascii="Times New Roman" w:hAnsi="Times New Roman" w:cs="Times New Roman"/>
        </w:rPr>
        <w:t>The comparative review of UN practice in engaging with non-state actors in section 5 of the report shows that the development of a partnership strategy or a similar guidance document has emerged as a common way of addressing the challenge of benefiting from the advantages of partnerships and related forms of engagements with non-state actors while containing the inherent risks</w:t>
      </w:r>
      <w:r w:rsidR="001D26AC" w:rsidRPr="00CC3404">
        <w:rPr>
          <w:rFonts w:ascii="Times New Roman" w:hAnsi="Times New Roman" w:cs="Times New Roman"/>
        </w:rPr>
        <w:t xml:space="preserve"> of such forms of cooperation</w:t>
      </w:r>
      <w:r w:rsidR="00EE76FB" w:rsidRPr="00CC3404">
        <w:rPr>
          <w:rFonts w:ascii="Times New Roman" w:hAnsi="Times New Roman" w:cs="Times New Roman"/>
        </w:rPr>
        <w:t xml:space="preserve">. This approach could be considered by the COP to the Basel Convention as a means to provide a solid basis for partnership work and to clarify existing uncertainties around the Secretariat’s mandate. </w:t>
      </w:r>
    </w:p>
    <w:p w14:paraId="71617733" w14:textId="47C4F106" w:rsidR="00EE76FB" w:rsidRPr="00CC3404" w:rsidRDefault="00CC3404" w:rsidP="00AB64DD">
      <w:pPr>
        <w:jc w:val="both"/>
        <w:rPr>
          <w:rFonts w:ascii="Times New Roman" w:hAnsi="Times New Roman" w:cs="Times New Roman"/>
        </w:rPr>
      </w:pPr>
      <w:r w:rsidRPr="00CC3404">
        <w:rPr>
          <w:rFonts w:ascii="Times New Roman" w:hAnsi="Times New Roman" w:cs="Times New Roman"/>
        </w:rPr>
        <w:t>77.</w:t>
      </w:r>
      <w:r w:rsidRPr="00CC3404">
        <w:rPr>
          <w:rFonts w:ascii="Times New Roman" w:hAnsi="Times New Roman" w:cs="Times New Roman"/>
        </w:rPr>
        <w:tab/>
      </w:r>
      <w:r w:rsidR="00EE76FB" w:rsidRPr="00CC3404">
        <w:rPr>
          <w:rFonts w:ascii="Times New Roman" w:hAnsi="Times New Roman" w:cs="Times New Roman"/>
        </w:rPr>
        <w:t xml:space="preserve">A partnership strategy for the Basel Convention could thus be developed on the basis of the Partnership Programme, reflecting the universally recognized principles set out in the UN Guidelines and taking into account the experience of other organizations and MEAs where appropriate. Given the Secretariat’s hosting arrangement with UNEP, guidance documents and processes for the establishment of partnerships developed by UNEP seem particularly relevant. </w:t>
      </w:r>
      <w:r w:rsidR="00C8329B" w:rsidRPr="00CC3404">
        <w:rPr>
          <w:rFonts w:ascii="Times New Roman" w:hAnsi="Times New Roman" w:cs="Times New Roman"/>
        </w:rPr>
        <w:t>These could be reviewed and serve as a basis as appropriate to the development of guidance applicable to the Secre</w:t>
      </w:r>
      <w:r w:rsidR="00BC5343">
        <w:rPr>
          <w:rFonts w:ascii="Times New Roman" w:hAnsi="Times New Roman" w:cs="Times New Roman"/>
        </w:rPr>
        <w:t>t</w:t>
      </w:r>
      <w:r w:rsidR="00C8329B" w:rsidRPr="00CC3404">
        <w:rPr>
          <w:rFonts w:ascii="Times New Roman" w:hAnsi="Times New Roman" w:cs="Times New Roman"/>
        </w:rPr>
        <w:t xml:space="preserve">ariat </w:t>
      </w:r>
      <w:r w:rsidR="00EE76FB" w:rsidRPr="00CC3404">
        <w:rPr>
          <w:rStyle w:val="FootnoteReference"/>
          <w:rFonts w:ascii="Times New Roman" w:hAnsi="Times New Roman" w:cs="Times New Roman"/>
        </w:rPr>
        <w:footnoteReference w:id="57"/>
      </w:r>
      <w:r w:rsidR="00AE6BE1" w:rsidRPr="00CC3404">
        <w:rPr>
          <w:rFonts w:ascii="Times New Roman" w:hAnsi="Times New Roman" w:cs="Times New Roman"/>
        </w:rPr>
        <w:t>.</w:t>
      </w:r>
    </w:p>
    <w:p w14:paraId="773615C4" w14:textId="0B7C27DE" w:rsidR="00783BA1" w:rsidRPr="00CC3404" w:rsidRDefault="00CC3404" w:rsidP="00783BA1">
      <w:pPr>
        <w:spacing w:before="120"/>
        <w:jc w:val="both"/>
        <w:rPr>
          <w:rFonts w:ascii="Times New Roman" w:hAnsi="Times New Roman" w:cs="Times New Roman"/>
          <w:bCs/>
          <w:lang w:val="en-US"/>
        </w:rPr>
      </w:pPr>
      <w:r w:rsidRPr="00CC3404">
        <w:rPr>
          <w:rFonts w:ascii="Times New Roman" w:hAnsi="Times New Roman" w:cs="Times New Roman"/>
        </w:rPr>
        <w:t>78.</w:t>
      </w:r>
      <w:r w:rsidRPr="00CC3404">
        <w:rPr>
          <w:rFonts w:ascii="Times New Roman" w:hAnsi="Times New Roman" w:cs="Times New Roman"/>
        </w:rPr>
        <w:tab/>
      </w:r>
      <w:r w:rsidR="00AE6BE1" w:rsidRPr="00CC3404">
        <w:rPr>
          <w:rFonts w:ascii="Times New Roman" w:hAnsi="Times New Roman" w:cs="Times New Roman"/>
        </w:rPr>
        <w:t>T</w:t>
      </w:r>
      <w:r w:rsidR="00783BA1" w:rsidRPr="00CC3404">
        <w:rPr>
          <w:rFonts w:ascii="Times New Roman" w:hAnsi="Times New Roman" w:cs="Times New Roman"/>
        </w:rPr>
        <w:t xml:space="preserve">he strategy </w:t>
      </w:r>
      <w:r w:rsidR="00AE6BE1" w:rsidRPr="00CC3404">
        <w:rPr>
          <w:rFonts w:ascii="Times New Roman" w:hAnsi="Times New Roman" w:cs="Times New Roman"/>
        </w:rPr>
        <w:t xml:space="preserve">could </w:t>
      </w:r>
      <w:r w:rsidR="00783BA1" w:rsidRPr="00CC3404">
        <w:rPr>
          <w:rFonts w:ascii="Times New Roman" w:hAnsi="Times New Roman" w:cs="Times New Roman"/>
        </w:rPr>
        <w:t xml:space="preserve">also </w:t>
      </w:r>
      <w:r w:rsidR="00AE6BE1" w:rsidRPr="00CC3404">
        <w:rPr>
          <w:rFonts w:ascii="Times New Roman" w:hAnsi="Times New Roman" w:cs="Times New Roman"/>
        </w:rPr>
        <w:t xml:space="preserve">extend to </w:t>
      </w:r>
      <w:r w:rsidR="00783BA1" w:rsidRPr="00CC3404">
        <w:rPr>
          <w:rFonts w:ascii="Times New Roman" w:hAnsi="Times New Roman" w:cs="Times New Roman"/>
        </w:rPr>
        <w:t>resource-mobilization</w:t>
      </w:r>
      <w:r w:rsidR="00AE6BE1" w:rsidRPr="00CC3404">
        <w:rPr>
          <w:rFonts w:ascii="Times New Roman" w:hAnsi="Times New Roman" w:cs="Times New Roman"/>
        </w:rPr>
        <w:t>, as fund raising is an activity entrusted to the Secretariat</w:t>
      </w:r>
      <w:r w:rsidR="00783BA1" w:rsidRPr="00CC3404">
        <w:rPr>
          <w:rFonts w:ascii="Times New Roman" w:hAnsi="Times New Roman" w:cs="Times New Roman"/>
        </w:rPr>
        <w:t xml:space="preserve">. </w:t>
      </w:r>
      <w:r w:rsidR="00783BA1" w:rsidRPr="00CC3404">
        <w:rPr>
          <w:rFonts w:ascii="Times New Roman" w:hAnsi="Times New Roman" w:cs="Times New Roman"/>
          <w:bCs/>
          <w:lang w:val="en-US"/>
        </w:rPr>
        <w:t xml:space="preserve">Unlike some partnership frameworks of other UN agencies described in section 5, the Basel Convention approach to partnerships is </w:t>
      </w:r>
      <w:r w:rsidR="009913AD" w:rsidRPr="00CC3404">
        <w:rPr>
          <w:rFonts w:ascii="Times New Roman" w:hAnsi="Times New Roman" w:cs="Times New Roman"/>
          <w:bCs/>
          <w:lang w:val="en-US"/>
        </w:rPr>
        <w:t xml:space="preserve">currently </w:t>
      </w:r>
      <w:r w:rsidR="00783BA1" w:rsidRPr="00CC3404">
        <w:rPr>
          <w:rFonts w:ascii="Times New Roman" w:hAnsi="Times New Roman" w:cs="Times New Roman"/>
          <w:bCs/>
          <w:lang w:val="en-US"/>
        </w:rPr>
        <w:t xml:space="preserve">limited to programmatic activities, to the exclusion of </w:t>
      </w:r>
      <w:r w:rsidR="00783BA1" w:rsidRPr="00CC3404">
        <w:rPr>
          <w:rFonts w:ascii="Times New Roman" w:hAnsi="Times New Roman" w:cs="Times New Roman"/>
        </w:rPr>
        <w:t>arrangements established with the sole purpose of receiving funding from non</w:t>
      </w:r>
      <w:r w:rsidR="00783BA1" w:rsidRPr="00CC3404">
        <w:rPr>
          <w:rFonts w:ascii="Times New Roman" w:hAnsi="Times New Roman" w:cs="Times New Roman"/>
          <w:lang w:val="en-US"/>
        </w:rPr>
        <w:t>-</w:t>
      </w:r>
      <w:r w:rsidR="009913AD" w:rsidRPr="00CC3404">
        <w:rPr>
          <w:rFonts w:ascii="Times New Roman" w:hAnsi="Times New Roman" w:cs="Times New Roman"/>
        </w:rPr>
        <w:t>s</w:t>
      </w:r>
      <w:r w:rsidR="00783BA1" w:rsidRPr="00CC3404">
        <w:rPr>
          <w:rFonts w:ascii="Times New Roman" w:hAnsi="Times New Roman" w:cs="Times New Roman"/>
        </w:rPr>
        <w:t>tate stakeholders (resource mobilization)</w:t>
      </w:r>
      <w:r w:rsidR="00783BA1" w:rsidRPr="00CC3404">
        <w:rPr>
          <w:rFonts w:ascii="Times New Roman" w:hAnsi="Times New Roman" w:cs="Times New Roman"/>
          <w:bCs/>
          <w:lang w:val="en-US"/>
        </w:rPr>
        <w:t xml:space="preserve">. This focus on programmatic cooperation is also reflected in the </w:t>
      </w:r>
      <w:r w:rsidR="00783BA1" w:rsidRPr="00CC3404">
        <w:rPr>
          <w:rFonts w:ascii="Times New Roman" w:hAnsi="Times New Roman" w:cs="Times New Roman"/>
          <w:bCs/>
          <w:lang w:val="en-US"/>
        </w:rPr>
        <w:lastRenderedPageBreak/>
        <w:t xml:space="preserve">mandate for this report set out in decision OEWG-11/13. Yet, in practice, the mobilization of </w:t>
      </w:r>
      <w:r w:rsidR="00AE6BE1" w:rsidRPr="00CC3404">
        <w:rPr>
          <w:rFonts w:ascii="Times New Roman" w:hAnsi="Times New Roman" w:cs="Times New Roman"/>
          <w:bCs/>
          <w:lang w:val="en-US"/>
        </w:rPr>
        <w:t xml:space="preserve">financial </w:t>
      </w:r>
      <w:r w:rsidR="00783BA1" w:rsidRPr="00CC3404">
        <w:rPr>
          <w:rFonts w:ascii="Times New Roman" w:hAnsi="Times New Roman" w:cs="Times New Roman"/>
          <w:bCs/>
          <w:lang w:val="en-US"/>
        </w:rPr>
        <w:t xml:space="preserve">resources from </w:t>
      </w:r>
      <w:r w:rsidR="00783BA1" w:rsidRPr="00CC3404">
        <w:rPr>
          <w:rFonts w:ascii="Times New Roman" w:hAnsi="Times New Roman" w:cs="Times New Roman"/>
        </w:rPr>
        <w:t>non</w:t>
      </w:r>
      <w:r w:rsidR="00783BA1" w:rsidRPr="00CC3404">
        <w:rPr>
          <w:rFonts w:ascii="Times New Roman" w:hAnsi="Times New Roman" w:cs="Times New Roman"/>
          <w:lang w:val="en-US"/>
        </w:rPr>
        <w:t>-</w:t>
      </w:r>
      <w:r w:rsidR="009913AD" w:rsidRPr="00CC3404">
        <w:rPr>
          <w:rFonts w:ascii="Times New Roman" w:hAnsi="Times New Roman" w:cs="Times New Roman"/>
        </w:rPr>
        <w:t>s</w:t>
      </w:r>
      <w:r w:rsidR="00783BA1" w:rsidRPr="00CC3404">
        <w:rPr>
          <w:rFonts w:ascii="Times New Roman" w:hAnsi="Times New Roman" w:cs="Times New Roman"/>
        </w:rPr>
        <w:t>tate</w:t>
      </w:r>
      <w:r w:rsidR="00783BA1" w:rsidRPr="00CC3404">
        <w:rPr>
          <w:rFonts w:ascii="Times New Roman" w:hAnsi="Times New Roman" w:cs="Times New Roman"/>
          <w:bCs/>
          <w:lang w:val="en-US"/>
        </w:rPr>
        <w:t xml:space="preserve"> stakeholders </w:t>
      </w:r>
      <w:r w:rsidR="00AE6BE1" w:rsidRPr="00CC3404">
        <w:rPr>
          <w:rFonts w:ascii="Times New Roman" w:hAnsi="Times New Roman" w:cs="Times New Roman"/>
          <w:bCs/>
          <w:lang w:val="en-US"/>
        </w:rPr>
        <w:t xml:space="preserve">to the Basel Convention trust fund </w:t>
      </w:r>
      <w:r w:rsidR="00783BA1" w:rsidRPr="00CC3404">
        <w:rPr>
          <w:rFonts w:ascii="Times New Roman" w:hAnsi="Times New Roman" w:cs="Times New Roman"/>
          <w:bCs/>
          <w:lang w:val="en-US"/>
        </w:rPr>
        <w:t xml:space="preserve">may have benefits and involves similar risks to the ones that exist for programmatic cooperation. Moreover, certain risks might, in a specific case, only materialize because of the combination of programmatic cooperation and the transfer of funds to the Secretariat. </w:t>
      </w:r>
      <w:r w:rsidRPr="00CC3404">
        <w:rPr>
          <w:rFonts w:ascii="Times New Roman" w:hAnsi="Times New Roman" w:cs="Times New Roman"/>
          <w:bCs/>
          <w:lang w:val="en-US"/>
        </w:rPr>
        <w:t>It is therefore recommended that the COP consider extending the scope of the strategy to resource mobilization activities.</w:t>
      </w:r>
    </w:p>
    <w:p w14:paraId="4326C488" w14:textId="78F890B8" w:rsidR="00EE76FB" w:rsidRPr="00CC3404" w:rsidRDefault="00CC3404" w:rsidP="00AB64DD">
      <w:pPr>
        <w:jc w:val="both"/>
        <w:rPr>
          <w:rFonts w:ascii="Times New Roman" w:hAnsi="Times New Roman" w:cs="Times New Roman"/>
        </w:rPr>
      </w:pPr>
      <w:r w:rsidRPr="00CC3404">
        <w:rPr>
          <w:rFonts w:ascii="Times New Roman" w:hAnsi="Times New Roman" w:cs="Times New Roman"/>
        </w:rPr>
        <w:t>79.</w:t>
      </w:r>
      <w:r w:rsidRPr="00CC3404">
        <w:rPr>
          <w:rFonts w:ascii="Times New Roman" w:hAnsi="Times New Roman" w:cs="Times New Roman"/>
        </w:rPr>
        <w:tab/>
      </w:r>
      <w:r w:rsidR="00EE76FB" w:rsidRPr="00CC3404">
        <w:rPr>
          <w:rFonts w:ascii="Times New Roman" w:hAnsi="Times New Roman" w:cs="Times New Roman"/>
        </w:rPr>
        <w:t xml:space="preserve">Elements of a partnership strategy could include the following: </w:t>
      </w:r>
    </w:p>
    <w:p w14:paraId="3804FB9B" w14:textId="695F47D9" w:rsidR="00AE6BE1" w:rsidRPr="00CC3404" w:rsidRDefault="00AE6BE1" w:rsidP="00AE6BE1">
      <w:pPr>
        <w:pStyle w:val="ListParagraph"/>
        <w:numPr>
          <w:ilvl w:val="0"/>
          <w:numId w:val="13"/>
        </w:numPr>
        <w:spacing w:before="120"/>
        <w:jc w:val="both"/>
        <w:rPr>
          <w:rFonts w:ascii="Times New Roman" w:hAnsi="Times New Roman" w:cs="Times New Roman"/>
        </w:rPr>
      </w:pPr>
      <w:r w:rsidRPr="00CC3404">
        <w:rPr>
          <w:rFonts w:ascii="Times New Roman" w:hAnsi="Times New Roman" w:cs="Times New Roman"/>
        </w:rPr>
        <w:t>The nature of the activities of the work programme that could be undertaken by the Secretariat through “partnerships” with non</w:t>
      </w:r>
      <w:r w:rsidRPr="00CC3404">
        <w:rPr>
          <w:rFonts w:ascii="Times New Roman" w:hAnsi="Times New Roman" w:cs="Times New Roman"/>
          <w:lang w:val="en-US"/>
        </w:rPr>
        <w:t>-</w:t>
      </w:r>
      <w:r w:rsidRPr="00CC3404">
        <w:rPr>
          <w:rFonts w:ascii="Times New Roman" w:hAnsi="Times New Roman" w:cs="Times New Roman"/>
        </w:rPr>
        <w:t>State stakeholders (e</w:t>
      </w:r>
      <w:r w:rsidR="00FE2423">
        <w:rPr>
          <w:rFonts w:ascii="Times New Roman" w:hAnsi="Times New Roman" w:cs="Times New Roman"/>
        </w:rPr>
        <w:t>.</w:t>
      </w:r>
      <w:r w:rsidRPr="00CC3404">
        <w:rPr>
          <w:rFonts w:ascii="Times New Roman" w:hAnsi="Times New Roman" w:cs="Times New Roman"/>
        </w:rPr>
        <w:t>g.</w:t>
      </w:r>
      <w:r w:rsidR="00FE2423">
        <w:rPr>
          <w:rFonts w:ascii="Times New Roman" w:hAnsi="Times New Roman" w:cs="Times New Roman"/>
        </w:rPr>
        <w:t>,</w:t>
      </w:r>
      <w:r w:rsidRPr="00CC3404">
        <w:rPr>
          <w:rFonts w:ascii="Times New Roman" w:hAnsi="Times New Roman" w:cs="Times New Roman"/>
        </w:rPr>
        <w:t xml:space="preserve"> technical assistance, public awareness, </w:t>
      </w:r>
      <w:r w:rsidR="00CC3404" w:rsidRPr="00CC3404">
        <w:rPr>
          <w:rFonts w:ascii="Times New Roman" w:hAnsi="Times New Roman" w:cs="Times New Roman"/>
        </w:rPr>
        <w:t>resource mobilization</w:t>
      </w:r>
      <w:r w:rsidRPr="00CC3404">
        <w:rPr>
          <w:rFonts w:ascii="Times New Roman" w:hAnsi="Times New Roman" w:cs="Times New Roman"/>
          <w:lang w:val="en-US"/>
        </w:rPr>
        <w:t>)</w:t>
      </w:r>
      <w:r w:rsidR="00921AEA">
        <w:rPr>
          <w:rFonts w:ascii="Times New Roman" w:hAnsi="Times New Roman" w:cs="Times New Roman"/>
          <w:lang w:val="en-US"/>
        </w:rPr>
        <w:t>;</w:t>
      </w:r>
    </w:p>
    <w:p w14:paraId="32354BB1" w14:textId="3922B0D4" w:rsidR="00AE6BE1" w:rsidRPr="00CC3404" w:rsidRDefault="00AE6BE1" w:rsidP="00AE6BE1">
      <w:pPr>
        <w:pStyle w:val="ListParagraph"/>
        <w:numPr>
          <w:ilvl w:val="0"/>
          <w:numId w:val="13"/>
        </w:numPr>
        <w:jc w:val="both"/>
        <w:rPr>
          <w:rFonts w:ascii="Times New Roman" w:hAnsi="Times New Roman" w:cs="Times New Roman"/>
        </w:rPr>
      </w:pPr>
      <w:r w:rsidRPr="00CC3404">
        <w:rPr>
          <w:rFonts w:ascii="Times New Roman" w:hAnsi="Times New Roman" w:cs="Times New Roman"/>
        </w:rPr>
        <w:t>The criteria for selecting the partner/s and whether it can be any stakeholder or only bodies or agencies with an observer status under the Convention (i.e. for which the COP has determined that they are qualified in fields relating to the transboundary movements of hazardous wastes as well as their management and disposal, as per rule 7 of the rules of procedure)</w:t>
      </w:r>
      <w:r w:rsidR="00921AEA">
        <w:rPr>
          <w:rFonts w:ascii="Times New Roman" w:hAnsi="Times New Roman" w:cs="Times New Roman"/>
        </w:rPr>
        <w:t>;</w:t>
      </w:r>
    </w:p>
    <w:p w14:paraId="41A58BBC" w14:textId="13955767" w:rsidR="00AE6BE1" w:rsidRPr="00CC3404" w:rsidRDefault="00AE6BE1" w:rsidP="00AE6BE1">
      <w:pPr>
        <w:pStyle w:val="ListParagraph"/>
        <w:numPr>
          <w:ilvl w:val="0"/>
          <w:numId w:val="13"/>
        </w:numPr>
        <w:spacing w:before="120"/>
        <w:jc w:val="both"/>
        <w:rPr>
          <w:rFonts w:ascii="Times New Roman" w:hAnsi="Times New Roman" w:cs="Times New Roman"/>
        </w:rPr>
      </w:pPr>
      <w:r w:rsidRPr="00CC3404">
        <w:rPr>
          <w:rFonts w:ascii="Times New Roman" w:hAnsi="Times New Roman" w:cs="Times New Roman"/>
        </w:rPr>
        <w:t>The criteria for assessing the risks involved in a specific partnership (e</w:t>
      </w:r>
      <w:r w:rsidR="00921AEA">
        <w:rPr>
          <w:rFonts w:ascii="Times New Roman" w:hAnsi="Times New Roman" w:cs="Times New Roman"/>
        </w:rPr>
        <w:t>.</w:t>
      </w:r>
      <w:r w:rsidRPr="00CC3404">
        <w:rPr>
          <w:rFonts w:ascii="Times New Roman" w:hAnsi="Times New Roman" w:cs="Times New Roman"/>
        </w:rPr>
        <w:t>g.</w:t>
      </w:r>
      <w:r w:rsidR="00921AEA">
        <w:rPr>
          <w:rFonts w:ascii="Times New Roman" w:hAnsi="Times New Roman" w:cs="Times New Roman"/>
        </w:rPr>
        <w:t>,</w:t>
      </w:r>
      <w:r w:rsidRPr="00CC3404">
        <w:rPr>
          <w:rFonts w:ascii="Times New Roman" w:hAnsi="Times New Roman" w:cs="Times New Roman"/>
        </w:rPr>
        <w:t xml:space="preserve"> loss of the Secretariat’s neutrality, influence of the partner on decision-making, possible competitive advantage of the selected partner, etc</w:t>
      </w:r>
      <w:r w:rsidR="00921AEA">
        <w:rPr>
          <w:rFonts w:ascii="Times New Roman" w:hAnsi="Times New Roman" w:cs="Times New Roman"/>
        </w:rPr>
        <w:t>.</w:t>
      </w:r>
      <w:r w:rsidRPr="00CC3404">
        <w:rPr>
          <w:rFonts w:ascii="Times New Roman" w:hAnsi="Times New Roman" w:cs="Times New Roman"/>
        </w:rPr>
        <w:t>) and appropriate measures to address those risks (e.g., due diligence assessment; risk mitigation plans, etc.)</w:t>
      </w:r>
    </w:p>
    <w:p w14:paraId="0DE3D080" w14:textId="5C945F81" w:rsidR="00EE76FB" w:rsidRPr="00CC3404" w:rsidRDefault="00AE6BE1" w:rsidP="00AE6BE1">
      <w:pPr>
        <w:pStyle w:val="ListParagraph"/>
        <w:numPr>
          <w:ilvl w:val="0"/>
          <w:numId w:val="13"/>
        </w:numPr>
        <w:jc w:val="both"/>
        <w:rPr>
          <w:rFonts w:ascii="Times New Roman" w:hAnsi="Times New Roman" w:cs="Times New Roman"/>
        </w:rPr>
      </w:pPr>
      <w:r w:rsidRPr="00CC3404">
        <w:rPr>
          <w:rFonts w:ascii="Times New Roman" w:hAnsi="Times New Roman" w:cs="Times New Roman"/>
        </w:rPr>
        <w:t xml:space="preserve">Measures to avoid the possible competition between the </w:t>
      </w:r>
      <w:r w:rsidRPr="00CC3404">
        <w:rPr>
          <w:rFonts w:ascii="Times New Roman" w:hAnsi="Times New Roman" w:cs="Times New Roman"/>
          <w:lang w:val="en-US"/>
        </w:rPr>
        <w:t xml:space="preserve">activities of the </w:t>
      </w:r>
      <w:r w:rsidRPr="00CC3404">
        <w:rPr>
          <w:rFonts w:ascii="Times New Roman" w:hAnsi="Times New Roman" w:cs="Times New Roman"/>
        </w:rPr>
        <w:t>“partnership” and relevant work under the Convention</w:t>
      </w:r>
      <w:r w:rsidR="00EE76FB" w:rsidRPr="00CC3404">
        <w:rPr>
          <w:rFonts w:ascii="Times New Roman" w:hAnsi="Times New Roman" w:cs="Times New Roman"/>
        </w:rPr>
        <w:t xml:space="preserve"> </w:t>
      </w:r>
    </w:p>
    <w:p w14:paraId="0B363840" w14:textId="179F41DD" w:rsidR="00783BA1" w:rsidRPr="00CC3404" w:rsidRDefault="00CC3404" w:rsidP="00783BA1">
      <w:pPr>
        <w:jc w:val="both"/>
        <w:rPr>
          <w:rFonts w:ascii="Times New Roman" w:hAnsi="Times New Roman" w:cs="Times New Roman"/>
          <w:bCs/>
          <w:lang w:val="en-US"/>
        </w:rPr>
      </w:pPr>
      <w:r w:rsidRPr="00CC3404">
        <w:rPr>
          <w:rFonts w:ascii="Times New Roman" w:hAnsi="Times New Roman" w:cs="Times New Roman"/>
        </w:rPr>
        <w:t>80.</w:t>
      </w:r>
      <w:r w:rsidRPr="00CC3404">
        <w:rPr>
          <w:rFonts w:ascii="Times New Roman" w:hAnsi="Times New Roman" w:cs="Times New Roman"/>
        </w:rPr>
        <w:tab/>
      </w:r>
      <w:r w:rsidR="00F74B1D" w:rsidRPr="00CC3404">
        <w:rPr>
          <w:rFonts w:ascii="Times New Roman" w:hAnsi="Times New Roman" w:cs="Times New Roman"/>
        </w:rPr>
        <w:t>It is therefore recommended that the Conference of the Parties consider requesting the Secretariat to develop, for the consideration of the OEWG</w:t>
      </w:r>
      <w:r w:rsidR="00F74B1D" w:rsidRPr="00CC3404">
        <w:rPr>
          <w:rFonts w:ascii="Times New Roman" w:hAnsi="Times New Roman" w:cs="Times New Roman"/>
          <w:lang w:val="en-US"/>
        </w:rPr>
        <w:t>-</w:t>
      </w:r>
      <w:r w:rsidR="00F74B1D" w:rsidRPr="00CC3404">
        <w:rPr>
          <w:rFonts w:ascii="Times New Roman" w:hAnsi="Times New Roman" w:cs="Times New Roman"/>
        </w:rPr>
        <w:t xml:space="preserve">12 and subsequently for the consideration and possible adoption by COP-15, a draft partnership strategy, taking into account as appropriate existing relevant policies and strategies under the UN, UNEP and </w:t>
      </w:r>
      <w:proofErr w:type="spellStart"/>
      <w:r w:rsidR="00F74B1D" w:rsidRPr="00CC3404">
        <w:rPr>
          <w:rFonts w:ascii="Times New Roman" w:hAnsi="Times New Roman" w:cs="Times New Roman"/>
        </w:rPr>
        <w:t>MEAs.</w:t>
      </w:r>
      <w:proofErr w:type="spellEnd"/>
    </w:p>
    <w:p w14:paraId="02A88DC4" w14:textId="7192DEAB" w:rsidR="00EE76FB" w:rsidRPr="00CC3404" w:rsidRDefault="00CC3404" w:rsidP="00AB64DD">
      <w:pPr>
        <w:jc w:val="both"/>
        <w:rPr>
          <w:rFonts w:ascii="Times New Roman" w:hAnsi="Times New Roman" w:cs="Times New Roman"/>
        </w:rPr>
      </w:pPr>
      <w:r w:rsidRPr="00CC3404">
        <w:rPr>
          <w:rFonts w:ascii="Times New Roman" w:hAnsi="Times New Roman" w:cs="Times New Roman"/>
        </w:rPr>
        <w:t>81.</w:t>
      </w:r>
      <w:r w:rsidRPr="00CC3404">
        <w:rPr>
          <w:rFonts w:ascii="Times New Roman" w:hAnsi="Times New Roman" w:cs="Times New Roman"/>
        </w:rPr>
        <w:tab/>
      </w:r>
      <w:r w:rsidR="00F74B1D" w:rsidRPr="00CC3404">
        <w:rPr>
          <w:rFonts w:ascii="Times New Roman" w:hAnsi="Times New Roman" w:cs="Times New Roman"/>
        </w:rPr>
        <w:t>Moreover, b</w:t>
      </w:r>
      <w:r w:rsidR="00EE76FB" w:rsidRPr="00CC3404">
        <w:rPr>
          <w:rFonts w:ascii="Times New Roman" w:hAnsi="Times New Roman" w:cs="Times New Roman"/>
        </w:rPr>
        <w:t xml:space="preserve">ecause of the Secretariat’s working modalities, which are based on a matrix structure that serves the Basel, Rotterdam and Stockholm conventions, any such strategy would </w:t>
      </w:r>
      <w:r w:rsidR="00F74B1D" w:rsidRPr="00CC3404">
        <w:rPr>
          <w:rFonts w:ascii="Times New Roman" w:hAnsi="Times New Roman" w:cs="Times New Roman"/>
        </w:rPr>
        <w:t xml:space="preserve">benefit from </w:t>
      </w:r>
      <w:r w:rsidR="00EE76FB" w:rsidRPr="00CC3404">
        <w:rPr>
          <w:rFonts w:ascii="Times New Roman" w:hAnsi="Times New Roman" w:cs="Times New Roman"/>
        </w:rPr>
        <w:t>cover</w:t>
      </w:r>
      <w:r w:rsidR="00F74B1D" w:rsidRPr="00CC3404">
        <w:rPr>
          <w:rFonts w:ascii="Times New Roman" w:hAnsi="Times New Roman" w:cs="Times New Roman"/>
        </w:rPr>
        <w:t>ing activities of the Secretariats</w:t>
      </w:r>
      <w:r w:rsidR="00EE76FB" w:rsidRPr="00CC3404">
        <w:rPr>
          <w:rFonts w:ascii="Times New Roman" w:hAnsi="Times New Roman" w:cs="Times New Roman"/>
        </w:rPr>
        <w:t xml:space="preserve"> </w:t>
      </w:r>
      <w:r w:rsidR="00F74B1D" w:rsidRPr="00CC3404">
        <w:rPr>
          <w:rFonts w:ascii="Times New Roman" w:hAnsi="Times New Roman" w:cs="Times New Roman"/>
        </w:rPr>
        <w:t xml:space="preserve">under </w:t>
      </w:r>
      <w:r w:rsidR="00EE76FB" w:rsidRPr="00CC3404">
        <w:rPr>
          <w:rFonts w:ascii="Times New Roman" w:hAnsi="Times New Roman" w:cs="Times New Roman"/>
        </w:rPr>
        <w:t xml:space="preserve">all three conventions. </w:t>
      </w:r>
      <w:r w:rsidR="00F74B1D" w:rsidRPr="00CC3404">
        <w:rPr>
          <w:rFonts w:ascii="Times New Roman" w:hAnsi="Times New Roman" w:cs="Times New Roman"/>
        </w:rPr>
        <w:t xml:space="preserve">It is therefore recommended that the </w:t>
      </w:r>
      <w:r w:rsidR="00F74B1D" w:rsidRPr="00CC3404">
        <w:rPr>
          <w:rFonts w:ascii="Times New Roman" w:hAnsi="Times New Roman" w:cs="Times New Roman"/>
          <w:bCs/>
        </w:rPr>
        <w:t>Conference of the Parties consider inviting the Conferences of the Parties to the Rotterdam and Stockholm conventions to also consider requesting the same from the Secretariat, also taking into account relevant FAO policies and strategies</w:t>
      </w:r>
      <w:r w:rsidR="00EE76FB" w:rsidRPr="00CC3404">
        <w:rPr>
          <w:rFonts w:ascii="Times New Roman" w:hAnsi="Times New Roman" w:cs="Times New Roman"/>
        </w:rPr>
        <w:t>.</w:t>
      </w:r>
    </w:p>
    <w:p w14:paraId="4B7B1490" w14:textId="4028156B" w:rsidR="00EE76FB" w:rsidRPr="00CC3404" w:rsidRDefault="00EE76FB" w:rsidP="00AB64DD">
      <w:pPr>
        <w:jc w:val="both"/>
        <w:rPr>
          <w:rFonts w:ascii="Times New Roman" w:hAnsi="Times New Roman" w:cs="Times New Roman"/>
          <w:bCs/>
          <w:lang w:val="en-US"/>
        </w:rPr>
      </w:pPr>
    </w:p>
    <w:sectPr w:rsidR="00EE76FB" w:rsidRPr="00CC340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50635" w14:textId="77777777" w:rsidR="003B5836" w:rsidRDefault="003B5836" w:rsidP="005F44BC">
      <w:pPr>
        <w:spacing w:after="0" w:line="240" w:lineRule="auto"/>
      </w:pPr>
      <w:r>
        <w:separator/>
      </w:r>
    </w:p>
  </w:endnote>
  <w:endnote w:type="continuationSeparator" w:id="0">
    <w:p w14:paraId="4A95038C" w14:textId="77777777" w:rsidR="003B5836" w:rsidRDefault="003B5836" w:rsidP="005F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Klinic Slab Book">
    <w:altName w:val="Cambria"/>
    <w:panose1 w:val="00000000000000000000"/>
    <w:charset w:val="00"/>
    <w:family w:val="roman"/>
    <w:notTrueType/>
    <w:pitch w:val="default"/>
    <w:sig w:usb0="00000003" w:usb1="00000000" w:usb2="00000000" w:usb3="00000000" w:csb0="00000001" w:csb1="00000000"/>
  </w:font>
  <w:font w:name="Eurostil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526343"/>
      <w:docPartObj>
        <w:docPartGallery w:val="Page Numbers (Bottom of Page)"/>
        <w:docPartUnique/>
      </w:docPartObj>
    </w:sdtPr>
    <w:sdtEndPr>
      <w:rPr>
        <w:noProof/>
      </w:rPr>
    </w:sdtEndPr>
    <w:sdtContent>
      <w:p w14:paraId="15E251A5" w14:textId="735720DA" w:rsidR="005F46B6" w:rsidRDefault="005F46B6">
        <w:pPr>
          <w:pStyle w:val="Footer"/>
          <w:jc w:val="right"/>
        </w:pPr>
        <w:r>
          <w:fldChar w:fldCharType="begin"/>
        </w:r>
        <w:r>
          <w:instrText xml:space="preserve"> PAGE   \* MERGEFORMAT </w:instrText>
        </w:r>
        <w:r>
          <w:fldChar w:fldCharType="separate"/>
        </w:r>
        <w:r w:rsidR="006C63D6">
          <w:rPr>
            <w:noProof/>
          </w:rPr>
          <w:t>20</w:t>
        </w:r>
        <w:r>
          <w:rPr>
            <w:noProof/>
          </w:rPr>
          <w:fldChar w:fldCharType="end"/>
        </w:r>
      </w:p>
    </w:sdtContent>
  </w:sdt>
  <w:p w14:paraId="2D541529" w14:textId="77777777" w:rsidR="005F46B6" w:rsidRDefault="005F4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C0AA6" w14:textId="77777777" w:rsidR="003B5836" w:rsidRDefault="003B5836" w:rsidP="005F44BC">
      <w:pPr>
        <w:spacing w:after="0" w:line="240" w:lineRule="auto"/>
      </w:pPr>
      <w:r>
        <w:separator/>
      </w:r>
    </w:p>
  </w:footnote>
  <w:footnote w:type="continuationSeparator" w:id="0">
    <w:p w14:paraId="0D1C255E" w14:textId="77777777" w:rsidR="003B5836" w:rsidRDefault="003B5836" w:rsidP="005F44BC">
      <w:pPr>
        <w:spacing w:after="0" w:line="240" w:lineRule="auto"/>
      </w:pPr>
      <w:r>
        <w:continuationSeparator/>
      </w:r>
    </w:p>
  </w:footnote>
  <w:footnote w:id="1">
    <w:p w14:paraId="7BB7690A" w14:textId="01980608" w:rsidR="005F46B6" w:rsidRPr="00547F77" w:rsidRDefault="005F46B6" w:rsidP="005F44BC">
      <w:pPr>
        <w:pStyle w:val="FootnoteText"/>
        <w:rPr>
          <w:rFonts w:asciiTheme="majorBidi" w:hAnsiTheme="majorBidi" w:cstheme="majorBidi"/>
          <w:sz w:val="18"/>
          <w:szCs w:val="18"/>
          <w:lang w:val="en-US"/>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lang w:val="en-US"/>
        </w:rPr>
        <w:t xml:space="preserve"> COP Decision BC-V/13; Basel Declaration on Environmentally Sound Management, Document UNEP/CHW.5/29, Annex II.</w:t>
      </w:r>
    </w:p>
  </w:footnote>
  <w:footnote w:id="2">
    <w:p w14:paraId="46459CF8" w14:textId="77777777" w:rsidR="005F46B6" w:rsidRPr="00547F77" w:rsidRDefault="005F46B6" w:rsidP="005F44BC">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COP Decision BC-VI/32, 2002.</w:t>
      </w:r>
    </w:p>
  </w:footnote>
  <w:footnote w:id="3">
    <w:p w14:paraId="77A3A524" w14:textId="77777777" w:rsidR="005F46B6" w:rsidRPr="00547F77" w:rsidRDefault="005F46B6" w:rsidP="005F44BC">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Decisions OEWG-I/6, OEWG-II/9 and OEWG-III/2. </w:t>
      </w:r>
    </w:p>
  </w:footnote>
  <w:footnote w:id="4">
    <w:p w14:paraId="483A27CB" w14:textId="761845DF" w:rsidR="005F46B6" w:rsidRPr="00547F77" w:rsidRDefault="005F46B6" w:rsidP="002F4A01">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COP Decision BC-VII/3, 2004. </w:t>
      </w:r>
    </w:p>
  </w:footnote>
  <w:footnote w:id="5">
    <w:p w14:paraId="7AC915E2" w14:textId="77777777" w:rsidR="005F46B6" w:rsidRPr="00547F77" w:rsidRDefault="005F46B6" w:rsidP="001548A6">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Ministerial statement on partnerships for meeting the global waste challenge, Document UNEP/CHW.7/33, Annex IV, 2004; Nairobi Declaration on the environmentally sound management of electrical and electronic waste, Document UNEP/CHW.8/16, Annex IV, 2006.</w:t>
      </w:r>
    </w:p>
  </w:footnote>
  <w:footnote w:id="6">
    <w:p w14:paraId="2FC9A332" w14:textId="159FC564" w:rsidR="005F46B6" w:rsidRPr="00547F77" w:rsidRDefault="005F46B6" w:rsidP="00213F70">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www.basel.int/Implementation/TechnicalAssistance/Partnerships/tabid/3235/Default.aspx</w:t>
      </w:r>
    </w:p>
  </w:footnote>
  <w:footnote w:id="7">
    <w:p w14:paraId="17CD8CA3" w14:textId="3020C5DC" w:rsidR="005F46B6" w:rsidRPr="00547F77" w:rsidRDefault="005F46B6">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See Documents CHW.8/2/Add.2; CHW.9/10; CHW.9/INF/14/Rev.1.</w:t>
      </w:r>
    </w:p>
  </w:footnote>
  <w:footnote w:id="8">
    <w:p w14:paraId="0FD62F75" w14:textId="77777777" w:rsidR="005F46B6" w:rsidRPr="00547F77" w:rsidRDefault="005F46B6" w:rsidP="004E5891">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See </w:t>
      </w:r>
      <w:hyperlink r:id="rId1" w:history="1">
        <w:r w:rsidRPr="00547F77">
          <w:rPr>
            <w:rStyle w:val="Hyperlink"/>
            <w:rFonts w:asciiTheme="majorBidi" w:hAnsiTheme="majorBidi" w:cstheme="majorBidi"/>
            <w:color w:val="auto"/>
            <w:sz w:val="18"/>
            <w:szCs w:val="18"/>
            <w:u w:val="none"/>
          </w:rPr>
          <w:t>http://www.basel.int/Implementation/TechnicalAssistance/Partnerships/tabid/3235/Default.aspx</w:t>
        </w:r>
      </w:hyperlink>
      <w:r w:rsidRPr="00547F77">
        <w:rPr>
          <w:rFonts w:asciiTheme="majorBidi" w:hAnsiTheme="majorBidi" w:cstheme="majorBidi"/>
          <w:sz w:val="18"/>
          <w:szCs w:val="18"/>
        </w:rPr>
        <w:t>;  Decision BC-10/19, Document UNEP/CHW/OEWG.11/11.</w:t>
      </w:r>
    </w:p>
  </w:footnote>
  <w:footnote w:id="9">
    <w:p w14:paraId="3BE16BE5" w14:textId="0C69B7C1" w:rsidR="005F46B6" w:rsidRPr="00547F77" w:rsidRDefault="005F46B6" w:rsidP="00F17F8B">
      <w:pPr>
        <w:pStyle w:val="Header"/>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Style w:val="FootnoteReference"/>
          <w:rFonts w:asciiTheme="majorBidi" w:hAnsiTheme="majorBidi" w:cstheme="majorBidi"/>
          <w:sz w:val="18"/>
          <w:szCs w:val="18"/>
        </w:rPr>
        <w:t xml:space="preserve"> </w:t>
      </w:r>
      <w:r w:rsidRPr="00547F77">
        <w:rPr>
          <w:rFonts w:asciiTheme="majorBidi" w:hAnsiTheme="majorBidi" w:cstheme="majorBidi"/>
          <w:sz w:val="18"/>
          <w:szCs w:val="18"/>
        </w:rPr>
        <w:t>See Document UNEP/CHW.13/INF/36-UNEP/FAO/RC/COP.8/INF/26-UNEP/POPS/COP.8/INF/25, para. 21; UNEP/CHW.13/17</w:t>
      </w:r>
      <w:r w:rsidRPr="00547F77">
        <w:rPr>
          <w:rStyle w:val="tgc"/>
          <w:rFonts w:asciiTheme="majorBidi" w:hAnsiTheme="majorBidi" w:cstheme="majorBidi"/>
          <w:sz w:val="18"/>
          <w:szCs w:val="18"/>
        </w:rPr>
        <w:t>–</w:t>
      </w:r>
      <w:r w:rsidRPr="00547F77">
        <w:rPr>
          <w:rFonts w:asciiTheme="majorBidi" w:hAnsiTheme="majorBidi" w:cstheme="majorBidi"/>
          <w:sz w:val="18"/>
          <w:szCs w:val="18"/>
        </w:rPr>
        <w:t>UNEP/FAO/RC/COP.8/17</w:t>
      </w:r>
      <w:r w:rsidRPr="00547F77">
        <w:rPr>
          <w:rStyle w:val="tgc"/>
          <w:rFonts w:asciiTheme="majorBidi" w:hAnsiTheme="majorBidi" w:cstheme="majorBidi"/>
          <w:sz w:val="18"/>
          <w:szCs w:val="18"/>
        </w:rPr>
        <w:t>–</w:t>
      </w:r>
      <w:r w:rsidRPr="00547F77">
        <w:rPr>
          <w:rFonts w:asciiTheme="majorBidi" w:hAnsiTheme="majorBidi" w:cstheme="majorBidi"/>
          <w:sz w:val="18"/>
          <w:szCs w:val="18"/>
        </w:rPr>
        <w:t>UNEP/POPS/COP.8/17, para. 12.</w:t>
      </w:r>
    </w:p>
    <w:p w14:paraId="28AFF833" w14:textId="63C86217" w:rsidR="005F46B6" w:rsidRPr="00547F77" w:rsidRDefault="005F46B6" w:rsidP="00F34F61">
      <w:pPr>
        <w:pStyle w:val="FootnoteText"/>
        <w:rPr>
          <w:rFonts w:asciiTheme="majorBidi" w:hAnsiTheme="majorBidi" w:cstheme="majorBidi"/>
          <w:sz w:val="18"/>
          <w:szCs w:val="18"/>
        </w:rPr>
      </w:pPr>
    </w:p>
  </w:footnote>
  <w:footnote w:id="10">
    <w:p w14:paraId="199AF251" w14:textId="5E518DC1" w:rsidR="005F46B6" w:rsidRPr="00547F77" w:rsidRDefault="005F46B6">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Decisions BC-VIII/2, BC-12/13 and BC-13/14</w:t>
      </w:r>
    </w:p>
  </w:footnote>
  <w:footnote w:id="11">
    <w:p w14:paraId="13A2C067" w14:textId="6200FBAB" w:rsidR="005F46B6" w:rsidRPr="00547F77" w:rsidRDefault="005F46B6">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Document UNEP/CHW.9/INF/14/Rev.1</w:t>
      </w:r>
    </w:p>
  </w:footnote>
  <w:footnote w:id="12">
    <w:p w14:paraId="6A0C174C" w14:textId="77777777" w:rsidR="005F46B6" w:rsidRPr="00547F77" w:rsidRDefault="005F46B6" w:rsidP="00555A05">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COP Decisions BC-VII/3 and VIII/4.</w:t>
      </w:r>
    </w:p>
  </w:footnote>
  <w:footnote w:id="13">
    <w:p w14:paraId="6CE6BCB6" w14:textId="1622D9A9" w:rsidR="005F46B6" w:rsidRPr="00547F77" w:rsidRDefault="005F46B6" w:rsidP="00555A05">
      <w:pPr>
        <w:pStyle w:val="FootnoteText"/>
        <w:rPr>
          <w:rFonts w:asciiTheme="majorBidi" w:hAnsiTheme="majorBidi" w:cstheme="majorBidi"/>
          <w:sz w:val="18"/>
          <w:szCs w:val="18"/>
          <w:lang w:val="fr-FR"/>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lang w:val="fr-FR"/>
        </w:rPr>
        <w:t xml:space="preserve"> Document UNEP/CHW.9/10, </w:t>
      </w:r>
      <w:proofErr w:type="spellStart"/>
      <w:r w:rsidRPr="00547F77">
        <w:rPr>
          <w:rFonts w:asciiTheme="majorBidi" w:hAnsiTheme="majorBidi" w:cstheme="majorBidi"/>
          <w:sz w:val="18"/>
          <w:szCs w:val="18"/>
          <w:lang w:val="fr-FR"/>
        </w:rPr>
        <w:t>decision</w:t>
      </w:r>
      <w:proofErr w:type="spellEnd"/>
      <w:r w:rsidRPr="00547F77">
        <w:rPr>
          <w:rFonts w:asciiTheme="majorBidi" w:hAnsiTheme="majorBidi" w:cstheme="majorBidi"/>
          <w:sz w:val="18"/>
          <w:szCs w:val="18"/>
          <w:lang w:val="fr-FR"/>
        </w:rPr>
        <w:t xml:space="preserve"> BC-IX/7; document UNEP/CHW.10/INF/20. </w:t>
      </w:r>
    </w:p>
  </w:footnote>
  <w:footnote w:id="14">
    <w:p w14:paraId="43E24A14" w14:textId="683FDE07" w:rsidR="005F46B6" w:rsidRPr="00547F77" w:rsidRDefault="005F46B6" w:rsidP="00F82B30">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Report of COP 13, document UNEP/CHW.13/28, paras. 187-190; COP Decision BC-13/12.</w:t>
      </w:r>
    </w:p>
  </w:footnote>
  <w:footnote w:id="15">
    <w:p w14:paraId="6A04397B" w14:textId="49C3EE35" w:rsidR="005F46B6" w:rsidRPr="00547F77" w:rsidRDefault="005F46B6" w:rsidP="002D4284">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Document UNEP/CHW.13/INF/36-UNEP/FAO/RC/COP.8/INF/26-UNEP/POPS/COP.8/INF/25; see also http://www.basel.int/Implementation/PartnershipProgramme1/OtherPartnerships/tabid/3240/Default.aspx</w:t>
      </w:r>
    </w:p>
  </w:footnote>
  <w:footnote w:id="16">
    <w:p w14:paraId="0AE96133" w14:textId="77777777" w:rsidR="005F46B6" w:rsidRPr="00547F77" w:rsidRDefault="005F46B6" w:rsidP="00261E39">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http://web.unep.org/globalmercurypartnership/#parentHorizontalTab1</w:t>
      </w:r>
    </w:p>
  </w:footnote>
  <w:footnote w:id="17">
    <w:p w14:paraId="492215C0" w14:textId="77777777" w:rsidR="005F46B6" w:rsidRPr="00547F77" w:rsidRDefault="005F46B6" w:rsidP="002D4284">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w:t>
      </w:r>
      <w:hyperlink r:id="rId2" w:history="1">
        <w:r w:rsidRPr="00547F77">
          <w:rPr>
            <w:rStyle w:val="Hyperlink"/>
            <w:rFonts w:asciiTheme="majorBidi" w:hAnsiTheme="majorBidi" w:cstheme="majorBidi"/>
            <w:color w:val="auto"/>
            <w:sz w:val="18"/>
            <w:szCs w:val="18"/>
            <w:u w:val="none"/>
          </w:rPr>
          <w:t>http://www.basel.int/Implementation/PartnershipProgramme1/OtherPartnerships/tabid/3240/Default.aspx</w:t>
        </w:r>
      </w:hyperlink>
      <w:r w:rsidRPr="00547F77">
        <w:rPr>
          <w:rFonts w:asciiTheme="majorBidi" w:hAnsiTheme="majorBidi" w:cstheme="majorBidi"/>
          <w:sz w:val="18"/>
          <w:szCs w:val="18"/>
        </w:rPr>
        <w:t xml:space="preserve">; </w:t>
      </w:r>
      <w:hyperlink r:id="rId3" w:history="1">
        <w:r w:rsidRPr="00547F77">
          <w:rPr>
            <w:rStyle w:val="Hyperlink"/>
            <w:rFonts w:asciiTheme="majorBidi" w:hAnsiTheme="majorBidi" w:cstheme="majorBidi"/>
            <w:color w:val="auto"/>
            <w:sz w:val="18"/>
            <w:szCs w:val="18"/>
            <w:u w:val="none"/>
          </w:rPr>
          <w:t>http://www.unep.or.jp/ietc/SPC/news-Apr12/UNIDO_Presentation.pdf</w:t>
        </w:r>
      </w:hyperlink>
      <w:r w:rsidRPr="00547F77">
        <w:rPr>
          <w:rFonts w:asciiTheme="majorBidi" w:hAnsiTheme="majorBidi" w:cstheme="majorBidi"/>
          <w:sz w:val="18"/>
          <w:szCs w:val="18"/>
        </w:rPr>
        <w:t>; https://www.unenvironment.org/ietc/what-we-do/global-partnership-waste-management-gpwm</w:t>
      </w:r>
    </w:p>
  </w:footnote>
  <w:footnote w:id="18">
    <w:p w14:paraId="3BA9495B" w14:textId="77777777" w:rsidR="005F46B6" w:rsidRPr="00547F77" w:rsidRDefault="005F46B6" w:rsidP="002D4284">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https://unu.edu/projects/solving-the-e-waste-problem-step-initiative.html#outline</w:t>
      </w:r>
    </w:p>
  </w:footnote>
  <w:footnote w:id="19">
    <w:p w14:paraId="68700365" w14:textId="77777777" w:rsidR="005F46B6" w:rsidRPr="00547F77" w:rsidRDefault="005F46B6" w:rsidP="002D4284">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http https://www.itu.int/en/ITU-D/Statistics/Pages/intlcoop/partnership/default.aspx://www.step-initiative.org/our-members.html</w:t>
      </w:r>
    </w:p>
  </w:footnote>
  <w:footnote w:id="20">
    <w:p w14:paraId="59FE14B5" w14:textId="4E8DF024" w:rsidR="005F46B6" w:rsidRPr="00F901DF" w:rsidRDefault="005F46B6" w:rsidP="000975EA">
      <w:pPr>
        <w:pStyle w:val="FootnoteText"/>
        <w:rPr>
          <w:rFonts w:asciiTheme="majorBidi" w:hAnsiTheme="majorBidi" w:cstheme="majorBidi"/>
          <w:sz w:val="18"/>
          <w:szCs w:val="18"/>
          <w:lang w:val="fr-CH"/>
        </w:rPr>
      </w:pPr>
      <w:r w:rsidRPr="00547F77">
        <w:rPr>
          <w:rStyle w:val="FootnoteReference"/>
          <w:rFonts w:asciiTheme="majorBidi" w:hAnsiTheme="majorBidi" w:cstheme="majorBidi"/>
          <w:sz w:val="18"/>
          <w:szCs w:val="18"/>
        </w:rPr>
        <w:footnoteRef/>
      </w:r>
      <w:r w:rsidRPr="00F901DF">
        <w:rPr>
          <w:rFonts w:asciiTheme="majorBidi" w:hAnsiTheme="majorBidi" w:cstheme="majorBidi"/>
          <w:sz w:val="18"/>
          <w:szCs w:val="18"/>
          <w:lang w:val="fr-CH"/>
        </w:rPr>
        <w:t xml:space="preserve"> Document UNEP/CHW.13/INF/36</w:t>
      </w:r>
    </w:p>
  </w:footnote>
  <w:footnote w:id="21">
    <w:p w14:paraId="5B3DCCB4" w14:textId="77777777" w:rsidR="005F46B6" w:rsidRPr="00F901DF" w:rsidRDefault="005F46B6" w:rsidP="00D52A43">
      <w:pPr>
        <w:pStyle w:val="FootnoteText"/>
        <w:rPr>
          <w:rFonts w:asciiTheme="majorBidi" w:hAnsiTheme="majorBidi" w:cstheme="majorBidi"/>
          <w:sz w:val="18"/>
          <w:szCs w:val="18"/>
          <w:lang w:val="fr-CH"/>
        </w:rPr>
      </w:pPr>
      <w:r w:rsidRPr="00547F77">
        <w:rPr>
          <w:rStyle w:val="FootnoteReference"/>
          <w:rFonts w:asciiTheme="majorBidi" w:hAnsiTheme="majorBidi" w:cstheme="majorBidi"/>
          <w:sz w:val="18"/>
          <w:szCs w:val="18"/>
        </w:rPr>
        <w:footnoteRef/>
      </w:r>
      <w:r w:rsidRPr="00F901DF">
        <w:rPr>
          <w:rFonts w:asciiTheme="majorBidi" w:hAnsiTheme="majorBidi" w:cstheme="majorBidi"/>
          <w:sz w:val="18"/>
          <w:szCs w:val="18"/>
          <w:lang w:val="fr-CH"/>
        </w:rPr>
        <w:t xml:space="preserve"> Document UNEP/POPS/COP.4/9/Rev.1; </w:t>
      </w:r>
      <w:proofErr w:type="spellStart"/>
      <w:r w:rsidRPr="00F901DF">
        <w:rPr>
          <w:rFonts w:asciiTheme="majorBidi" w:hAnsiTheme="majorBidi" w:cstheme="majorBidi"/>
          <w:sz w:val="18"/>
          <w:szCs w:val="18"/>
          <w:lang w:val="fr-CH"/>
        </w:rPr>
        <w:t>decision</w:t>
      </w:r>
      <w:proofErr w:type="spellEnd"/>
      <w:r w:rsidRPr="00F901DF">
        <w:rPr>
          <w:rFonts w:asciiTheme="majorBidi" w:hAnsiTheme="majorBidi" w:cstheme="majorBidi"/>
          <w:sz w:val="18"/>
          <w:szCs w:val="18"/>
          <w:lang w:val="fr-CH"/>
        </w:rPr>
        <w:t xml:space="preserve"> SC-4/5.</w:t>
      </w:r>
    </w:p>
  </w:footnote>
  <w:footnote w:id="22">
    <w:p w14:paraId="6CE2FF56" w14:textId="77777777" w:rsidR="005F46B6" w:rsidRPr="00F901DF" w:rsidRDefault="005F46B6" w:rsidP="00D52A43">
      <w:pPr>
        <w:pStyle w:val="FootnoteText"/>
        <w:rPr>
          <w:rFonts w:asciiTheme="majorBidi" w:hAnsiTheme="majorBidi" w:cstheme="majorBidi"/>
          <w:sz w:val="18"/>
          <w:szCs w:val="18"/>
          <w:lang w:val="fr-CH"/>
        </w:rPr>
      </w:pPr>
      <w:r w:rsidRPr="00547F77">
        <w:rPr>
          <w:rStyle w:val="FootnoteReference"/>
          <w:rFonts w:asciiTheme="majorBidi" w:hAnsiTheme="majorBidi" w:cstheme="majorBidi"/>
          <w:sz w:val="18"/>
          <w:szCs w:val="18"/>
        </w:rPr>
        <w:footnoteRef/>
      </w:r>
      <w:r w:rsidRPr="00F901DF">
        <w:rPr>
          <w:rFonts w:asciiTheme="majorBidi" w:hAnsiTheme="majorBidi" w:cstheme="majorBidi"/>
          <w:sz w:val="18"/>
          <w:szCs w:val="18"/>
          <w:lang w:val="fr-CH"/>
        </w:rPr>
        <w:t xml:space="preserve"> Documents UNEP/POPS/COP.4/6/Rev.1; UNEP/POPS/COP.4/INF/2, </w:t>
      </w:r>
      <w:proofErr w:type="spellStart"/>
      <w:r w:rsidRPr="00F901DF">
        <w:rPr>
          <w:rFonts w:asciiTheme="majorBidi" w:hAnsiTheme="majorBidi" w:cstheme="majorBidi"/>
          <w:sz w:val="18"/>
          <w:szCs w:val="18"/>
          <w:lang w:val="fr-CH"/>
        </w:rPr>
        <w:t>decision</w:t>
      </w:r>
      <w:proofErr w:type="spellEnd"/>
      <w:r w:rsidRPr="00F901DF">
        <w:rPr>
          <w:rFonts w:asciiTheme="majorBidi" w:hAnsiTheme="majorBidi" w:cstheme="majorBidi"/>
          <w:sz w:val="18"/>
          <w:szCs w:val="18"/>
          <w:lang w:val="fr-CH"/>
        </w:rPr>
        <w:t xml:space="preserve"> SC-4/2.</w:t>
      </w:r>
    </w:p>
  </w:footnote>
  <w:footnote w:id="23">
    <w:p w14:paraId="5B6A804D" w14:textId="77777777" w:rsidR="005F46B6" w:rsidRPr="00547F77" w:rsidRDefault="005F46B6" w:rsidP="00D52A43">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F901DF">
        <w:rPr>
          <w:rFonts w:asciiTheme="majorBidi" w:hAnsiTheme="majorBidi" w:cstheme="majorBidi"/>
          <w:sz w:val="18"/>
          <w:szCs w:val="18"/>
          <w:lang w:val="fr-CH"/>
        </w:rPr>
        <w:t xml:space="preserve"> Document UNEP/POPS/COP.5/36, paras. </w:t>
      </w:r>
      <w:r w:rsidRPr="00547F77">
        <w:rPr>
          <w:rFonts w:asciiTheme="majorBidi" w:hAnsiTheme="majorBidi" w:cstheme="majorBidi"/>
          <w:sz w:val="18"/>
          <w:szCs w:val="18"/>
        </w:rPr>
        <w:t xml:space="preserve">40-44, 60-; COP Decisions SC-5/6 and 5/7. </w:t>
      </w:r>
    </w:p>
  </w:footnote>
  <w:footnote w:id="24">
    <w:p w14:paraId="1FC8DFC5" w14:textId="77777777" w:rsidR="005F46B6" w:rsidRPr="00547F77" w:rsidRDefault="005F46B6" w:rsidP="00D52A43">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https://www.unenvironment.org/explore-topics/chemicals-waste/what-we-do/persistent-organic-pollutants/pcb-elimination-network.</w:t>
      </w:r>
    </w:p>
  </w:footnote>
  <w:footnote w:id="25">
    <w:p w14:paraId="783D3B37" w14:textId="77777777" w:rsidR="005F46B6" w:rsidRPr="00547F77" w:rsidRDefault="005F46B6" w:rsidP="00D52A43">
      <w:pPr>
        <w:spacing w:after="0"/>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Document UNEP/CHW.13/INF/38UNEP/FAO/RC/COP.8/INF/27-UNEP/POPS/COP.8/INF/44</w:t>
      </w:r>
    </w:p>
  </w:footnote>
  <w:footnote w:id="26">
    <w:p w14:paraId="25D243D9" w14:textId="2BE2545C" w:rsidR="005F46B6" w:rsidRPr="00547F77" w:rsidRDefault="005F46B6">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FAO, ILO, UNDP, UNEP, UNIDO, UNITAR, WHO, the World Bank, and the OECD.</w:t>
      </w:r>
    </w:p>
  </w:footnote>
  <w:footnote w:id="27">
    <w:p w14:paraId="17F4EC59" w14:textId="77777777" w:rsidR="005F46B6" w:rsidRPr="00547F77" w:rsidRDefault="005F46B6" w:rsidP="005B23B1">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http://www.saicm.org/Default.aspx?tabid=5521</w:t>
      </w:r>
    </w:p>
  </w:footnote>
  <w:footnote w:id="28">
    <w:p w14:paraId="0465B1EA" w14:textId="77777777" w:rsidR="005F46B6" w:rsidRPr="00547F77" w:rsidRDefault="005F46B6" w:rsidP="005B23B1">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The contributions of the Basel, Rotterdam and Stockholm Conventions to the sound management of chemicals and wastes, document SAICM/IP.2/INF.4, 22 January 2018; also http://synergies.pops.int/Partners/UNEP/SAICM/tabid/4073/language/en-US/Default.aspx., </w:t>
      </w:r>
    </w:p>
  </w:footnote>
  <w:footnote w:id="29">
    <w:p w14:paraId="4B738CDF" w14:textId="77777777" w:rsidR="005F46B6" w:rsidRPr="00547F77" w:rsidRDefault="005F46B6" w:rsidP="00FF3D3C">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UNGA Resolution 60/215 Towards global partnerships, paragraph 2.</w:t>
      </w:r>
    </w:p>
  </w:footnote>
  <w:footnote w:id="30">
    <w:p w14:paraId="2AF0220D" w14:textId="77777777" w:rsidR="005F46B6" w:rsidRPr="00547F77" w:rsidRDefault="005F46B6" w:rsidP="00FF3D3C">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E.g. World Bank, https://ppp.worldbank.org/public-private-partnership/overview/what-are-public-private-partnerships</w:t>
      </w:r>
    </w:p>
  </w:footnote>
  <w:footnote w:id="31">
    <w:p w14:paraId="59571ACC" w14:textId="77777777" w:rsidR="005F46B6" w:rsidRPr="00547F77" w:rsidRDefault="005F46B6" w:rsidP="00FF3D3C">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Guidelines on a Principle Based Approach to the Cooperation between the United Nations and the Business Sector, para. 8 (Doc A/HRC/17/31, Annex), first issued in 2000, revised and reissued in 2009, and revised in 2015 as requested by UNGA Resolution A/RES/68/234.</w:t>
      </w:r>
    </w:p>
  </w:footnote>
  <w:footnote w:id="32">
    <w:p w14:paraId="26E580BD" w14:textId="77777777" w:rsidR="005F46B6" w:rsidRPr="00547F77" w:rsidRDefault="005F46B6" w:rsidP="007420C3">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S. </w:t>
      </w:r>
      <w:proofErr w:type="spellStart"/>
      <w:r w:rsidRPr="00547F77">
        <w:rPr>
          <w:rFonts w:asciiTheme="majorBidi" w:hAnsiTheme="majorBidi" w:cstheme="majorBidi"/>
          <w:sz w:val="18"/>
          <w:szCs w:val="18"/>
        </w:rPr>
        <w:t>Tesner</w:t>
      </w:r>
      <w:proofErr w:type="spellEnd"/>
      <w:r w:rsidRPr="00547F77">
        <w:rPr>
          <w:rFonts w:asciiTheme="majorBidi" w:hAnsiTheme="majorBidi" w:cstheme="majorBidi"/>
          <w:sz w:val="18"/>
          <w:szCs w:val="18"/>
        </w:rPr>
        <w:t>/G. Kell, The United Nations and Business: A partnership rediscovered, New York 2000, Introduction</w:t>
      </w:r>
    </w:p>
  </w:footnote>
  <w:footnote w:id="33">
    <w:p w14:paraId="4D889738" w14:textId="77777777" w:rsidR="005F46B6" w:rsidRPr="00547F77" w:rsidRDefault="005F46B6" w:rsidP="007420C3">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J. Nelson, Building Partnerships: Cooperation between the United Nations and the private sector, United Nations 2002, p. 20.</w:t>
      </w:r>
    </w:p>
  </w:footnote>
  <w:footnote w:id="34">
    <w:p w14:paraId="0C1E20E7" w14:textId="77777777" w:rsidR="005F46B6" w:rsidRPr="00547F77" w:rsidRDefault="005F46B6" w:rsidP="007420C3">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UNGA Resolution 55/2, United Nations Millennium Declaration.</w:t>
      </w:r>
    </w:p>
  </w:footnote>
  <w:footnote w:id="35">
    <w:p w14:paraId="7AE1046C" w14:textId="77777777" w:rsidR="005F46B6" w:rsidRPr="00547F77" w:rsidRDefault="005F46B6" w:rsidP="007420C3">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Report of the World Summit on Sustainable Development, UN document A/CONF.199/20.</w:t>
      </w:r>
    </w:p>
  </w:footnote>
  <w:footnote w:id="36">
    <w:p w14:paraId="2573A084" w14:textId="77777777" w:rsidR="005F46B6" w:rsidRPr="00547F77" w:rsidRDefault="005F46B6" w:rsidP="007420C3">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UNGA Resolution 66/288, The Future We Want.</w:t>
      </w:r>
    </w:p>
  </w:footnote>
  <w:footnote w:id="37">
    <w:p w14:paraId="5FE1B667" w14:textId="77777777" w:rsidR="005F46B6" w:rsidRPr="00547F77" w:rsidRDefault="005F46B6" w:rsidP="007420C3">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UNGA Resolution 69/313, Addis Ababa Action Agenda.</w:t>
      </w:r>
    </w:p>
  </w:footnote>
  <w:footnote w:id="38">
    <w:p w14:paraId="711F6E13" w14:textId="77777777" w:rsidR="005F46B6" w:rsidRPr="00547F77" w:rsidRDefault="005F46B6" w:rsidP="007420C3">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UNGA Resolution 70/1, Transforming Our World: The 2030 Agenda for Sustainable Development.</w:t>
      </w:r>
    </w:p>
  </w:footnote>
  <w:footnote w:id="39">
    <w:p w14:paraId="5DCEB4E1" w14:textId="77777777" w:rsidR="005F46B6" w:rsidRPr="00547F77" w:rsidRDefault="005F46B6" w:rsidP="007420C3">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Through wording such as “all relevant partners, including the private sector” (UNGA Resolution 60/215); “all relevant partners, in particular the private sector” (UNGA Resolution 70/224); “business and other entities” (UNFCCC Secretariat Guidelines for Partnership 2017, Doc B/2017/1).  </w:t>
      </w:r>
    </w:p>
  </w:footnote>
  <w:footnote w:id="40">
    <w:p w14:paraId="73FF3235" w14:textId="38E015ED" w:rsidR="005F46B6" w:rsidRPr="00547F77" w:rsidRDefault="005F46B6" w:rsidP="007420C3">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See e.g. UN Environment Private Sector Engagement Policy, UNICEF strategic framework for partnerships and collaborative relationships, II: Context, https://www.unicef.org/policyanalysis/files/N0928210.pdf</w:t>
      </w:r>
    </w:p>
  </w:footnote>
  <w:footnote w:id="41">
    <w:p w14:paraId="7DABE849" w14:textId="77777777" w:rsidR="005F46B6" w:rsidRPr="00547F77" w:rsidRDefault="005F46B6" w:rsidP="00FF3D3C">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See in particular UNGA Resolution 60/215 and UNGA Resolution 70/224Doc B/2017/1.</w:t>
      </w:r>
    </w:p>
  </w:footnote>
  <w:footnote w:id="42">
    <w:p w14:paraId="46FB331A" w14:textId="77777777" w:rsidR="005F46B6" w:rsidRPr="00547F77" w:rsidRDefault="005F46B6" w:rsidP="00FF3D3C">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w:t>
      </w:r>
      <w:hyperlink r:id="rId4" w:history="1">
        <w:r w:rsidRPr="00547F77">
          <w:rPr>
            <w:rStyle w:val="Hyperlink"/>
            <w:rFonts w:asciiTheme="majorBidi" w:hAnsiTheme="majorBidi" w:cstheme="majorBidi"/>
            <w:color w:val="auto"/>
            <w:sz w:val="18"/>
            <w:szCs w:val="18"/>
            <w:u w:val="none"/>
          </w:rPr>
          <w:t>https://www.unglobalcompact.org/about</w:t>
        </w:r>
      </w:hyperlink>
    </w:p>
  </w:footnote>
  <w:footnote w:id="43">
    <w:p w14:paraId="2DE44C94" w14:textId="77777777" w:rsidR="005F46B6" w:rsidRPr="00547F77" w:rsidRDefault="005F46B6" w:rsidP="00FF3D3C">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w:t>
      </w:r>
      <w:hyperlink r:id="rId5" w:history="1">
        <w:r w:rsidRPr="00547F77">
          <w:rPr>
            <w:rStyle w:val="Hyperlink"/>
            <w:rFonts w:asciiTheme="majorBidi" w:hAnsiTheme="majorBidi" w:cstheme="majorBidi"/>
            <w:color w:val="auto"/>
            <w:sz w:val="18"/>
            <w:szCs w:val="18"/>
            <w:u w:val="none"/>
          </w:rPr>
          <w:t>https://www.ohchr.org/Documents/Publications/GuidingPrinciplesBusinessHR_EN.pdf</w:t>
        </w:r>
      </w:hyperlink>
    </w:p>
  </w:footnote>
  <w:footnote w:id="44">
    <w:p w14:paraId="2A5AA554" w14:textId="77777777" w:rsidR="005F46B6" w:rsidRPr="00547F77" w:rsidRDefault="005F46B6" w:rsidP="00FF3D3C">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Adopted by the UN General Assembly in 2000, revised in 2009 and 2015. See  </w:t>
      </w:r>
      <w:hyperlink r:id="rId6" w:history="1">
        <w:r w:rsidRPr="00547F77">
          <w:rPr>
            <w:rStyle w:val="Hyperlink"/>
            <w:rFonts w:asciiTheme="majorBidi" w:hAnsiTheme="majorBidi" w:cstheme="majorBidi"/>
            <w:color w:val="auto"/>
            <w:sz w:val="18"/>
            <w:szCs w:val="18"/>
            <w:u w:val="none"/>
          </w:rPr>
          <w:t>https://business.un.org/en/documents/5292</w:t>
        </w:r>
      </w:hyperlink>
      <w:r w:rsidRPr="00547F77">
        <w:rPr>
          <w:rStyle w:val="Hyperlink"/>
          <w:rFonts w:asciiTheme="majorBidi" w:hAnsiTheme="majorBidi" w:cstheme="majorBidi"/>
          <w:color w:val="auto"/>
          <w:sz w:val="18"/>
          <w:szCs w:val="18"/>
          <w:u w:val="none"/>
        </w:rPr>
        <w:t>.</w:t>
      </w:r>
    </w:p>
  </w:footnote>
  <w:footnote w:id="45">
    <w:p w14:paraId="72856001" w14:textId="4C73EF0C" w:rsidR="005F46B6" w:rsidRPr="00547F77" w:rsidRDefault="005F46B6" w:rsidP="00FF3D3C">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Report of the Joint Inspection Unit on private sector arrangements within the UN system, 2017, Document JIU/REP/2017/18, p. 6-9</w:t>
      </w:r>
    </w:p>
  </w:footnote>
  <w:footnote w:id="46">
    <w:p w14:paraId="66C1C216" w14:textId="77777777" w:rsidR="005F46B6" w:rsidRPr="00547F77" w:rsidRDefault="005F46B6" w:rsidP="000267A8">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See for example the partnership programmes of UNIDO Strategic Framework for Partnerships and Collaborative Relationships (</w:t>
      </w:r>
      <w:hyperlink r:id="rId7" w:history="1">
        <w:r w:rsidRPr="00547F77">
          <w:rPr>
            <w:rStyle w:val="Hyperlink"/>
            <w:rFonts w:asciiTheme="majorBidi" w:hAnsiTheme="majorBidi" w:cstheme="majorBidi"/>
            <w:color w:val="auto"/>
            <w:sz w:val="18"/>
            <w:szCs w:val="18"/>
            <w:u w:val="none"/>
          </w:rPr>
          <w:t>https://www.unicef.org/policyanalysis/files/N0928210.pdf</w:t>
        </w:r>
      </w:hyperlink>
      <w:r w:rsidRPr="00547F77">
        <w:rPr>
          <w:rFonts w:asciiTheme="majorBidi" w:hAnsiTheme="majorBidi" w:cstheme="majorBidi"/>
          <w:sz w:val="18"/>
          <w:szCs w:val="18"/>
        </w:rPr>
        <w:t>)  (</w:t>
      </w:r>
      <w:hyperlink r:id="rId8" w:history="1">
        <w:r w:rsidRPr="00547F77">
          <w:rPr>
            <w:rStyle w:val="Hyperlink"/>
            <w:rFonts w:asciiTheme="majorBidi" w:hAnsiTheme="majorBidi" w:cstheme="majorBidi"/>
            <w:color w:val="auto"/>
            <w:sz w:val="18"/>
            <w:szCs w:val="18"/>
            <w:u w:val="none"/>
          </w:rPr>
          <w:t>https://www.unido.org/our-focus/cross-cutting-services/partnerships-prosperity</w:t>
        </w:r>
      </w:hyperlink>
      <w:r w:rsidRPr="00547F77">
        <w:rPr>
          <w:rFonts w:asciiTheme="majorBidi" w:hAnsiTheme="majorBidi" w:cstheme="majorBidi"/>
          <w:sz w:val="18"/>
          <w:szCs w:val="18"/>
        </w:rPr>
        <w:t>); ITU (</w:t>
      </w:r>
      <w:hyperlink r:id="rId9" w:history="1">
        <w:r w:rsidRPr="00547F77">
          <w:rPr>
            <w:rStyle w:val="Hyperlink"/>
            <w:rFonts w:asciiTheme="majorBidi" w:hAnsiTheme="majorBidi" w:cstheme="majorBidi"/>
            <w:color w:val="auto"/>
            <w:sz w:val="18"/>
            <w:szCs w:val="18"/>
            <w:u w:val="none"/>
          </w:rPr>
          <w:t>https://www.itu.int/en/ITU-D/Cybersecurity/Pages/partnership.aspx</w:t>
        </w:r>
      </w:hyperlink>
      <w:r w:rsidRPr="00547F77">
        <w:rPr>
          <w:rFonts w:asciiTheme="majorBidi" w:hAnsiTheme="majorBidi" w:cstheme="majorBidi"/>
          <w:sz w:val="18"/>
          <w:szCs w:val="18"/>
        </w:rPr>
        <w:t>); UNESCO (</w:t>
      </w:r>
      <w:hyperlink r:id="rId10" w:history="1">
        <w:r w:rsidRPr="00547F77">
          <w:rPr>
            <w:rStyle w:val="Hyperlink"/>
            <w:rFonts w:asciiTheme="majorBidi" w:hAnsiTheme="majorBidi" w:cstheme="majorBidi"/>
            <w:color w:val="auto"/>
            <w:sz w:val="18"/>
            <w:szCs w:val="18"/>
            <w:u w:val="none"/>
          </w:rPr>
          <w:t>http://www.unesco.org/new/en/communication-and-information/about-us/how-we-work/unesco-partnerships/</w:t>
        </w:r>
      </w:hyperlink>
      <w:r w:rsidRPr="00547F77">
        <w:rPr>
          <w:rFonts w:asciiTheme="majorBidi" w:hAnsiTheme="majorBidi" w:cstheme="majorBidi"/>
          <w:sz w:val="18"/>
          <w:szCs w:val="18"/>
        </w:rPr>
        <w:t>); UNDP (http://www.undp.org/content/undp/en/home/partners.html).</w:t>
      </w:r>
    </w:p>
  </w:footnote>
  <w:footnote w:id="47">
    <w:p w14:paraId="60EEA24A" w14:textId="0145C1E8" w:rsidR="005F46B6" w:rsidRPr="00547F77" w:rsidRDefault="005F46B6">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w:t>
      </w:r>
      <w:hyperlink r:id="rId11" w:history="1">
        <w:r w:rsidRPr="00547F77">
          <w:rPr>
            <w:rStyle w:val="Hyperlink"/>
            <w:rFonts w:asciiTheme="majorBidi" w:hAnsiTheme="majorBidi" w:cstheme="majorBidi"/>
            <w:color w:val="auto"/>
            <w:sz w:val="18"/>
            <w:szCs w:val="18"/>
            <w:u w:val="none"/>
          </w:rPr>
          <w:t>https://www.unicef.org/policyanalysis/files/N0928210.pdf</w:t>
        </w:r>
      </w:hyperlink>
    </w:p>
  </w:footnote>
  <w:footnote w:id="48">
    <w:p w14:paraId="55DE6075" w14:textId="02599A61" w:rsidR="005F46B6" w:rsidRPr="00547F77" w:rsidRDefault="005F46B6">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http://www.who.int/about/collaborations/en/</w:t>
      </w:r>
    </w:p>
  </w:footnote>
  <w:footnote w:id="49">
    <w:p w14:paraId="157FD8AE" w14:textId="77777777" w:rsidR="005F46B6" w:rsidRPr="00547F77" w:rsidRDefault="005F46B6" w:rsidP="00F25F31">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http://www.fao.org/partnerships/en/.</w:t>
      </w:r>
    </w:p>
  </w:footnote>
  <w:footnote w:id="50">
    <w:p w14:paraId="08FED745" w14:textId="2E8CA3BF" w:rsidR="005F46B6" w:rsidRPr="00547F77" w:rsidRDefault="005F46B6">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UNEP Policy on Partnerships and Guidelines for Implementation, August 2009; UNEP Economy Division: Our engagement with the private sector, undated; UNEP Government Affairs Office: UN Environment Programme – Guidelines for Engagement with the Private Sector, undated; UN Corporate Services Division, UN environment – Private Sector Engagement Policy; United Nations Environment Programme: draft Executing Partnerships Policy, August 2017;  Report by the Secretariat to the Committee of Permanent Representatives on UN Environments </w:t>
      </w:r>
      <w:proofErr w:type="spellStart"/>
      <w:r w:rsidRPr="00547F77">
        <w:rPr>
          <w:rFonts w:asciiTheme="majorBidi" w:hAnsiTheme="majorBidi" w:cstheme="majorBidi"/>
          <w:sz w:val="18"/>
          <w:szCs w:val="18"/>
        </w:rPr>
        <w:t>Programmes’s</w:t>
      </w:r>
      <w:proofErr w:type="spellEnd"/>
      <w:r w:rsidRPr="00547F77">
        <w:rPr>
          <w:rFonts w:asciiTheme="majorBidi" w:hAnsiTheme="majorBidi" w:cstheme="majorBidi"/>
          <w:sz w:val="18"/>
          <w:szCs w:val="18"/>
        </w:rPr>
        <w:t xml:space="preserve"> Private Sector Engagement, 21 May 2018.</w:t>
      </w:r>
      <w:r w:rsidR="00AE6BE1" w:rsidRPr="00547F77">
        <w:rPr>
          <w:rFonts w:asciiTheme="majorBidi" w:hAnsiTheme="majorBidi" w:cstheme="majorBidi"/>
          <w:sz w:val="18"/>
          <w:szCs w:val="18"/>
        </w:rPr>
        <w:t xml:space="preserve"> </w:t>
      </w:r>
    </w:p>
  </w:footnote>
  <w:footnote w:id="51">
    <w:p w14:paraId="33FAE1CF" w14:textId="589D76AC" w:rsidR="005F46B6" w:rsidRPr="00547F77" w:rsidRDefault="005F46B6">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UNFCCC Secretariat Guidelines for Partnerships, 2017</w:t>
      </w:r>
    </w:p>
  </w:footnote>
  <w:footnote w:id="52">
    <w:p w14:paraId="0DB2AB53" w14:textId="39C5287B" w:rsidR="005F46B6" w:rsidRPr="00547F77" w:rsidRDefault="005F46B6" w:rsidP="00613E24">
      <w:pPr>
        <w:pStyle w:val="Default"/>
        <w:rPr>
          <w:rFonts w:asciiTheme="majorBidi" w:hAnsiTheme="majorBidi" w:cstheme="majorBidi"/>
          <w:color w:val="auto"/>
          <w:sz w:val="18"/>
          <w:szCs w:val="18"/>
        </w:rPr>
      </w:pPr>
      <w:r w:rsidRPr="00547F77">
        <w:rPr>
          <w:rStyle w:val="FootnoteReference"/>
          <w:rFonts w:asciiTheme="majorBidi" w:eastAsiaTheme="minorHAnsi" w:hAnsiTheme="majorBidi" w:cstheme="majorBidi"/>
          <w:color w:val="auto"/>
          <w:sz w:val="18"/>
          <w:szCs w:val="18"/>
        </w:rPr>
        <w:footnoteRef/>
      </w:r>
      <w:r w:rsidRPr="00547F77">
        <w:rPr>
          <w:rStyle w:val="FootnoteReference"/>
          <w:rFonts w:asciiTheme="majorBidi" w:eastAsiaTheme="minorHAnsi" w:hAnsiTheme="majorBidi" w:cstheme="majorBidi"/>
          <w:color w:val="auto"/>
          <w:sz w:val="18"/>
          <w:szCs w:val="18"/>
        </w:rPr>
        <w:t xml:space="preserve"> </w:t>
      </w:r>
      <w:r w:rsidRPr="00547F77">
        <w:rPr>
          <w:rFonts w:asciiTheme="majorBidi" w:hAnsiTheme="majorBidi" w:cstheme="majorBidi"/>
          <w:color w:val="auto"/>
          <w:sz w:val="18"/>
          <w:szCs w:val="18"/>
        </w:rPr>
        <w:t>The UNCCD &amp; Business: Partnership Opportunities for Sustainable Land Management, undated</w:t>
      </w:r>
    </w:p>
  </w:footnote>
  <w:footnote w:id="53">
    <w:p w14:paraId="1BFA95A0" w14:textId="685AA142" w:rsidR="005F46B6" w:rsidRPr="00547F77" w:rsidRDefault="005F46B6">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Resolution X.12 adopted by COP 10 in 2008; Resolution XII.2 adopted by COP 12 in 2015; see generally https://www.ramsar.org/search?search_api_views_fulltext=partnership.</w:t>
      </w:r>
    </w:p>
  </w:footnote>
  <w:footnote w:id="54">
    <w:p w14:paraId="36A37A66" w14:textId="025CAD5C" w:rsidR="005F46B6" w:rsidRPr="00547F77" w:rsidRDefault="005F46B6">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See UNICEF Strategic Framework, paras. 14-15.</w:t>
      </w:r>
    </w:p>
  </w:footnote>
  <w:footnote w:id="55">
    <w:p w14:paraId="55C7393E" w14:textId="77777777" w:rsidR="005F46B6" w:rsidRPr="00547F77" w:rsidRDefault="005F46B6" w:rsidP="00EE76FB">
      <w:pPr>
        <w:pStyle w:val="FootnoteText"/>
        <w:rPr>
          <w:rFonts w:asciiTheme="majorBidi" w:hAnsiTheme="majorBidi" w:cstheme="majorBidi"/>
          <w:sz w:val="18"/>
          <w:szCs w:val="18"/>
        </w:rPr>
      </w:pPr>
      <w:r w:rsidRPr="00547F77">
        <w:rPr>
          <w:rStyle w:val="FootnoteReference"/>
          <w:rFonts w:asciiTheme="majorBidi" w:hAnsiTheme="majorBidi" w:cstheme="majorBidi"/>
          <w:sz w:val="18"/>
          <w:szCs w:val="18"/>
        </w:rPr>
        <w:footnoteRef/>
      </w:r>
      <w:r w:rsidRPr="00547F77">
        <w:rPr>
          <w:rFonts w:asciiTheme="majorBidi" w:hAnsiTheme="majorBidi" w:cstheme="majorBidi"/>
          <w:sz w:val="18"/>
          <w:szCs w:val="18"/>
        </w:rPr>
        <w:t xml:space="preserve"> See the suggested way forward by OEWG 11 for the development of a new Partnership on Plastic Wastes, as set out in para 8 of decision OEWG-11/8 and document UNEP/CHW/OEWG.11/INF/39.</w:t>
      </w:r>
    </w:p>
  </w:footnote>
  <w:footnote w:id="56">
    <w:p w14:paraId="5914F7BB" w14:textId="295C81C8" w:rsidR="00BC5343" w:rsidRPr="006C63D6" w:rsidRDefault="00BC5343" w:rsidP="00BC5343">
      <w:pPr>
        <w:pStyle w:val="FootnoteText"/>
        <w:rPr>
          <w:rFonts w:asciiTheme="majorBidi" w:hAnsiTheme="majorBidi" w:cstheme="majorBidi"/>
          <w:sz w:val="18"/>
          <w:szCs w:val="18"/>
          <w:lang w:val="en-US"/>
        </w:rPr>
      </w:pPr>
      <w:r>
        <w:rPr>
          <w:rStyle w:val="FootnoteReference"/>
        </w:rPr>
        <w:footnoteRef/>
      </w:r>
      <w:r>
        <w:t xml:space="preserve"> </w:t>
      </w:r>
      <w:r w:rsidRPr="006C63D6">
        <w:rPr>
          <w:rFonts w:asciiTheme="majorBidi" w:hAnsiTheme="majorBidi" w:cstheme="majorBidi"/>
          <w:sz w:val="18"/>
          <w:szCs w:val="18"/>
          <w:lang w:val="en-US"/>
        </w:rPr>
        <w:t>See paragraph 27 above</w:t>
      </w:r>
    </w:p>
  </w:footnote>
  <w:footnote w:id="57">
    <w:p w14:paraId="7867DA54" w14:textId="70D505F4" w:rsidR="005F46B6" w:rsidRPr="00547F77" w:rsidRDefault="005F46B6" w:rsidP="00EE76FB">
      <w:pPr>
        <w:pStyle w:val="FootnoteText"/>
        <w:rPr>
          <w:rFonts w:asciiTheme="majorBidi" w:hAnsiTheme="majorBidi" w:cstheme="majorBidi"/>
          <w:sz w:val="18"/>
          <w:szCs w:val="18"/>
          <w:lang w:val="en-US"/>
        </w:rPr>
      </w:pPr>
      <w:r w:rsidRPr="00BC5343">
        <w:rPr>
          <w:rStyle w:val="FootnoteReference"/>
          <w:rFonts w:asciiTheme="majorBidi" w:hAnsiTheme="majorBidi" w:cstheme="majorBidi"/>
          <w:sz w:val="18"/>
          <w:szCs w:val="18"/>
        </w:rPr>
        <w:footnoteRef/>
      </w:r>
      <w:r w:rsidRPr="00BC5343">
        <w:rPr>
          <w:rFonts w:asciiTheme="majorBidi" w:hAnsiTheme="majorBidi" w:cstheme="majorBidi"/>
          <w:sz w:val="18"/>
          <w:szCs w:val="18"/>
        </w:rPr>
        <w:t xml:space="preserve"> </w:t>
      </w:r>
      <w:r w:rsidR="00AE6BE1" w:rsidRPr="00BC5343">
        <w:rPr>
          <w:rFonts w:asciiTheme="majorBidi" w:hAnsiTheme="majorBidi" w:cstheme="majorBidi"/>
          <w:sz w:val="18"/>
          <w:szCs w:val="18"/>
        </w:rPr>
        <w:t>See above footnote 50. The 2009 UNEP Policy on Partnerships “focuses on all partnerships across UNEP with the exception of MEA Secretariat partnerships”, on which separate</w:t>
      </w:r>
      <w:r w:rsidR="00AE6BE1" w:rsidRPr="00547F77">
        <w:rPr>
          <w:rFonts w:asciiTheme="majorBidi" w:hAnsiTheme="majorBidi" w:cstheme="majorBidi"/>
          <w:sz w:val="18"/>
          <w:szCs w:val="18"/>
        </w:rPr>
        <w:t xml:space="preserve"> guidance documents are to be prepared. The 2015 UNEP Stakeholder Handbook is clearly focused on UNEP proper, requiring accreditation of partners a</w:t>
      </w:r>
      <w:r w:rsidR="00AE6BE1" w:rsidRPr="00547F77">
        <w:rPr>
          <w:rFonts w:asciiTheme="majorBidi" w:hAnsiTheme="majorBidi" w:cstheme="majorBidi"/>
          <w:sz w:val="18"/>
          <w:szCs w:val="18"/>
          <w:lang w:val="en-US"/>
        </w:rPr>
        <w:t xml:space="preserve">s observers to UNEA and its subsidiary organs, and applying specifically to their contributions to UNEP’s medium-term strategy. Its applicability to the Basel Convention would be </w:t>
      </w:r>
      <w:r w:rsidR="00AE6BE1" w:rsidRPr="00547F77">
        <w:rPr>
          <w:rFonts w:asciiTheme="majorBidi" w:hAnsiTheme="majorBidi" w:cstheme="majorBidi"/>
          <w:i/>
          <w:sz w:val="18"/>
          <w:szCs w:val="18"/>
          <w:lang w:val="en-US"/>
        </w:rPr>
        <w:t>mutatis mutandis</w:t>
      </w:r>
      <w:r w:rsidR="00AE6BE1" w:rsidRPr="00547F77">
        <w:rPr>
          <w:rFonts w:asciiTheme="majorBidi" w:hAnsiTheme="majorBidi" w:cstheme="majorBidi"/>
          <w:sz w:val="18"/>
          <w:szCs w:val="18"/>
          <w:lang w:val="en-US"/>
        </w:rPr>
        <w:t xml:space="preserve"> only if so decided by the COP.  There is no indication of applicability to MEAs in the 2017 New Stakeholder Engagement Policy Outline (which only applies to entities to which UNEP transfers funds for the execution of a project); the 2017 New Stakeholder Engagement Policy Outline; or the 2018 Draft Report on UNEP Private Sector Engagement (which does not mention the BRS Conventions even in in relation to </w:t>
      </w:r>
      <w:proofErr w:type="spellStart"/>
      <w:r w:rsidR="00AE6BE1" w:rsidRPr="00547F77">
        <w:rPr>
          <w:rFonts w:asciiTheme="majorBidi" w:hAnsiTheme="majorBidi" w:cstheme="majorBidi"/>
          <w:sz w:val="18"/>
          <w:szCs w:val="18"/>
          <w:lang w:val="en-US"/>
        </w:rPr>
        <w:t>Subprogramme</w:t>
      </w:r>
      <w:proofErr w:type="spellEnd"/>
      <w:r w:rsidR="00AE6BE1" w:rsidRPr="00547F77">
        <w:rPr>
          <w:rFonts w:asciiTheme="majorBidi" w:hAnsiTheme="majorBidi" w:cstheme="majorBidi"/>
          <w:sz w:val="18"/>
          <w:szCs w:val="18"/>
          <w:lang w:val="en-US"/>
        </w:rPr>
        <w:t xml:space="preserve"> 5 on Chemicals, Wastes and Air Quality). </w:t>
      </w:r>
      <w:r w:rsidR="00AE6BE1" w:rsidRPr="00547F77">
        <w:rPr>
          <w:rFonts w:ascii="Times New Roman" w:hAnsi="Times New Roman" w:cs="Times New Roman"/>
          <w:sz w:val="18"/>
          <w:szCs w:val="18"/>
        </w:rPr>
        <w:t xml:space="preserve">Pursuant to the 2016 United Nations Environment Programme Delegation of Authority Policy and Framework for the management and administration of MEA Secretariats and other bodies for which UNEP provides the secretariat or secretariat functions (DAPF), MEA Secretariats are accountable to their respective conference/meeting of the parties for programme delivery. Accordingly, UNEP’s guidance on programmatic work, including its guidance on partnerships, does not </w:t>
      </w:r>
      <w:r w:rsidR="00AE6BE1" w:rsidRPr="00547F77">
        <w:rPr>
          <w:rFonts w:ascii="Times New Roman" w:hAnsi="Times New Roman" w:cs="Times New Roman"/>
          <w:i/>
          <w:iCs/>
          <w:sz w:val="18"/>
          <w:szCs w:val="18"/>
        </w:rPr>
        <w:t>ipso facto</w:t>
      </w:r>
      <w:r w:rsidR="00AE6BE1" w:rsidRPr="00547F77">
        <w:rPr>
          <w:rFonts w:ascii="Times New Roman" w:hAnsi="Times New Roman" w:cs="Times New Roman"/>
          <w:sz w:val="18"/>
          <w:szCs w:val="18"/>
        </w:rPr>
        <w:t xml:space="preserve"> apply to the Secretariat, unless otherwise decided by the COP.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C2C84" w14:textId="77777777" w:rsidR="005F46B6" w:rsidRDefault="005F46B6" w:rsidP="00591B87">
    <w:pPr>
      <w:pStyle w:val="Header"/>
      <w:jc w:val="right"/>
    </w:pPr>
  </w:p>
  <w:p w14:paraId="4A449F37" w14:textId="77777777" w:rsidR="005F46B6" w:rsidRDefault="005F46B6" w:rsidP="00591B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5ED0"/>
    <w:multiLevelType w:val="hybridMultilevel"/>
    <w:tmpl w:val="54CE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B6656"/>
    <w:multiLevelType w:val="multilevel"/>
    <w:tmpl w:val="2B4C7C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BE87449"/>
    <w:multiLevelType w:val="hybridMultilevel"/>
    <w:tmpl w:val="BA5E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02D80"/>
    <w:multiLevelType w:val="hybridMultilevel"/>
    <w:tmpl w:val="CE923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16EA5"/>
    <w:multiLevelType w:val="hybridMultilevel"/>
    <w:tmpl w:val="7A0EFB68"/>
    <w:lvl w:ilvl="0" w:tplc="57E4250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02268F"/>
    <w:multiLevelType w:val="hybridMultilevel"/>
    <w:tmpl w:val="FA0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5363F"/>
    <w:multiLevelType w:val="hybridMultilevel"/>
    <w:tmpl w:val="BC02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43CD4"/>
    <w:multiLevelType w:val="hybridMultilevel"/>
    <w:tmpl w:val="99DA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10AA5"/>
    <w:multiLevelType w:val="hybridMultilevel"/>
    <w:tmpl w:val="F87E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D3EDB"/>
    <w:multiLevelType w:val="hybridMultilevel"/>
    <w:tmpl w:val="9C2E0474"/>
    <w:lvl w:ilvl="0" w:tplc="04090017">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0" w15:restartNumberingAfterBreak="0">
    <w:nsid w:val="5EE6595E"/>
    <w:multiLevelType w:val="hybridMultilevel"/>
    <w:tmpl w:val="26BE9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9340C"/>
    <w:multiLevelType w:val="hybridMultilevel"/>
    <w:tmpl w:val="2A22C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7851ED"/>
    <w:multiLevelType w:val="hybridMultilevel"/>
    <w:tmpl w:val="8F786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8B5D8A"/>
    <w:multiLevelType w:val="hybridMultilevel"/>
    <w:tmpl w:val="686A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4D6575"/>
    <w:multiLevelType w:val="hybridMultilevel"/>
    <w:tmpl w:val="E8DC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14AA9"/>
    <w:multiLevelType w:val="hybridMultilevel"/>
    <w:tmpl w:val="0A64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3"/>
  </w:num>
  <w:num w:numId="5">
    <w:abstractNumId w:val="4"/>
  </w:num>
  <w:num w:numId="6">
    <w:abstractNumId w:val="5"/>
  </w:num>
  <w:num w:numId="7">
    <w:abstractNumId w:val="15"/>
  </w:num>
  <w:num w:numId="8">
    <w:abstractNumId w:val="2"/>
  </w:num>
  <w:num w:numId="9">
    <w:abstractNumId w:val="0"/>
  </w:num>
  <w:num w:numId="10">
    <w:abstractNumId w:val="8"/>
  </w:num>
  <w:num w:numId="11">
    <w:abstractNumId w:val="14"/>
  </w:num>
  <w:num w:numId="12">
    <w:abstractNumId w:val="13"/>
  </w:num>
  <w:num w:numId="13">
    <w:abstractNumId w:val="7"/>
  </w:num>
  <w:num w:numId="14">
    <w:abstractNumId w:val="9"/>
  </w:num>
  <w:num w:numId="15">
    <w:abstractNumId w:val="10"/>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4BC"/>
    <w:rsid w:val="0000058E"/>
    <w:rsid w:val="000025FF"/>
    <w:rsid w:val="0000380A"/>
    <w:rsid w:val="00011B99"/>
    <w:rsid w:val="00011C61"/>
    <w:rsid w:val="00011FA7"/>
    <w:rsid w:val="00014884"/>
    <w:rsid w:val="0001538C"/>
    <w:rsid w:val="0001611F"/>
    <w:rsid w:val="0001711E"/>
    <w:rsid w:val="00022450"/>
    <w:rsid w:val="00024D44"/>
    <w:rsid w:val="000267A8"/>
    <w:rsid w:val="00026A36"/>
    <w:rsid w:val="00033A03"/>
    <w:rsid w:val="00033A9A"/>
    <w:rsid w:val="00036754"/>
    <w:rsid w:val="000402B8"/>
    <w:rsid w:val="00041A48"/>
    <w:rsid w:val="00042889"/>
    <w:rsid w:val="0004584C"/>
    <w:rsid w:val="0004635C"/>
    <w:rsid w:val="00047E22"/>
    <w:rsid w:val="00047E82"/>
    <w:rsid w:val="00047ED1"/>
    <w:rsid w:val="00050B6C"/>
    <w:rsid w:val="00050BA1"/>
    <w:rsid w:val="000537B9"/>
    <w:rsid w:val="00057A8A"/>
    <w:rsid w:val="000611B9"/>
    <w:rsid w:val="000625A1"/>
    <w:rsid w:val="00063F3F"/>
    <w:rsid w:val="00067310"/>
    <w:rsid w:val="0007540B"/>
    <w:rsid w:val="000755B2"/>
    <w:rsid w:val="00077CCD"/>
    <w:rsid w:val="00077EDC"/>
    <w:rsid w:val="00081A64"/>
    <w:rsid w:val="00082C34"/>
    <w:rsid w:val="00083E08"/>
    <w:rsid w:val="00084F66"/>
    <w:rsid w:val="000862C9"/>
    <w:rsid w:val="00087262"/>
    <w:rsid w:val="00091DD4"/>
    <w:rsid w:val="00093705"/>
    <w:rsid w:val="000953F2"/>
    <w:rsid w:val="00095896"/>
    <w:rsid w:val="000975EA"/>
    <w:rsid w:val="000A0E07"/>
    <w:rsid w:val="000A1718"/>
    <w:rsid w:val="000A78A0"/>
    <w:rsid w:val="000B3044"/>
    <w:rsid w:val="000B367C"/>
    <w:rsid w:val="000C002A"/>
    <w:rsid w:val="000C33C7"/>
    <w:rsid w:val="000C7010"/>
    <w:rsid w:val="000D2011"/>
    <w:rsid w:val="000D78E7"/>
    <w:rsid w:val="000E507D"/>
    <w:rsid w:val="000E526B"/>
    <w:rsid w:val="000E7113"/>
    <w:rsid w:val="000F087E"/>
    <w:rsid w:val="000F2AE8"/>
    <w:rsid w:val="000F2C3A"/>
    <w:rsid w:val="000F3AAF"/>
    <w:rsid w:val="000F6008"/>
    <w:rsid w:val="00100A00"/>
    <w:rsid w:val="00101D18"/>
    <w:rsid w:val="0010377A"/>
    <w:rsid w:val="00105579"/>
    <w:rsid w:val="00110617"/>
    <w:rsid w:val="0011220C"/>
    <w:rsid w:val="00122C3C"/>
    <w:rsid w:val="00125720"/>
    <w:rsid w:val="00130D50"/>
    <w:rsid w:val="00132EB4"/>
    <w:rsid w:val="00136AF9"/>
    <w:rsid w:val="00136BB9"/>
    <w:rsid w:val="0014013E"/>
    <w:rsid w:val="00140EFA"/>
    <w:rsid w:val="00141A6E"/>
    <w:rsid w:val="00142B11"/>
    <w:rsid w:val="00143751"/>
    <w:rsid w:val="001548A6"/>
    <w:rsid w:val="001566BD"/>
    <w:rsid w:val="001566F8"/>
    <w:rsid w:val="00160027"/>
    <w:rsid w:val="00163019"/>
    <w:rsid w:val="00166C55"/>
    <w:rsid w:val="00172914"/>
    <w:rsid w:val="00173D74"/>
    <w:rsid w:val="001740A9"/>
    <w:rsid w:val="0017483A"/>
    <w:rsid w:val="00174CAB"/>
    <w:rsid w:val="0017694F"/>
    <w:rsid w:val="00176FEE"/>
    <w:rsid w:val="001800EF"/>
    <w:rsid w:val="0018055B"/>
    <w:rsid w:val="00182202"/>
    <w:rsid w:val="00187A7B"/>
    <w:rsid w:val="00190264"/>
    <w:rsid w:val="00190B08"/>
    <w:rsid w:val="00191A0E"/>
    <w:rsid w:val="001933F6"/>
    <w:rsid w:val="001A0636"/>
    <w:rsid w:val="001A096F"/>
    <w:rsid w:val="001A4D56"/>
    <w:rsid w:val="001A507C"/>
    <w:rsid w:val="001A5FE1"/>
    <w:rsid w:val="001B006F"/>
    <w:rsid w:val="001B0395"/>
    <w:rsid w:val="001B107E"/>
    <w:rsid w:val="001B1262"/>
    <w:rsid w:val="001B138E"/>
    <w:rsid w:val="001B147E"/>
    <w:rsid w:val="001B55A4"/>
    <w:rsid w:val="001C1C5A"/>
    <w:rsid w:val="001C27C9"/>
    <w:rsid w:val="001C5232"/>
    <w:rsid w:val="001C65D2"/>
    <w:rsid w:val="001C6953"/>
    <w:rsid w:val="001C696E"/>
    <w:rsid w:val="001D0B6B"/>
    <w:rsid w:val="001D153A"/>
    <w:rsid w:val="001D2215"/>
    <w:rsid w:val="001D26AC"/>
    <w:rsid w:val="001D4525"/>
    <w:rsid w:val="001D5500"/>
    <w:rsid w:val="001E3FBF"/>
    <w:rsid w:val="001E592B"/>
    <w:rsid w:val="001E72B3"/>
    <w:rsid w:val="001F0E43"/>
    <w:rsid w:val="001F3FD2"/>
    <w:rsid w:val="001F5D20"/>
    <w:rsid w:val="00201884"/>
    <w:rsid w:val="002018F7"/>
    <w:rsid w:val="00201D95"/>
    <w:rsid w:val="00202B51"/>
    <w:rsid w:val="00205FDB"/>
    <w:rsid w:val="00207265"/>
    <w:rsid w:val="00210B75"/>
    <w:rsid w:val="00213F70"/>
    <w:rsid w:val="00223CEE"/>
    <w:rsid w:val="00230593"/>
    <w:rsid w:val="002318C9"/>
    <w:rsid w:val="00232EA8"/>
    <w:rsid w:val="00233AF8"/>
    <w:rsid w:val="0023553A"/>
    <w:rsid w:val="002362D6"/>
    <w:rsid w:val="00237797"/>
    <w:rsid w:val="00241BF8"/>
    <w:rsid w:val="002420D9"/>
    <w:rsid w:val="00242D5F"/>
    <w:rsid w:val="00246232"/>
    <w:rsid w:val="00252361"/>
    <w:rsid w:val="00252625"/>
    <w:rsid w:val="0025369A"/>
    <w:rsid w:val="00257746"/>
    <w:rsid w:val="00260E48"/>
    <w:rsid w:val="00261E39"/>
    <w:rsid w:val="0026360D"/>
    <w:rsid w:val="00270F0D"/>
    <w:rsid w:val="002713B3"/>
    <w:rsid w:val="00271570"/>
    <w:rsid w:val="00273327"/>
    <w:rsid w:val="0027423D"/>
    <w:rsid w:val="00280220"/>
    <w:rsid w:val="00282036"/>
    <w:rsid w:val="002832AF"/>
    <w:rsid w:val="00291820"/>
    <w:rsid w:val="00291BAD"/>
    <w:rsid w:val="00291FBB"/>
    <w:rsid w:val="002938BD"/>
    <w:rsid w:val="002944B4"/>
    <w:rsid w:val="002962D6"/>
    <w:rsid w:val="00296489"/>
    <w:rsid w:val="002A0AA0"/>
    <w:rsid w:val="002A6631"/>
    <w:rsid w:val="002A68BA"/>
    <w:rsid w:val="002A7374"/>
    <w:rsid w:val="002A798A"/>
    <w:rsid w:val="002A7EA0"/>
    <w:rsid w:val="002B2938"/>
    <w:rsid w:val="002C2165"/>
    <w:rsid w:val="002C2F7D"/>
    <w:rsid w:val="002C66B8"/>
    <w:rsid w:val="002D1CD5"/>
    <w:rsid w:val="002D25F8"/>
    <w:rsid w:val="002D4284"/>
    <w:rsid w:val="002D4F24"/>
    <w:rsid w:val="002D5D5E"/>
    <w:rsid w:val="002D5DD9"/>
    <w:rsid w:val="002E0646"/>
    <w:rsid w:val="002E7289"/>
    <w:rsid w:val="002E762E"/>
    <w:rsid w:val="002F15D4"/>
    <w:rsid w:val="002F1D0C"/>
    <w:rsid w:val="002F215E"/>
    <w:rsid w:val="002F4A01"/>
    <w:rsid w:val="00300AC1"/>
    <w:rsid w:val="00301E60"/>
    <w:rsid w:val="0030477E"/>
    <w:rsid w:val="003047D1"/>
    <w:rsid w:val="00307AAD"/>
    <w:rsid w:val="003113E4"/>
    <w:rsid w:val="00312DD1"/>
    <w:rsid w:val="00316930"/>
    <w:rsid w:val="00324FD0"/>
    <w:rsid w:val="00325853"/>
    <w:rsid w:val="003266B7"/>
    <w:rsid w:val="00330153"/>
    <w:rsid w:val="00333106"/>
    <w:rsid w:val="00335848"/>
    <w:rsid w:val="00341BE9"/>
    <w:rsid w:val="00344124"/>
    <w:rsid w:val="00345C7E"/>
    <w:rsid w:val="003469F8"/>
    <w:rsid w:val="00350B84"/>
    <w:rsid w:val="00351880"/>
    <w:rsid w:val="00353747"/>
    <w:rsid w:val="003537DD"/>
    <w:rsid w:val="00356998"/>
    <w:rsid w:val="00357C38"/>
    <w:rsid w:val="00360DA1"/>
    <w:rsid w:val="003658F6"/>
    <w:rsid w:val="003707E3"/>
    <w:rsid w:val="003724EF"/>
    <w:rsid w:val="00374264"/>
    <w:rsid w:val="00377861"/>
    <w:rsid w:val="003800D6"/>
    <w:rsid w:val="0038154F"/>
    <w:rsid w:val="00383A0C"/>
    <w:rsid w:val="0038574A"/>
    <w:rsid w:val="00386B30"/>
    <w:rsid w:val="0039002F"/>
    <w:rsid w:val="003908FC"/>
    <w:rsid w:val="00395343"/>
    <w:rsid w:val="00395CE2"/>
    <w:rsid w:val="003A1E29"/>
    <w:rsid w:val="003A35E4"/>
    <w:rsid w:val="003A69AD"/>
    <w:rsid w:val="003B2BF8"/>
    <w:rsid w:val="003B5836"/>
    <w:rsid w:val="003C0FF7"/>
    <w:rsid w:val="003C1E7A"/>
    <w:rsid w:val="003C63A6"/>
    <w:rsid w:val="003C68F6"/>
    <w:rsid w:val="003C71EF"/>
    <w:rsid w:val="003D3902"/>
    <w:rsid w:val="003D425D"/>
    <w:rsid w:val="003E1A8C"/>
    <w:rsid w:val="003E27D0"/>
    <w:rsid w:val="003E311F"/>
    <w:rsid w:val="003E465E"/>
    <w:rsid w:val="003E5B76"/>
    <w:rsid w:val="003E6630"/>
    <w:rsid w:val="003F04DC"/>
    <w:rsid w:val="003F2428"/>
    <w:rsid w:val="003F5EEF"/>
    <w:rsid w:val="00400C82"/>
    <w:rsid w:val="00403207"/>
    <w:rsid w:val="0040592D"/>
    <w:rsid w:val="00414448"/>
    <w:rsid w:val="00417361"/>
    <w:rsid w:val="00423DE7"/>
    <w:rsid w:val="00431AAB"/>
    <w:rsid w:val="00432BA5"/>
    <w:rsid w:val="00436DCA"/>
    <w:rsid w:val="00440D4B"/>
    <w:rsid w:val="00442E15"/>
    <w:rsid w:val="0044541B"/>
    <w:rsid w:val="00447D11"/>
    <w:rsid w:val="004500CA"/>
    <w:rsid w:val="00450E5A"/>
    <w:rsid w:val="00456DCB"/>
    <w:rsid w:val="0045711F"/>
    <w:rsid w:val="00465183"/>
    <w:rsid w:val="0046591E"/>
    <w:rsid w:val="00473691"/>
    <w:rsid w:val="00477C55"/>
    <w:rsid w:val="00484606"/>
    <w:rsid w:val="00485ECC"/>
    <w:rsid w:val="00496050"/>
    <w:rsid w:val="004A25B5"/>
    <w:rsid w:val="004A3F24"/>
    <w:rsid w:val="004A5282"/>
    <w:rsid w:val="004A739F"/>
    <w:rsid w:val="004A7908"/>
    <w:rsid w:val="004A7A30"/>
    <w:rsid w:val="004B2DFD"/>
    <w:rsid w:val="004B60B7"/>
    <w:rsid w:val="004B7EF9"/>
    <w:rsid w:val="004C090B"/>
    <w:rsid w:val="004C37BA"/>
    <w:rsid w:val="004D0ED5"/>
    <w:rsid w:val="004D1997"/>
    <w:rsid w:val="004D19CA"/>
    <w:rsid w:val="004D1D8D"/>
    <w:rsid w:val="004D22CC"/>
    <w:rsid w:val="004D4E55"/>
    <w:rsid w:val="004D5032"/>
    <w:rsid w:val="004E2A45"/>
    <w:rsid w:val="004E479D"/>
    <w:rsid w:val="004E5891"/>
    <w:rsid w:val="004E6202"/>
    <w:rsid w:val="004F123C"/>
    <w:rsid w:val="004F28DF"/>
    <w:rsid w:val="004F7908"/>
    <w:rsid w:val="004F7B2A"/>
    <w:rsid w:val="005018AE"/>
    <w:rsid w:val="00502A57"/>
    <w:rsid w:val="005031E1"/>
    <w:rsid w:val="00507355"/>
    <w:rsid w:val="00510B3F"/>
    <w:rsid w:val="00512385"/>
    <w:rsid w:val="005146E7"/>
    <w:rsid w:val="00514BAB"/>
    <w:rsid w:val="005150ED"/>
    <w:rsid w:val="0052502F"/>
    <w:rsid w:val="0052568C"/>
    <w:rsid w:val="00526915"/>
    <w:rsid w:val="00531333"/>
    <w:rsid w:val="00532478"/>
    <w:rsid w:val="0053385E"/>
    <w:rsid w:val="005415C5"/>
    <w:rsid w:val="0054215E"/>
    <w:rsid w:val="00543E34"/>
    <w:rsid w:val="005448F7"/>
    <w:rsid w:val="00544DC1"/>
    <w:rsid w:val="00544EA2"/>
    <w:rsid w:val="00545C84"/>
    <w:rsid w:val="00546046"/>
    <w:rsid w:val="00547F77"/>
    <w:rsid w:val="00550774"/>
    <w:rsid w:val="0055370E"/>
    <w:rsid w:val="00555A05"/>
    <w:rsid w:val="005602FB"/>
    <w:rsid w:val="00561D98"/>
    <w:rsid w:val="00563A78"/>
    <w:rsid w:val="00571471"/>
    <w:rsid w:val="00575FD0"/>
    <w:rsid w:val="005766AA"/>
    <w:rsid w:val="0057771F"/>
    <w:rsid w:val="00580A15"/>
    <w:rsid w:val="0058174A"/>
    <w:rsid w:val="0058211C"/>
    <w:rsid w:val="00582CCB"/>
    <w:rsid w:val="00590C1B"/>
    <w:rsid w:val="00591B87"/>
    <w:rsid w:val="00593EC1"/>
    <w:rsid w:val="005969C3"/>
    <w:rsid w:val="00597C0D"/>
    <w:rsid w:val="005A0C54"/>
    <w:rsid w:val="005A2B72"/>
    <w:rsid w:val="005A4949"/>
    <w:rsid w:val="005A7020"/>
    <w:rsid w:val="005A7042"/>
    <w:rsid w:val="005B23B1"/>
    <w:rsid w:val="005B25CE"/>
    <w:rsid w:val="005B3416"/>
    <w:rsid w:val="005B56B8"/>
    <w:rsid w:val="005B6B03"/>
    <w:rsid w:val="005C1BF9"/>
    <w:rsid w:val="005C4B7F"/>
    <w:rsid w:val="005D1D1E"/>
    <w:rsid w:val="005D65F8"/>
    <w:rsid w:val="005D6FF2"/>
    <w:rsid w:val="005E2E8B"/>
    <w:rsid w:val="005F0CEE"/>
    <w:rsid w:val="005F16D3"/>
    <w:rsid w:val="005F44BC"/>
    <w:rsid w:val="005F46B6"/>
    <w:rsid w:val="005F49A2"/>
    <w:rsid w:val="005F49AB"/>
    <w:rsid w:val="005F4E27"/>
    <w:rsid w:val="00604296"/>
    <w:rsid w:val="00607D87"/>
    <w:rsid w:val="006130F6"/>
    <w:rsid w:val="00613D24"/>
    <w:rsid w:val="00613E24"/>
    <w:rsid w:val="00613FFB"/>
    <w:rsid w:val="0061400A"/>
    <w:rsid w:val="006145A3"/>
    <w:rsid w:val="006145E0"/>
    <w:rsid w:val="0061567F"/>
    <w:rsid w:val="00621441"/>
    <w:rsid w:val="0062277D"/>
    <w:rsid w:val="00622CC1"/>
    <w:rsid w:val="00624926"/>
    <w:rsid w:val="0062598F"/>
    <w:rsid w:val="00626AB3"/>
    <w:rsid w:val="00632292"/>
    <w:rsid w:val="00633566"/>
    <w:rsid w:val="0063457D"/>
    <w:rsid w:val="006378A2"/>
    <w:rsid w:val="006449EC"/>
    <w:rsid w:val="00653B2D"/>
    <w:rsid w:val="00654708"/>
    <w:rsid w:val="0065708F"/>
    <w:rsid w:val="006720C0"/>
    <w:rsid w:val="0067672D"/>
    <w:rsid w:val="00681447"/>
    <w:rsid w:val="00682BC1"/>
    <w:rsid w:val="006862CD"/>
    <w:rsid w:val="00686BB2"/>
    <w:rsid w:val="00687595"/>
    <w:rsid w:val="006965CD"/>
    <w:rsid w:val="00697575"/>
    <w:rsid w:val="006A053D"/>
    <w:rsid w:val="006A16F3"/>
    <w:rsid w:val="006A3E30"/>
    <w:rsid w:val="006A6ECC"/>
    <w:rsid w:val="006A764A"/>
    <w:rsid w:val="006B0892"/>
    <w:rsid w:val="006B4C33"/>
    <w:rsid w:val="006B5746"/>
    <w:rsid w:val="006B66BC"/>
    <w:rsid w:val="006B76D6"/>
    <w:rsid w:val="006B7F08"/>
    <w:rsid w:val="006C10C5"/>
    <w:rsid w:val="006C13C6"/>
    <w:rsid w:val="006C23CB"/>
    <w:rsid w:val="006C63D6"/>
    <w:rsid w:val="006C6D39"/>
    <w:rsid w:val="006D318F"/>
    <w:rsid w:val="006D76D6"/>
    <w:rsid w:val="006E5A73"/>
    <w:rsid w:val="006F0986"/>
    <w:rsid w:val="006F4C90"/>
    <w:rsid w:val="007022E4"/>
    <w:rsid w:val="0070461C"/>
    <w:rsid w:val="0070470B"/>
    <w:rsid w:val="00704D07"/>
    <w:rsid w:val="007108F6"/>
    <w:rsid w:val="0071133D"/>
    <w:rsid w:val="00713517"/>
    <w:rsid w:val="0071689A"/>
    <w:rsid w:val="00716A09"/>
    <w:rsid w:val="007207E4"/>
    <w:rsid w:val="00721665"/>
    <w:rsid w:val="00726C31"/>
    <w:rsid w:val="00727128"/>
    <w:rsid w:val="00730A48"/>
    <w:rsid w:val="007352F3"/>
    <w:rsid w:val="007420C3"/>
    <w:rsid w:val="00742836"/>
    <w:rsid w:val="0074385F"/>
    <w:rsid w:val="00747507"/>
    <w:rsid w:val="00752220"/>
    <w:rsid w:val="0075318D"/>
    <w:rsid w:val="007566AC"/>
    <w:rsid w:val="00756732"/>
    <w:rsid w:val="007567F3"/>
    <w:rsid w:val="007603EC"/>
    <w:rsid w:val="007653F1"/>
    <w:rsid w:val="00765659"/>
    <w:rsid w:val="00765E1D"/>
    <w:rsid w:val="007728C1"/>
    <w:rsid w:val="007729FA"/>
    <w:rsid w:val="00774B0C"/>
    <w:rsid w:val="00780EA6"/>
    <w:rsid w:val="00781D1A"/>
    <w:rsid w:val="00783BA1"/>
    <w:rsid w:val="007842A6"/>
    <w:rsid w:val="007856B7"/>
    <w:rsid w:val="007857CB"/>
    <w:rsid w:val="00787CDB"/>
    <w:rsid w:val="00790AC4"/>
    <w:rsid w:val="0079226B"/>
    <w:rsid w:val="00796F45"/>
    <w:rsid w:val="0079794F"/>
    <w:rsid w:val="007A147A"/>
    <w:rsid w:val="007A4DAA"/>
    <w:rsid w:val="007A693B"/>
    <w:rsid w:val="007B2B29"/>
    <w:rsid w:val="007B4402"/>
    <w:rsid w:val="007B6763"/>
    <w:rsid w:val="007B6C6E"/>
    <w:rsid w:val="007C4BD4"/>
    <w:rsid w:val="007C61E5"/>
    <w:rsid w:val="007C757D"/>
    <w:rsid w:val="007C7989"/>
    <w:rsid w:val="007D2310"/>
    <w:rsid w:val="007D24F0"/>
    <w:rsid w:val="007D250E"/>
    <w:rsid w:val="007D27AD"/>
    <w:rsid w:val="007D3E76"/>
    <w:rsid w:val="007D58C8"/>
    <w:rsid w:val="007E1670"/>
    <w:rsid w:val="007E1696"/>
    <w:rsid w:val="007E16C6"/>
    <w:rsid w:val="007E1EA6"/>
    <w:rsid w:val="007E6879"/>
    <w:rsid w:val="007E7458"/>
    <w:rsid w:val="007F4817"/>
    <w:rsid w:val="008016CA"/>
    <w:rsid w:val="00803C15"/>
    <w:rsid w:val="00804AEA"/>
    <w:rsid w:val="00806CAA"/>
    <w:rsid w:val="0081182C"/>
    <w:rsid w:val="00815011"/>
    <w:rsid w:val="00815F2B"/>
    <w:rsid w:val="00816D1C"/>
    <w:rsid w:val="00821459"/>
    <w:rsid w:val="00824CF8"/>
    <w:rsid w:val="008319F2"/>
    <w:rsid w:val="00837D06"/>
    <w:rsid w:val="008404B4"/>
    <w:rsid w:val="00840ACA"/>
    <w:rsid w:val="00842C4E"/>
    <w:rsid w:val="00842CD9"/>
    <w:rsid w:val="0084487A"/>
    <w:rsid w:val="00851522"/>
    <w:rsid w:val="0085181C"/>
    <w:rsid w:val="00851C1A"/>
    <w:rsid w:val="00851F5C"/>
    <w:rsid w:val="008543BF"/>
    <w:rsid w:val="00865018"/>
    <w:rsid w:val="00867CDD"/>
    <w:rsid w:val="008830B6"/>
    <w:rsid w:val="008836F8"/>
    <w:rsid w:val="00883E64"/>
    <w:rsid w:val="0088619B"/>
    <w:rsid w:val="00890DAD"/>
    <w:rsid w:val="00894062"/>
    <w:rsid w:val="00894C42"/>
    <w:rsid w:val="00895083"/>
    <w:rsid w:val="0089515D"/>
    <w:rsid w:val="008960A3"/>
    <w:rsid w:val="008A1021"/>
    <w:rsid w:val="008A1284"/>
    <w:rsid w:val="008A2400"/>
    <w:rsid w:val="008A49BC"/>
    <w:rsid w:val="008A74D9"/>
    <w:rsid w:val="008B601D"/>
    <w:rsid w:val="008B6A61"/>
    <w:rsid w:val="008B7B01"/>
    <w:rsid w:val="008C05DF"/>
    <w:rsid w:val="008C2AB5"/>
    <w:rsid w:val="008C41A9"/>
    <w:rsid w:val="008C569A"/>
    <w:rsid w:val="008C7822"/>
    <w:rsid w:val="008C7C3A"/>
    <w:rsid w:val="008D317B"/>
    <w:rsid w:val="008D3596"/>
    <w:rsid w:val="008D4E96"/>
    <w:rsid w:val="008D6973"/>
    <w:rsid w:val="008E127F"/>
    <w:rsid w:val="008E5E78"/>
    <w:rsid w:val="008F2B17"/>
    <w:rsid w:val="008F3328"/>
    <w:rsid w:val="00904138"/>
    <w:rsid w:val="0090622F"/>
    <w:rsid w:val="00912702"/>
    <w:rsid w:val="00914167"/>
    <w:rsid w:val="0091663C"/>
    <w:rsid w:val="00921AEA"/>
    <w:rsid w:val="00921B44"/>
    <w:rsid w:val="009360C9"/>
    <w:rsid w:val="0094264A"/>
    <w:rsid w:val="009458AE"/>
    <w:rsid w:val="00945E20"/>
    <w:rsid w:val="009466C6"/>
    <w:rsid w:val="00947691"/>
    <w:rsid w:val="009535AA"/>
    <w:rsid w:val="00960C9A"/>
    <w:rsid w:val="0096247C"/>
    <w:rsid w:val="00971235"/>
    <w:rsid w:val="00971E54"/>
    <w:rsid w:val="009723AD"/>
    <w:rsid w:val="00975798"/>
    <w:rsid w:val="00982F7F"/>
    <w:rsid w:val="00983021"/>
    <w:rsid w:val="00984875"/>
    <w:rsid w:val="009913AD"/>
    <w:rsid w:val="00991923"/>
    <w:rsid w:val="00995B42"/>
    <w:rsid w:val="009A1AB8"/>
    <w:rsid w:val="009A1B5D"/>
    <w:rsid w:val="009A308B"/>
    <w:rsid w:val="009A4F9B"/>
    <w:rsid w:val="009B10B8"/>
    <w:rsid w:val="009B37CF"/>
    <w:rsid w:val="009B64E0"/>
    <w:rsid w:val="009B7556"/>
    <w:rsid w:val="009C01F9"/>
    <w:rsid w:val="009C02FE"/>
    <w:rsid w:val="009C5F4B"/>
    <w:rsid w:val="009D1C3B"/>
    <w:rsid w:val="009D385E"/>
    <w:rsid w:val="009D56DF"/>
    <w:rsid w:val="009D66B3"/>
    <w:rsid w:val="009D6D67"/>
    <w:rsid w:val="009E0B48"/>
    <w:rsid w:val="009E167F"/>
    <w:rsid w:val="009E578B"/>
    <w:rsid w:val="009E66BC"/>
    <w:rsid w:val="009F4890"/>
    <w:rsid w:val="009F533F"/>
    <w:rsid w:val="009F6777"/>
    <w:rsid w:val="009F7EA5"/>
    <w:rsid w:val="00A0327C"/>
    <w:rsid w:val="00A040F4"/>
    <w:rsid w:val="00A05051"/>
    <w:rsid w:val="00A05F0D"/>
    <w:rsid w:val="00A1468D"/>
    <w:rsid w:val="00A16145"/>
    <w:rsid w:val="00A20A13"/>
    <w:rsid w:val="00A21591"/>
    <w:rsid w:val="00A24468"/>
    <w:rsid w:val="00A2448D"/>
    <w:rsid w:val="00A24EC7"/>
    <w:rsid w:val="00A256C7"/>
    <w:rsid w:val="00A26BD3"/>
    <w:rsid w:val="00A312BF"/>
    <w:rsid w:val="00A37001"/>
    <w:rsid w:val="00A44AAE"/>
    <w:rsid w:val="00A45EA2"/>
    <w:rsid w:val="00A476B0"/>
    <w:rsid w:val="00A57C8E"/>
    <w:rsid w:val="00A60A15"/>
    <w:rsid w:val="00A61669"/>
    <w:rsid w:val="00A628D7"/>
    <w:rsid w:val="00A713A9"/>
    <w:rsid w:val="00A71D64"/>
    <w:rsid w:val="00A72052"/>
    <w:rsid w:val="00A74036"/>
    <w:rsid w:val="00A803EC"/>
    <w:rsid w:val="00A81A61"/>
    <w:rsid w:val="00A82FC1"/>
    <w:rsid w:val="00A835C5"/>
    <w:rsid w:val="00A84F12"/>
    <w:rsid w:val="00A93313"/>
    <w:rsid w:val="00A956D1"/>
    <w:rsid w:val="00A96EDB"/>
    <w:rsid w:val="00A971AE"/>
    <w:rsid w:val="00AA074E"/>
    <w:rsid w:val="00AA289B"/>
    <w:rsid w:val="00AA5602"/>
    <w:rsid w:val="00AB1ADA"/>
    <w:rsid w:val="00AB398D"/>
    <w:rsid w:val="00AB627E"/>
    <w:rsid w:val="00AB64DD"/>
    <w:rsid w:val="00AC29D6"/>
    <w:rsid w:val="00AD31A3"/>
    <w:rsid w:val="00AD4FA3"/>
    <w:rsid w:val="00AD5453"/>
    <w:rsid w:val="00AD6E17"/>
    <w:rsid w:val="00AE1F1E"/>
    <w:rsid w:val="00AE3867"/>
    <w:rsid w:val="00AE404C"/>
    <w:rsid w:val="00AE4C32"/>
    <w:rsid w:val="00AE6BE1"/>
    <w:rsid w:val="00AF0EBD"/>
    <w:rsid w:val="00AF1FB9"/>
    <w:rsid w:val="00AF2460"/>
    <w:rsid w:val="00AF74D2"/>
    <w:rsid w:val="00B20DFC"/>
    <w:rsid w:val="00B2314D"/>
    <w:rsid w:val="00B23384"/>
    <w:rsid w:val="00B25612"/>
    <w:rsid w:val="00B257AA"/>
    <w:rsid w:val="00B27D63"/>
    <w:rsid w:val="00B34517"/>
    <w:rsid w:val="00B407B8"/>
    <w:rsid w:val="00B43B5A"/>
    <w:rsid w:val="00B46F83"/>
    <w:rsid w:val="00B4731C"/>
    <w:rsid w:val="00B5589B"/>
    <w:rsid w:val="00B55A87"/>
    <w:rsid w:val="00B55D04"/>
    <w:rsid w:val="00B56930"/>
    <w:rsid w:val="00B61C72"/>
    <w:rsid w:val="00B65154"/>
    <w:rsid w:val="00B65B25"/>
    <w:rsid w:val="00B66DC8"/>
    <w:rsid w:val="00B67E68"/>
    <w:rsid w:val="00B67EA6"/>
    <w:rsid w:val="00B745B6"/>
    <w:rsid w:val="00B74A66"/>
    <w:rsid w:val="00B75C7B"/>
    <w:rsid w:val="00B75EBD"/>
    <w:rsid w:val="00B760A4"/>
    <w:rsid w:val="00B803CB"/>
    <w:rsid w:val="00B838E3"/>
    <w:rsid w:val="00B94B41"/>
    <w:rsid w:val="00B95926"/>
    <w:rsid w:val="00BA484E"/>
    <w:rsid w:val="00BA4B2E"/>
    <w:rsid w:val="00BA7376"/>
    <w:rsid w:val="00BB2A6D"/>
    <w:rsid w:val="00BB36B0"/>
    <w:rsid w:val="00BB42D9"/>
    <w:rsid w:val="00BB4BA0"/>
    <w:rsid w:val="00BB7591"/>
    <w:rsid w:val="00BC5343"/>
    <w:rsid w:val="00BC5EC3"/>
    <w:rsid w:val="00BC6B65"/>
    <w:rsid w:val="00BD5700"/>
    <w:rsid w:val="00BD57A1"/>
    <w:rsid w:val="00BD6C50"/>
    <w:rsid w:val="00BD6CEB"/>
    <w:rsid w:val="00BE03F8"/>
    <w:rsid w:val="00BE0FEE"/>
    <w:rsid w:val="00BE1A08"/>
    <w:rsid w:val="00BE4647"/>
    <w:rsid w:val="00BE6CA5"/>
    <w:rsid w:val="00BE7B62"/>
    <w:rsid w:val="00BF0B6D"/>
    <w:rsid w:val="00BF4B98"/>
    <w:rsid w:val="00BF63A4"/>
    <w:rsid w:val="00C01654"/>
    <w:rsid w:val="00C01B58"/>
    <w:rsid w:val="00C0512A"/>
    <w:rsid w:val="00C11604"/>
    <w:rsid w:val="00C13886"/>
    <w:rsid w:val="00C14DFB"/>
    <w:rsid w:val="00C15BF0"/>
    <w:rsid w:val="00C235CD"/>
    <w:rsid w:val="00C23718"/>
    <w:rsid w:val="00C3305C"/>
    <w:rsid w:val="00C410BA"/>
    <w:rsid w:val="00C42D3D"/>
    <w:rsid w:val="00C43E21"/>
    <w:rsid w:val="00C46FC0"/>
    <w:rsid w:val="00C519F9"/>
    <w:rsid w:val="00C55ED6"/>
    <w:rsid w:val="00C5633A"/>
    <w:rsid w:val="00C5717C"/>
    <w:rsid w:val="00C614FB"/>
    <w:rsid w:val="00C639B5"/>
    <w:rsid w:val="00C64CDC"/>
    <w:rsid w:val="00C6568E"/>
    <w:rsid w:val="00C65AAA"/>
    <w:rsid w:val="00C66DA4"/>
    <w:rsid w:val="00C70759"/>
    <w:rsid w:val="00C70A33"/>
    <w:rsid w:val="00C7186F"/>
    <w:rsid w:val="00C76E84"/>
    <w:rsid w:val="00C81520"/>
    <w:rsid w:val="00C82739"/>
    <w:rsid w:val="00C8329B"/>
    <w:rsid w:val="00C85C4C"/>
    <w:rsid w:val="00C91AB8"/>
    <w:rsid w:val="00CA0747"/>
    <w:rsid w:val="00CA1262"/>
    <w:rsid w:val="00CA1F16"/>
    <w:rsid w:val="00CA61F0"/>
    <w:rsid w:val="00CB09E9"/>
    <w:rsid w:val="00CB799F"/>
    <w:rsid w:val="00CC05D6"/>
    <w:rsid w:val="00CC1BB5"/>
    <w:rsid w:val="00CC284B"/>
    <w:rsid w:val="00CC3404"/>
    <w:rsid w:val="00CD372E"/>
    <w:rsid w:val="00CD5A0B"/>
    <w:rsid w:val="00CD6823"/>
    <w:rsid w:val="00CD6AE8"/>
    <w:rsid w:val="00CE0AB2"/>
    <w:rsid w:val="00CE15CA"/>
    <w:rsid w:val="00CE42EA"/>
    <w:rsid w:val="00CE5232"/>
    <w:rsid w:val="00CF298D"/>
    <w:rsid w:val="00CF5D71"/>
    <w:rsid w:val="00CF7910"/>
    <w:rsid w:val="00D00D7E"/>
    <w:rsid w:val="00D026F8"/>
    <w:rsid w:val="00D066D2"/>
    <w:rsid w:val="00D1323F"/>
    <w:rsid w:val="00D2311C"/>
    <w:rsid w:val="00D242C7"/>
    <w:rsid w:val="00D32266"/>
    <w:rsid w:val="00D431FE"/>
    <w:rsid w:val="00D46255"/>
    <w:rsid w:val="00D5135E"/>
    <w:rsid w:val="00D52A43"/>
    <w:rsid w:val="00D5336E"/>
    <w:rsid w:val="00D577F5"/>
    <w:rsid w:val="00D72D82"/>
    <w:rsid w:val="00D73671"/>
    <w:rsid w:val="00D7475C"/>
    <w:rsid w:val="00D76307"/>
    <w:rsid w:val="00D77F72"/>
    <w:rsid w:val="00D809B6"/>
    <w:rsid w:val="00D82BC3"/>
    <w:rsid w:val="00D90513"/>
    <w:rsid w:val="00D90F5F"/>
    <w:rsid w:val="00D9183A"/>
    <w:rsid w:val="00D94855"/>
    <w:rsid w:val="00D9537B"/>
    <w:rsid w:val="00D95934"/>
    <w:rsid w:val="00D9679E"/>
    <w:rsid w:val="00DA262A"/>
    <w:rsid w:val="00DB0044"/>
    <w:rsid w:val="00DB36E0"/>
    <w:rsid w:val="00DB42A2"/>
    <w:rsid w:val="00DB525E"/>
    <w:rsid w:val="00DB54EA"/>
    <w:rsid w:val="00DB5AC4"/>
    <w:rsid w:val="00DC4B17"/>
    <w:rsid w:val="00DC5207"/>
    <w:rsid w:val="00DC7124"/>
    <w:rsid w:val="00DD40CE"/>
    <w:rsid w:val="00DD5182"/>
    <w:rsid w:val="00DD649E"/>
    <w:rsid w:val="00DD73B2"/>
    <w:rsid w:val="00DE2FB3"/>
    <w:rsid w:val="00DE4CAF"/>
    <w:rsid w:val="00DE53AC"/>
    <w:rsid w:val="00DE7287"/>
    <w:rsid w:val="00DF2D4F"/>
    <w:rsid w:val="00DF2FB5"/>
    <w:rsid w:val="00DF63AF"/>
    <w:rsid w:val="00DF6B2A"/>
    <w:rsid w:val="00DF78F8"/>
    <w:rsid w:val="00E02089"/>
    <w:rsid w:val="00E020B4"/>
    <w:rsid w:val="00E05D5B"/>
    <w:rsid w:val="00E066B3"/>
    <w:rsid w:val="00E10A95"/>
    <w:rsid w:val="00E1617A"/>
    <w:rsid w:val="00E171CF"/>
    <w:rsid w:val="00E20542"/>
    <w:rsid w:val="00E24740"/>
    <w:rsid w:val="00E27E30"/>
    <w:rsid w:val="00E30882"/>
    <w:rsid w:val="00E36BF9"/>
    <w:rsid w:val="00E428E6"/>
    <w:rsid w:val="00E45CBF"/>
    <w:rsid w:val="00E45D56"/>
    <w:rsid w:val="00E55678"/>
    <w:rsid w:val="00E56151"/>
    <w:rsid w:val="00E618B0"/>
    <w:rsid w:val="00E64AC7"/>
    <w:rsid w:val="00E66F60"/>
    <w:rsid w:val="00E67085"/>
    <w:rsid w:val="00E7355A"/>
    <w:rsid w:val="00E7602E"/>
    <w:rsid w:val="00E77AEB"/>
    <w:rsid w:val="00E800C6"/>
    <w:rsid w:val="00E81757"/>
    <w:rsid w:val="00E824A8"/>
    <w:rsid w:val="00E86D9B"/>
    <w:rsid w:val="00E908B4"/>
    <w:rsid w:val="00E96F8F"/>
    <w:rsid w:val="00EA0979"/>
    <w:rsid w:val="00EA2740"/>
    <w:rsid w:val="00EA755B"/>
    <w:rsid w:val="00EA799D"/>
    <w:rsid w:val="00EA7C17"/>
    <w:rsid w:val="00EB0452"/>
    <w:rsid w:val="00EC0A23"/>
    <w:rsid w:val="00EC1F58"/>
    <w:rsid w:val="00EC2520"/>
    <w:rsid w:val="00EC25B8"/>
    <w:rsid w:val="00EC6A6B"/>
    <w:rsid w:val="00ED0C54"/>
    <w:rsid w:val="00ED0FA3"/>
    <w:rsid w:val="00ED263A"/>
    <w:rsid w:val="00ED2B1A"/>
    <w:rsid w:val="00ED3CEE"/>
    <w:rsid w:val="00EE25F4"/>
    <w:rsid w:val="00EE6275"/>
    <w:rsid w:val="00EE76FB"/>
    <w:rsid w:val="00EF11D0"/>
    <w:rsid w:val="00EF3B16"/>
    <w:rsid w:val="00EF44D1"/>
    <w:rsid w:val="00EF5443"/>
    <w:rsid w:val="00EF623D"/>
    <w:rsid w:val="00EF68A2"/>
    <w:rsid w:val="00F02F1F"/>
    <w:rsid w:val="00F032CD"/>
    <w:rsid w:val="00F0376D"/>
    <w:rsid w:val="00F10407"/>
    <w:rsid w:val="00F137EA"/>
    <w:rsid w:val="00F15A09"/>
    <w:rsid w:val="00F167A3"/>
    <w:rsid w:val="00F170B6"/>
    <w:rsid w:val="00F17F8B"/>
    <w:rsid w:val="00F17FFB"/>
    <w:rsid w:val="00F25F31"/>
    <w:rsid w:val="00F27FE8"/>
    <w:rsid w:val="00F329B0"/>
    <w:rsid w:val="00F3317E"/>
    <w:rsid w:val="00F34F61"/>
    <w:rsid w:val="00F36BCE"/>
    <w:rsid w:val="00F40379"/>
    <w:rsid w:val="00F40ED3"/>
    <w:rsid w:val="00F41C85"/>
    <w:rsid w:val="00F44E89"/>
    <w:rsid w:val="00F45C58"/>
    <w:rsid w:val="00F46640"/>
    <w:rsid w:val="00F47D10"/>
    <w:rsid w:val="00F54DFE"/>
    <w:rsid w:val="00F6082A"/>
    <w:rsid w:val="00F67542"/>
    <w:rsid w:val="00F725E3"/>
    <w:rsid w:val="00F72C7C"/>
    <w:rsid w:val="00F74B1D"/>
    <w:rsid w:val="00F80A51"/>
    <w:rsid w:val="00F81EBD"/>
    <w:rsid w:val="00F81EC4"/>
    <w:rsid w:val="00F82A6A"/>
    <w:rsid w:val="00F82B30"/>
    <w:rsid w:val="00F841D9"/>
    <w:rsid w:val="00F901DF"/>
    <w:rsid w:val="00F94B89"/>
    <w:rsid w:val="00F95D77"/>
    <w:rsid w:val="00FA0045"/>
    <w:rsid w:val="00FA1F37"/>
    <w:rsid w:val="00FA25E4"/>
    <w:rsid w:val="00FA320E"/>
    <w:rsid w:val="00FB4316"/>
    <w:rsid w:val="00FB5142"/>
    <w:rsid w:val="00FB7647"/>
    <w:rsid w:val="00FC4121"/>
    <w:rsid w:val="00FC5385"/>
    <w:rsid w:val="00FC69E6"/>
    <w:rsid w:val="00FD4E9C"/>
    <w:rsid w:val="00FE2423"/>
    <w:rsid w:val="00FE7C4A"/>
    <w:rsid w:val="00FF00C7"/>
    <w:rsid w:val="00FF1047"/>
    <w:rsid w:val="00FF1F7C"/>
    <w:rsid w:val="00FF36A4"/>
    <w:rsid w:val="00FF3D3C"/>
    <w:rsid w:val="00FF478F"/>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8215A"/>
  <w15:chartTrackingRefBased/>
  <w15:docId w15:val="{BA7AC198-DCAD-40D7-B049-3175D0D7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lang w:val="en-GB"/>
    </w:rPr>
  </w:style>
  <w:style w:type="paragraph" w:styleId="Heading1">
    <w:name w:val="heading 1"/>
    <w:basedOn w:val="Normal"/>
    <w:next w:val="Normal"/>
    <w:link w:val="Heading1Char"/>
    <w:uiPriority w:val="9"/>
    <w:qFormat/>
    <w:rsid w:val="007271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71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71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4BC"/>
    <w:pPr>
      <w:ind w:left="720"/>
      <w:contextualSpacing/>
    </w:pPr>
  </w:style>
  <w:style w:type="character" w:styleId="Hyperlink">
    <w:name w:val="Hyperlink"/>
    <w:basedOn w:val="DefaultParagraphFont"/>
    <w:uiPriority w:val="99"/>
    <w:unhideWhenUsed/>
    <w:rsid w:val="005F44BC"/>
    <w:rPr>
      <w:color w:val="0563C1" w:themeColor="hyperlink"/>
      <w:u w:val="single"/>
    </w:rPr>
  </w:style>
  <w:style w:type="character" w:styleId="UnresolvedMention">
    <w:name w:val="Unresolved Mention"/>
    <w:basedOn w:val="DefaultParagraphFont"/>
    <w:uiPriority w:val="99"/>
    <w:semiHidden/>
    <w:unhideWhenUsed/>
    <w:rsid w:val="005F44BC"/>
    <w:rPr>
      <w:color w:val="605E5C"/>
      <w:shd w:val="clear" w:color="auto" w:fill="E1DFDD"/>
    </w:rPr>
  </w:style>
  <w:style w:type="paragraph" w:customStyle="1" w:styleId="Default">
    <w:name w:val="Default"/>
    <w:rsid w:val="005F44BC"/>
    <w:pPr>
      <w:autoSpaceDE w:val="0"/>
      <w:autoSpaceDN w:val="0"/>
      <w:adjustRightInd w:val="0"/>
    </w:pPr>
    <w:rPr>
      <w:rFonts w:ascii="Cambria" w:eastAsiaTheme="minorEastAsia" w:hAnsi="Cambria" w:cs="Cambria"/>
      <w:color w:val="000000"/>
      <w:sz w:val="24"/>
      <w:szCs w:val="24"/>
      <w:lang w:val="en-GB"/>
    </w:rPr>
  </w:style>
  <w:style w:type="paragraph" w:styleId="Header">
    <w:name w:val="header"/>
    <w:basedOn w:val="Normal"/>
    <w:link w:val="HeaderChar"/>
    <w:unhideWhenUsed/>
    <w:rsid w:val="005F44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44BC"/>
    <w:rPr>
      <w:lang w:val="en-GB"/>
    </w:rPr>
  </w:style>
  <w:style w:type="paragraph" w:styleId="Footer">
    <w:name w:val="footer"/>
    <w:basedOn w:val="Normal"/>
    <w:link w:val="FooterChar"/>
    <w:uiPriority w:val="99"/>
    <w:unhideWhenUsed/>
    <w:rsid w:val="005F44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44BC"/>
    <w:rPr>
      <w:lang w:val="en-GB"/>
    </w:rPr>
  </w:style>
  <w:style w:type="paragraph" w:styleId="FootnoteText">
    <w:name w:val="footnote text"/>
    <w:basedOn w:val="Normal"/>
    <w:link w:val="FootnoteTextChar"/>
    <w:uiPriority w:val="99"/>
    <w:semiHidden/>
    <w:unhideWhenUsed/>
    <w:rsid w:val="005F4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4BC"/>
    <w:rPr>
      <w:sz w:val="20"/>
      <w:szCs w:val="20"/>
      <w:lang w:val="en-GB"/>
    </w:rPr>
  </w:style>
  <w:style w:type="character" w:styleId="FootnoteReference">
    <w:name w:val="footnote reference"/>
    <w:basedOn w:val="DefaultParagraphFont"/>
    <w:uiPriority w:val="99"/>
    <w:semiHidden/>
    <w:unhideWhenUsed/>
    <w:rsid w:val="005F44BC"/>
    <w:rPr>
      <w:vertAlign w:val="superscript"/>
    </w:rPr>
  </w:style>
  <w:style w:type="character" w:styleId="CommentReference">
    <w:name w:val="annotation reference"/>
    <w:basedOn w:val="DefaultParagraphFont"/>
    <w:uiPriority w:val="99"/>
    <w:semiHidden/>
    <w:unhideWhenUsed/>
    <w:rsid w:val="005F44BC"/>
    <w:rPr>
      <w:sz w:val="16"/>
      <w:szCs w:val="16"/>
    </w:rPr>
  </w:style>
  <w:style w:type="paragraph" w:styleId="CommentText">
    <w:name w:val="annotation text"/>
    <w:basedOn w:val="Normal"/>
    <w:link w:val="CommentTextChar"/>
    <w:uiPriority w:val="99"/>
    <w:semiHidden/>
    <w:unhideWhenUsed/>
    <w:rsid w:val="005F44BC"/>
    <w:pPr>
      <w:spacing w:line="240" w:lineRule="auto"/>
    </w:pPr>
    <w:rPr>
      <w:sz w:val="20"/>
      <w:szCs w:val="20"/>
    </w:rPr>
  </w:style>
  <w:style w:type="character" w:customStyle="1" w:styleId="CommentTextChar">
    <w:name w:val="Comment Text Char"/>
    <w:basedOn w:val="DefaultParagraphFont"/>
    <w:link w:val="CommentText"/>
    <w:uiPriority w:val="99"/>
    <w:semiHidden/>
    <w:rsid w:val="005F44BC"/>
    <w:rPr>
      <w:sz w:val="20"/>
      <w:szCs w:val="20"/>
      <w:lang w:val="en-GB"/>
    </w:rPr>
  </w:style>
  <w:style w:type="paragraph" w:styleId="CommentSubject">
    <w:name w:val="annotation subject"/>
    <w:basedOn w:val="CommentText"/>
    <w:next w:val="CommentText"/>
    <w:link w:val="CommentSubjectChar"/>
    <w:uiPriority w:val="99"/>
    <w:semiHidden/>
    <w:unhideWhenUsed/>
    <w:rsid w:val="005F44BC"/>
    <w:rPr>
      <w:b/>
      <w:bCs/>
    </w:rPr>
  </w:style>
  <w:style w:type="character" w:customStyle="1" w:styleId="CommentSubjectChar">
    <w:name w:val="Comment Subject Char"/>
    <w:basedOn w:val="CommentTextChar"/>
    <w:link w:val="CommentSubject"/>
    <w:uiPriority w:val="99"/>
    <w:semiHidden/>
    <w:rsid w:val="005F44BC"/>
    <w:rPr>
      <w:b/>
      <w:bCs/>
      <w:sz w:val="20"/>
      <w:szCs w:val="20"/>
      <w:lang w:val="en-GB"/>
    </w:rPr>
  </w:style>
  <w:style w:type="paragraph" w:styleId="BalloonText">
    <w:name w:val="Balloon Text"/>
    <w:basedOn w:val="Normal"/>
    <w:link w:val="BalloonTextChar"/>
    <w:uiPriority w:val="99"/>
    <w:semiHidden/>
    <w:unhideWhenUsed/>
    <w:rsid w:val="005F4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BC"/>
    <w:rPr>
      <w:rFonts w:ascii="Segoe UI" w:hAnsi="Segoe UI" w:cs="Segoe UI"/>
      <w:sz w:val="18"/>
      <w:szCs w:val="18"/>
      <w:lang w:val="en-GB"/>
    </w:rPr>
  </w:style>
  <w:style w:type="paragraph" w:styleId="Subtitle">
    <w:name w:val="Subtitle"/>
    <w:basedOn w:val="Normal"/>
    <w:next w:val="Normal"/>
    <w:link w:val="SubtitleChar"/>
    <w:uiPriority w:val="11"/>
    <w:qFormat/>
    <w:rsid w:val="005F44B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44BC"/>
    <w:rPr>
      <w:rFonts w:eastAsiaTheme="minorEastAsia"/>
      <w:color w:val="5A5A5A" w:themeColor="text1" w:themeTint="A5"/>
      <w:spacing w:val="15"/>
      <w:lang w:val="en-GB"/>
    </w:rPr>
  </w:style>
  <w:style w:type="character" w:styleId="FollowedHyperlink">
    <w:name w:val="FollowedHyperlink"/>
    <w:basedOn w:val="DefaultParagraphFont"/>
    <w:uiPriority w:val="99"/>
    <w:semiHidden/>
    <w:unhideWhenUsed/>
    <w:rsid w:val="005F44BC"/>
    <w:rPr>
      <w:color w:val="954F72" w:themeColor="followedHyperlink"/>
      <w:u w:val="single"/>
    </w:rPr>
  </w:style>
  <w:style w:type="paragraph" w:styleId="Revision">
    <w:name w:val="Revision"/>
    <w:hidden/>
    <w:uiPriority w:val="99"/>
    <w:semiHidden/>
    <w:rsid w:val="005F44BC"/>
    <w:rPr>
      <w:lang w:val="en-GB"/>
    </w:rPr>
  </w:style>
  <w:style w:type="character" w:customStyle="1" w:styleId="tgc">
    <w:name w:val="_tgc"/>
    <w:rsid w:val="00F17F8B"/>
  </w:style>
  <w:style w:type="character" w:customStyle="1" w:styleId="A0">
    <w:name w:val="A0"/>
    <w:uiPriority w:val="99"/>
    <w:rsid w:val="00E7602E"/>
    <w:rPr>
      <w:rFonts w:cs="Klinic Slab Book"/>
      <w:color w:val="000000"/>
      <w:sz w:val="20"/>
      <w:szCs w:val="20"/>
    </w:rPr>
  </w:style>
  <w:style w:type="paragraph" w:customStyle="1" w:styleId="Pa0">
    <w:name w:val="Pa0"/>
    <w:basedOn w:val="Default"/>
    <w:next w:val="Default"/>
    <w:uiPriority w:val="99"/>
    <w:rsid w:val="007857CB"/>
    <w:pPr>
      <w:spacing w:line="241" w:lineRule="atLeast"/>
    </w:pPr>
    <w:rPr>
      <w:rFonts w:ascii="Klinic Slab Book" w:eastAsiaTheme="minorHAnsi" w:hAnsi="Klinic Slab Book" w:cstheme="minorBidi"/>
      <w:color w:val="auto"/>
      <w:lang w:val="de-CH"/>
    </w:rPr>
  </w:style>
  <w:style w:type="paragraph" w:styleId="NormalWeb">
    <w:name w:val="Normal (Web)"/>
    <w:basedOn w:val="Normal"/>
    <w:uiPriority w:val="99"/>
    <w:semiHidden/>
    <w:unhideWhenUsed/>
    <w:rsid w:val="00261E39"/>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Normal-poolChar">
    <w:name w:val="Normal-pool Char"/>
    <w:basedOn w:val="DefaultParagraphFont"/>
    <w:link w:val="Normal-pool"/>
    <w:locked/>
    <w:rsid w:val="008E127F"/>
  </w:style>
  <w:style w:type="paragraph" w:customStyle="1" w:styleId="Normal-pool">
    <w:name w:val="Normal-pool"/>
    <w:basedOn w:val="Normal"/>
    <w:link w:val="Normal-poolChar"/>
    <w:rsid w:val="008E127F"/>
    <w:pPr>
      <w:spacing w:after="0" w:line="240" w:lineRule="auto"/>
    </w:pPr>
    <w:rPr>
      <w:lang w:val="de-CH"/>
    </w:rPr>
  </w:style>
  <w:style w:type="character" w:customStyle="1" w:styleId="Heading1Char">
    <w:name w:val="Heading 1 Char"/>
    <w:basedOn w:val="DefaultParagraphFont"/>
    <w:link w:val="Heading1"/>
    <w:uiPriority w:val="9"/>
    <w:rsid w:val="00727128"/>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727128"/>
    <w:pPr>
      <w:outlineLvl w:val="9"/>
    </w:pPr>
    <w:rPr>
      <w:lang w:val="en-US"/>
    </w:rPr>
  </w:style>
  <w:style w:type="paragraph" w:styleId="TOC2">
    <w:name w:val="toc 2"/>
    <w:basedOn w:val="Normal"/>
    <w:next w:val="Normal"/>
    <w:autoRedefine/>
    <w:uiPriority w:val="39"/>
    <w:unhideWhenUsed/>
    <w:rsid w:val="00C235CD"/>
    <w:pPr>
      <w:tabs>
        <w:tab w:val="left" w:pos="880"/>
        <w:tab w:val="right" w:leader="dot" w:pos="9062"/>
      </w:tabs>
      <w:spacing w:after="100"/>
      <w:ind w:left="220"/>
    </w:pPr>
    <w:rPr>
      <w:rFonts w:asciiTheme="majorBidi" w:eastAsiaTheme="minorEastAsia" w:hAnsiTheme="majorBidi" w:cstheme="majorBidi"/>
      <w:noProof/>
      <w:lang w:val="en-US"/>
    </w:rPr>
  </w:style>
  <w:style w:type="paragraph" w:styleId="TOC1">
    <w:name w:val="toc 1"/>
    <w:basedOn w:val="Normal"/>
    <w:next w:val="Normal"/>
    <w:autoRedefine/>
    <w:uiPriority w:val="39"/>
    <w:unhideWhenUsed/>
    <w:rsid w:val="00727128"/>
    <w:pPr>
      <w:spacing w:after="100"/>
    </w:pPr>
    <w:rPr>
      <w:rFonts w:eastAsiaTheme="minorEastAsia" w:cs="Times New Roman"/>
      <w:lang w:val="en-US"/>
    </w:rPr>
  </w:style>
  <w:style w:type="paragraph" w:styleId="TOC3">
    <w:name w:val="toc 3"/>
    <w:basedOn w:val="Normal"/>
    <w:next w:val="Normal"/>
    <w:autoRedefine/>
    <w:uiPriority w:val="39"/>
    <w:unhideWhenUsed/>
    <w:rsid w:val="00727128"/>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727128"/>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727128"/>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1892">
      <w:bodyDiv w:val="1"/>
      <w:marLeft w:val="0"/>
      <w:marRight w:val="0"/>
      <w:marTop w:val="0"/>
      <w:marBottom w:val="0"/>
      <w:divBdr>
        <w:top w:val="none" w:sz="0" w:space="0" w:color="auto"/>
        <w:left w:val="none" w:sz="0" w:space="0" w:color="auto"/>
        <w:bottom w:val="none" w:sz="0" w:space="0" w:color="auto"/>
        <w:right w:val="none" w:sz="0" w:space="0" w:color="auto"/>
      </w:divBdr>
    </w:div>
    <w:div w:id="123693023">
      <w:bodyDiv w:val="1"/>
      <w:marLeft w:val="0"/>
      <w:marRight w:val="0"/>
      <w:marTop w:val="0"/>
      <w:marBottom w:val="0"/>
      <w:divBdr>
        <w:top w:val="none" w:sz="0" w:space="0" w:color="auto"/>
        <w:left w:val="none" w:sz="0" w:space="0" w:color="auto"/>
        <w:bottom w:val="none" w:sz="0" w:space="0" w:color="auto"/>
        <w:right w:val="none" w:sz="0" w:space="0" w:color="auto"/>
      </w:divBdr>
    </w:div>
    <w:div w:id="783960695">
      <w:bodyDiv w:val="1"/>
      <w:marLeft w:val="0"/>
      <w:marRight w:val="0"/>
      <w:marTop w:val="0"/>
      <w:marBottom w:val="0"/>
      <w:divBdr>
        <w:top w:val="none" w:sz="0" w:space="0" w:color="auto"/>
        <w:left w:val="none" w:sz="0" w:space="0" w:color="auto"/>
        <w:bottom w:val="none" w:sz="0" w:space="0" w:color="auto"/>
        <w:right w:val="none" w:sz="0" w:space="0" w:color="auto"/>
      </w:divBdr>
    </w:div>
    <w:div w:id="829250439">
      <w:bodyDiv w:val="1"/>
      <w:marLeft w:val="0"/>
      <w:marRight w:val="0"/>
      <w:marTop w:val="0"/>
      <w:marBottom w:val="0"/>
      <w:divBdr>
        <w:top w:val="none" w:sz="0" w:space="0" w:color="auto"/>
        <w:left w:val="none" w:sz="0" w:space="0" w:color="auto"/>
        <w:bottom w:val="none" w:sz="0" w:space="0" w:color="auto"/>
        <w:right w:val="none" w:sz="0" w:space="0" w:color="auto"/>
      </w:divBdr>
    </w:div>
    <w:div w:id="850148058">
      <w:bodyDiv w:val="1"/>
      <w:marLeft w:val="0"/>
      <w:marRight w:val="0"/>
      <w:marTop w:val="0"/>
      <w:marBottom w:val="0"/>
      <w:divBdr>
        <w:top w:val="none" w:sz="0" w:space="0" w:color="auto"/>
        <w:left w:val="none" w:sz="0" w:space="0" w:color="auto"/>
        <w:bottom w:val="none" w:sz="0" w:space="0" w:color="auto"/>
        <w:right w:val="none" w:sz="0" w:space="0" w:color="auto"/>
      </w:divBdr>
    </w:div>
    <w:div w:id="1063872089">
      <w:bodyDiv w:val="1"/>
      <w:marLeft w:val="0"/>
      <w:marRight w:val="0"/>
      <w:marTop w:val="0"/>
      <w:marBottom w:val="0"/>
      <w:divBdr>
        <w:top w:val="none" w:sz="0" w:space="0" w:color="auto"/>
        <w:left w:val="none" w:sz="0" w:space="0" w:color="auto"/>
        <w:bottom w:val="none" w:sz="0" w:space="0" w:color="auto"/>
        <w:right w:val="none" w:sz="0" w:space="0" w:color="auto"/>
      </w:divBdr>
    </w:div>
    <w:div w:id="1116414362">
      <w:bodyDiv w:val="1"/>
      <w:marLeft w:val="0"/>
      <w:marRight w:val="0"/>
      <w:marTop w:val="0"/>
      <w:marBottom w:val="0"/>
      <w:divBdr>
        <w:top w:val="none" w:sz="0" w:space="0" w:color="auto"/>
        <w:left w:val="none" w:sz="0" w:space="0" w:color="auto"/>
        <w:bottom w:val="none" w:sz="0" w:space="0" w:color="auto"/>
        <w:right w:val="none" w:sz="0" w:space="0" w:color="auto"/>
      </w:divBdr>
    </w:div>
    <w:div w:id="2029331451">
      <w:bodyDiv w:val="1"/>
      <w:marLeft w:val="0"/>
      <w:marRight w:val="0"/>
      <w:marTop w:val="0"/>
      <w:marBottom w:val="0"/>
      <w:divBdr>
        <w:top w:val="none" w:sz="0" w:space="0" w:color="auto"/>
        <w:left w:val="none" w:sz="0" w:space="0" w:color="auto"/>
        <w:bottom w:val="none" w:sz="0" w:space="0" w:color="auto"/>
        <w:right w:val="none" w:sz="0" w:space="0" w:color="auto"/>
      </w:divBdr>
    </w:div>
    <w:div w:id="20892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ido.org/our-focus/cross-cutting-services/partnerships-prosperity" TargetMode="External"/><Relationship Id="rId3" Type="http://schemas.openxmlformats.org/officeDocument/2006/relationships/hyperlink" Target="http://www.unep.or.jp/ietc/SPC/news-Apr12/UNIDO_Presentation.pdf" TargetMode="External"/><Relationship Id="rId7" Type="http://schemas.openxmlformats.org/officeDocument/2006/relationships/hyperlink" Target="https://www.unicef.org/policyanalysis/files/N0928210.pdf" TargetMode="External"/><Relationship Id="rId2" Type="http://schemas.openxmlformats.org/officeDocument/2006/relationships/hyperlink" Target="http://www.basel.int/Implementation/PartnershipProgramme1/OtherPartnerships/tabid/3240/Default.aspx" TargetMode="External"/><Relationship Id="rId1" Type="http://schemas.openxmlformats.org/officeDocument/2006/relationships/hyperlink" Target="http://www.basel.int/Implementation/TechnicalAssistance/Partnerships/tabid/3235/Default.aspx" TargetMode="External"/><Relationship Id="rId6" Type="http://schemas.openxmlformats.org/officeDocument/2006/relationships/hyperlink" Target="https://business.un.org/en/documents/5292" TargetMode="External"/><Relationship Id="rId11" Type="http://schemas.openxmlformats.org/officeDocument/2006/relationships/hyperlink" Target="https://www.unicef.org/policyanalysis/files/N0928210.pdf" TargetMode="External"/><Relationship Id="rId5" Type="http://schemas.openxmlformats.org/officeDocument/2006/relationships/hyperlink" Target="https://www.ohchr.org/Documents/Publications/GuidingPrinciplesBusinessHR_EN.pdf" TargetMode="External"/><Relationship Id="rId10" Type="http://schemas.openxmlformats.org/officeDocument/2006/relationships/hyperlink" Target="http://www.unesco.org/new/en/communication-and-information/about-us/how-we-work/unesco-partnerships/" TargetMode="External"/><Relationship Id="rId4" Type="http://schemas.openxmlformats.org/officeDocument/2006/relationships/hyperlink" Target="https://www.unglobalcompact.org/about" TargetMode="External"/><Relationship Id="rId9" Type="http://schemas.openxmlformats.org/officeDocument/2006/relationships/hyperlink" Target="https://www.itu.int/en/ITU-D/Cybersecurity/Pages/partnership.asp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DF181-82A5-4510-B3BA-EB82F88A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11330</Words>
  <Characters>64586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atharina Kummer Peiry</dc:creator>
  <cp:keywords/>
  <dc:description/>
  <cp:lastModifiedBy>CI</cp:lastModifiedBy>
  <cp:revision>4</cp:revision>
  <dcterms:created xsi:type="dcterms:W3CDTF">2018-11-30T10:45:00Z</dcterms:created>
  <dcterms:modified xsi:type="dcterms:W3CDTF">2018-11-30T11:15:00Z</dcterms:modified>
</cp:coreProperties>
</file>