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Look w:val="04A0" w:firstRow="1" w:lastRow="0" w:firstColumn="1" w:lastColumn="0" w:noHBand="0" w:noVBand="1"/>
      </w:tblPr>
      <w:tblGrid>
        <w:gridCol w:w="1667"/>
        <w:gridCol w:w="4921"/>
        <w:gridCol w:w="117"/>
        <w:gridCol w:w="2925"/>
        <w:gridCol w:w="15"/>
      </w:tblGrid>
      <w:tr w:rsidR="005F1D50" w:rsidRPr="00B70969" w:rsidTr="00742F01">
        <w:trPr>
          <w:cantSplit/>
          <w:trHeight w:val="1135"/>
        </w:trPr>
        <w:tc>
          <w:tcPr>
            <w:tcW w:w="1667" w:type="dxa"/>
            <w:tcBorders>
              <w:top w:val="nil"/>
              <w:left w:val="nil"/>
              <w:bottom w:val="single" w:sz="2" w:space="0" w:color="auto"/>
              <w:right w:val="nil"/>
            </w:tcBorders>
            <w:hideMark/>
          </w:tcPr>
          <w:p w:rsidR="005F1D50" w:rsidRPr="00153324" w:rsidRDefault="005F1D50" w:rsidP="008826BB">
            <w:pPr>
              <w:spacing w:before="60"/>
              <w:rPr>
                <w:b/>
                <w:sz w:val="27"/>
              </w:rPr>
            </w:pPr>
            <w:r w:rsidRPr="00153324">
              <w:rPr>
                <w:b/>
                <w:sz w:val="27"/>
              </w:rPr>
              <w:t>UNITED</w:t>
            </w:r>
          </w:p>
          <w:p w:rsidR="005F1D50" w:rsidRPr="00153324" w:rsidRDefault="005F1D50" w:rsidP="008826BB">
            <w:pPr>
              <w:rPr>
                <w:sz w:val="24"/>
              </w:rPr>
            </w:pPr>
            <w:r w:rsidRPr="00153324">
              <w:rPr>
                <w:b/>
                <w:sz w:val="27"/>
              </w:rPr>
              <w:t>NATIONS</w:t>
            </w:r>
          </w:p>
        </w:tc>
        <w:tc>
          <w:tcPr>
            <w:tcW w:w="5038" w:type="dxa"/>
            <w:gridSpan w:val="2"/>
            <w:tcBorders>
              <w:top w:val="nil"/>
              <w:left w:val="nil"/>
              <w:bottom w:val="single" w:sz="2" w:space="0" w:color="auto"/>
              <w:right w:val="nil"/>
            </w:tcBorders>
            <w:hideMark/>
          </w:tcPr>
          <w:p w:rsidR="005F1D50" w:rsidRPr="00153324" w:rsidRDefault="005F1D50" w:rsidP="008826BB">
            <w:pPr>
              <w:rPr>
                <w:sz w:val="24"/>
              </w:rPr>
            </w:pPr>
            <w:r>
              <w:rPr>
                <w:noProof/>
                <w:lang w:val="en-US"/>
              </w:rPr>
              <w:drawing>
                <wp:inline distT="0" distB="0" distL="0" distR="0" wp14:anchorId="3C151621" wp14:editId="0FFEB90C">
                  <wp:extent cx="981075" cy="523875"/>
                  <wp:effectExtent l="0" t="0" r="9525" b="9525"/>
                  <wp:docPr id="1" name="Imag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p-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2940" w:type="dxa"/>
            <w:gridSpan w:val="2"/>
            <w:tcBorders>
              <w:top w:val="nil"/>
              <w:left w:val="nil"/>
              <w:bottom w:val="single" w:sz="2" w:space="0" w:color="auto"/>
              <w:right w:val="nil"/>
            </w:tcBorders>
          </w:tcPr>
          <w:p w:rsidR="005F1D50" w:rsidRPr="0051658B" w:rsidRDefault="005F1D50" w:rsidP="008826BB">
            <w:pPr>
              <w:jc w:val="right"/>
              <w:rPr>
                <w:b/>
                <w:sz w:val="48"/>
                <w:szCs w:val="48"/>
                <w:lang w:val="fr-CH"/>
              </w:rPr>
            </w:pPr>
            <w:r w:rsidRPr="0051658B">
              <w:rPr>
                <w:b/>
                <w:sz w:val="48"/>
                <w:szCs w:val="48"/>
                <w:lang w:val="fr-CH"/>
              </w:rPr>
              <w:t>BC</w:t>
            </w:r>
          </w:p>
          <w:p w:rsidR="005F1D50" w:rsidRPr="0051658B" w:rsidRDefault="005F1D50" w:rsidP="008826BB">
            <w:pPr>
              <w:rPr>
                <w:sz w:val="24"/>
                <w:lang w:val="fr-CH"/>
              </w:rPr>
            </w:pPr>
          </w:p>
          <w:p w:rsidR="005F1D50" w:rsidRPr="00873CFD" w:rsidRDefault="005F1D50" w:rsidP="00083A90">
            <w:pPr>
              <w:autoSpaceDE w:val="0"/>
              <w:autoSpaceDN w:val="0"/>
              <w:adjustRightInd w:val="0"/>
              <w:ind w:left="-42"/>
              <w:rPr>
                <w:rFonts w:eastAsia="Times New Roman"/>
                <w:lang w:val="fr-CH"/>
              </w:rPr>
            </w:pPr>
            <w:r w:rsidRPr="00873CFD">
              <w:rPr>
                <w:b/>
                <w:lang w:val="fr-CH"/>
              </w:rPr>
              <w:t>UNEP</w:t>
            </w:r>
            <w:r w:rsidRPr="0051658B">
              <w:rPr>
                <w:lang w:val="fr-CH"/>
              </w:rPr>
              <w:t>/CHW/POP-SIWG</w:t>
            </w:r>
            <w:r w:rsidRPr="0051658B">
              <w:rPr>
                <w:rFonts w:eastAsia="Times New Roman"/>
                <w:lang w:val="fr-CH"/>
              </w:rPr>
              <w:t>.</w:t>
            </w:r>
            <w:r w:rsidR="0051658B">
              <w:rPr>
                <w:rFonts w:eastAsia="Times New Roman"/>
                <w:lang w:val="fr-CH"/>
              </w:rPr>
              <w:t>2</w:t>
            </w:r>
            <w:r w:rsidRPr="0051658B">
              <w:rPr>
                <w:rFonts w:eastAsia="Times New Roman"/>
                <w:lang w:val="fr-CH"/>
              </w:rPr>
              <w:t>/</w:t>
            </w:r>
            <w:r w:rsidR="00083A90">
              <w:rPr>
                <w:rFonts w:eastAsia="Times New Roman"/>
                <w:lang w:val="fr-CH"/>
              </w:rPr>
              <w:t>10</w:t>
            </w:r>
          </w:p>
        </w:tc>
      </w:tr>
      <w:tr w:rsidR="00742F01" w:rsidRPr="00820BAC" w:rsidTr="00DC01BD">
        <w:tblPrEx>
          <w:tblLook w:val="0000" w:firstRow="0" w:lastRow="0" w:firstColumn="0" w:lastColumn="0" w:noHBand="0" w:noVBand="0"/>
        </w:tblPrEx>
        <w:trPr>
          <w:gridAfter w:val="1"/>
          <w:wAfter w:w="15" w:type="dxa"/>
          <w:cantSplit/>
          <w:trHeight w:val="2227"/>
        </w:trPr>
        <w:tc>
          <w:tcPr>
            <w:tcW w:w="6588" w:type="dxa"/>
            <w:gridSpan w:val="2"/>
            <w:tcBorders>
              <w:top w:val="single" w:sz="2" w:space="0" w:color="auto"/>
              <w:bottom w:val="single" w:sz="24" w:space="0" w:color="auto"/>
            </w:tcBorders>
          </w:tcPr>
          <w:p w:rsidR="00742F01" w:rsidRPr="00873CFD" w:rsidRDefault="006573DB" w:rsidP="00F01503">
            <w:pPr>
              <w:pStyle w:val="Heading3"/>
              <w:rPr>
                <w:lang w:val="fr-CH"/>
              </w:rPr>
            </w:pPr>
            <w:r>
              <w:rPr>
                <w:noProof/>
                <w:lang w:val="en-US"/>
              </w:rPr>
              <mc:AlternateContent>
                <mc:Choice Requires="wps">
                  <w:drawing>
                    <wp:anchor distT="0" distB="0" distL="114300" distR="114300" simplePos="0" relativeHeight="251659264" behindDoc="0" locked="0" layoutInCell="0" allowOverlap="1" wp14:anchorId="3A0DB8A8" wp14:editId="3B71E0D2">
                      <wp:simplePos x="0" y="0"/>
                      <wp:positionH relativeFrom="column">
                        <wp:posOffset>-91440</wp:posOffset>
                      </wp:positionH>
                      <wp:positionV relativeFrom="paragraph">
                        <wp:posOffset>221615</wp:posOffset>
                      </wp:positionV>
                      <wp:extent cx="1382395" cy="662940"/>
                      <wp:effectExtent l="3810" t="0" r="4445"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F01" w:rsidRDefault="00742F01" w:rsidP="00742F01">
                                  <w:r>
                                    <w:rPr>
                                      <w:noProof/>
                                      <w:lang w:val="en-US"/>
                                    </w:rPr>
                                    <w:drawing>
                                      <wp:inline distT="0" distB="0" distL="0" distR="0" wp14:anchorId="0330D57F" wp14:editId="037B1293">
                                        <wp:extent cx="1200150" cy="571500"/>
                                        <wp:effectExtent l="0" t="0" r="0" b="0"/>
                                        <wp:docPr id="4" name="Picture 4"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C 1200 D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7.45pt;width:108.8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H3ggIAAA8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" o:allowincell="f" stroked="f">
                      <v:textbox>
                        <w:txbxContent>
                          <w:p w:rsidR="00742F01" w:rsidRDefault="00742F01" w:rsidP="00742F01">
                            <w:r>
                              <w:rPr>
                                <w:noProof/>
                                <w:lang w:val="en-US"/>
                              </w:rPr>
                              <w:drawing>
                                <wp:inline distT="0" distB="0" distL="0" distR="0" wp14:anchorId="46A7EB5E" wp14:editId="32FD4818">
                                  <wp:extent cx="1200150" cy="571500"/>
                                  <wp:effectExtent l="0" t="0" r="0" b="0"/>
                                  <wp:docPr id="4" name="Picture 4"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C 1200 D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txbxContent>
                      </v:textbox>
                    </v:shape>
                  </w:pict>
                </mc:Fallback>
              </mc:AlternateContent>
            </w:r>
          </w:p>
        </w:tc>
        <w:tc>
          <w:tcPr>
            <w:tcW w:w="3042" w:type="dxa"/>
            <w:gridSpan w:val="2"/>
            <w:tcBorders>
              <w:top w:val="single" w:sz="2" w:space="0" w:color="auto"/>
              <w:bottom w:val="single" w:sz="24" w:space="0" w:color="auto"/>
            </w:tcBorders>
          </w:tcPr>
          <w:p w:rsidR="00742F01" w:rsidRPr="00B70969" w:rsidRDefault="00742F01" w:rsidP="00F01503">
            <w:pPr>
              <w:rPr>
                <w:lang w:val="fr-CH"/>
              </w:rPr>
            </w:pPr>
          </w:p>
          <w:p w:rsidR="00742F01" w:rsidRPr="00820BAC" w:rsidRDefault="00742F01" w:rsidP="00B70969">
            <w:pPr>
              <w:spacing w:before="120"/>
              <w:ind w:left="34"/>
            </w:pPr>
            <w:r w:rsidRPr="00707EE3">
              <w:t>Distr.: General</w:t>
            </w:r>
            <w:r w:rsidRPr="00707EE3">
              <w:br/>
            </w:r>
            <w:r w:rsidR="00B70969">
              <w:t>31</w:t>
            </w:r>
            <w:r w:rsidR="00B70969" w:rsidRPr="00707EE3">
              <w:t xml:space="preserve"> </w:t>
            </w:r>
            <w:r w:rsidR="00083A90">
              <w:t>March</w:t>
            </w:r>
            <w:r w:rsidRPr="00707EE3">
              <w:t xml:space="preserve"> 2017</w:t>
            </w:r>
            <w:r w:rsidRPr="00707EE3">
              <w:br/>
              <w:t>English only</w:t>
            </w:r>
          </w:p>
        </w:tc>
      </w:tr>
    </w:tbl>
    <w:p w:rsidR="00742F01" w:rsidRPr="000B1401" w:rsidRDefault="00742F01" w:rsidP="00742F01">
      <w:pPr>
        <w:rPr>
          <w:b/>
          <w:bCs/>
        </w:rPr>
      </w:pPr>
      <w:r>
        <w:rPr>
          <w:b/>
          <w:bCs/>
        </w:rPr>
        <w:t>POPs SIWG meeting</w:t>
      </w:r>
    </w:p>
    <w:p w:rsidR="005F1D50" w:rsidRPr="00CF395E" w:rsidRDefault="0051658B" w:rsidP="005F1D50">
      <w:r w:rsidRPr="00CF395E">
        <w:rPr>
          <w:bCs/>
        </w:rPr>
        <w:t>Bonn</w:t>
      </w:r>
      <w:r w:rsidR="005F1D50" w:rsidRPr="00CF395E">
        <w:rPr>
          <w:bCs/>
        </w:rPr>
        <w:t xml:space="preserve">, </w:t>
      </w:r>
      <w:r w:rsidRPr="00CF395E">
        <w:rPr>
          <w:bCs/>
        </w:rPr>
        <w:t>Germany</w:t>
      </w:r>
      <w:r w:rsidR="005F1D50" w:rsidRPr="00CF395E">
        <w:rPr>
          <w:bCs/>
        </w:rPr>
        <w:t xml:space="preserve">, </w:t>
      </w:r>
      <w:r w:rsidRPr="00CF395E">
        <w:rPr>
          <w:bCs/>
        </w:rPr>
        <w:t>20</w:t>
      </w:r>
      <w:r w:rsidR="005F1D50" w:rsidRPr="00CF395E">
        <w:rPr>
          <w:bCs/>
        </w:rPr>
        <w:t>-</w:t>
      </w:r>
      <w:r w:rsidRPr="00CF395E">
        <w:rPr>
          <w:bCs/>
        </w:rPr>
        <w:t>22</w:t>
      </w:r>
      <w:r w:rsidR="005F1D50" w:rsidRPr="00CF395E">
        <w:rPr>
          <w:bCs/>
        </w:rPr>
        <w:t xml:space="preserve"> </w:t>
      </w:r>
      <w:r w:rsidRPr="00CF395E">
        <w:rPr>
          <w:bCs/>
        </w:rPr>
        <w:t xml:space="preserve">February </w:t>
      </w:r>
      <w:r w:rsidR="005F1D50" w:rsidRPr="00CF395E">
        <w:t>201</w:t>
      </w:r>
      <w:r w:rsidRPr="00CF395E">
        <w:t>7</w:t>
      </w:r>
    </w:p>
    <w:p w:rsidR="005F1D50" w:rsidRDefault="005F1D50" w:rsidP="005F1D50">
      <w:pPr>
        <w:rPr>
          <w:b/>
        </w:rPr>
      </w:pPr>
    </w:p>
    <w:p w:rsidR="005F1D50" w:rsidRPr="00153324" w:rsidRDefault="005F1D50" w:rsidP="005F1D50">
      <w:pPr>
        <w:rPr>
          <w:b/>
          <w:bCs/>
        </w:rPr>
      </w:pPr>
    </w:p>
    <w:p w:rsidR="00A025E9" w:rsidRDefault="00083A90" w:rsidP="00A025E9">
      <w:pPr>
        <w:pStyle w:val="ListParagraph"/>
        <w:rPr>
          <w:b/>
          <w:sz w:val="28"/>
          <w:szCs w:val="28"/>
          <w:lang w:val="en-US"/>
        </w:rPr>
      </w:pPr>
      <w:r w:rsidRPr="00083A90">
        <w:rPr>
          <w:b/>
          <w:sz w:val="28"/>
          <w:szCs w:val="28"/>
          <w:lang w:val="en-US"/>
        </w:rPr>
        <w:t xml:space="preserve">Report of the </w:t>
      </w:r>
      <w:r>
        <w:rPr>
          <w:b/>
          <w:sz w:val="28"/>
          <w:szCs w:val="28"/>
          <w:lang w:val="en-US"/>
        </w:rPr>
        <w:t>m</w:t>
      </w:r>
      <w:r w:rsidRPr="00083A90">
        <w:rPr>
          <w:b/>
          <w:sz w:val="28"/>
          <w:szCs w:val="28"/>
          <w:lang w:val="en-US"/>
        </w:rPr>
        <w:t>eeting of the small intersessional working group on technical guidelines on persistent organic pollutants</w:t>
      </w:r>
    </w:p>
    <w:p w:rsidR="00083A90" w:rsidRDefault="00083A90" w:rsidP="00A025E9">
      <w:pPr>
        <w:pStyle w:val="ListParagraph"/>
        <w:rPr>
          <w:b/>
          <w:sz w:val="28"/>
          <w:szCs w:val="28"/>
          <w:lang w:val="en-US"/>
        </w:rPr>
      </w:pPr>
      <w:bookmarkStart w:id="0" w:name="_GoBack"/>
      <w:bookmarkEnd w:id="0"/>
    </w:p>
    <w:p w:rsidR="00083A90" w:rsidRDefault="00083A90" w:rsidP="00831C59">
      <w:pPr>
        <w:pStyle w:val="Paralevel1"/>
        <w:numPr>
          <w:ilvl w:val="0"/>
          <w:numId w:val="13"/>
        </w:numPr>
        <w:tabs>
          <w:tab w:val="clear" w:pos="360"/>
          <w:tab w:val="num" w:pos="-180"/>
        </w:tabs>
        <w:suppressAutoHyphens/>
        <w:ind w:left="709"/>
      </w:pPr>
      <w:r>
        <w:t xml:space="preserve">The meeting of the </w:t>
      </w:r>
      <w:r w:rsidR="00831C59" w:rsidRPr="00831C59">
        <w:t xml:space="preserve">small intersessional working group </w:t>
      </w:r>
      <w:r w:rsidR="00882E59">
        <w:t xml:space="preserve">(SIWG) </w:t>
      </w:r>
      <w:r w:rsidR="00831C59" w:rsidRPr="00831C59">
        <w:t>on technical guidelines on persistent organic pollutants</w:t>
      </w:r>
      <w:r>
        <w:t xml:space="preserve"> was held in </w:t>
      </w:r>
      <w:r w:rsidR="00831C59">
        <w:t>Bonn</w:t>
      </w:r>
      <w:r>
        <w:t xml:space="preserve">, </w:t>
      </w:r>
      <w:r w:rsidR="00831C59">
        <w:t>Germany</w:t>
      </w:r>
      <w:r>
        <w:t xml:space="preserve">, from </w:t>
      </w:r>
      <w:r w:rsidR="00831C59">
        <w:t>20</w:t>
      </w:r>
      <w:r>
        <w:t xml:space="preserve"> to </w:t>
      </w:r>
      <w:r w:rsidR="00831C59">
        <w:t>22</w:t>
      </w:r>
      <w:r>
        <w:t xml:space="preserve"> </w:t>
      </w:r>
      <w:r w:rsidR="00831C59">
        <w:t>February</w:t>
      </w:r>
      <w:r>
        <w:t xml:space="preserve"> 2017. </w:t>
      </w:r>
    </w:p>
    <w:p w:rsidR="00083A90" w:rsidRDefault="00083A90" w:rsidP="002C43C1">
      <w:pPr>
        <w:pStyle w:val="CH1"/>
        <w:numPr>
          <w:ilvl w:val="0"/>
          <w:numId w:val="15"/>
        </w:numPr>
        <w:tabs>
          <w:tab w:val="left" w:pos="1814"/>
          <w:tab w:val="left" w:pos="2381"/>
          <w:tab w:val="left" w:pos="2948"/>
          <w:tab w:val="left" w:pos="3515"/>
          <w:tab w:val="left" w:pos="4082"/>
        </w:tabs>
        <w:ind w:hanging="513"/>
      </w:pPr>
      <w:r>
        <w:t>Opening of the meeting</w:t>
      </w:r>
    </w:p>
    <w:p w:rsidR="008B32B2" w:rsidRDefault="00083A90" w:rsidP="008B32B2">
      <w:pPr>
        <w:pStyle w:val="Paralevel1"/>
        <w:numPr>
          <w:ilvl w:val="0"/>
          <w:numId w:val="13"/>
        </w:numPr>
        <w:tabs>
          <w:tab w:val="clear" w:pos="360"/>
          <w:tab w:val="num" w:pos="-180"/>
        </w:tabs>
        <w:suppressAutoHyphens/>
        <w:ind w:left="709"/>
      </w:pPr>
      <w:r>
        <w:t>M</w:t>
      </w:r>
      <w:r w:rsidR="008B32B2">
        <w:t>s</w:t>
      </w:r>
      <w:r w:rsidR="00BC7459">
        <w:t>.</w:t>
      </w:r>
      <w:r w:rsidR="008B32B2">
        <w:t xml:space="preserve"> Jacinthe Seguin</w:t>
      </w:r>
      <w:r>
        <w:t xml:space="preserve"> (</w:t>
      </w:r>
      <w:r w:rsidR="008B32B2">
        <w:t>Canada</w:t>
      </w:r>
      <w:r>
        <w:t xml:space="preserve">), </w:t>
      </w:r>
      <w:r w:rsidR="008B32B2">
        <w:t xml:space="preserve">the </w:t>
      </w:r>
      <w:r>
        <w:t>chair</w:t>
      </w:r>
      <w:r w:rsidR="008B32B2">
        <w:t>person</w:t>
      </w:r>
      <w:r>
        <w:t xml:space="preserve"> </w:t>
      </w:r>
      <w:r w:rsidR="002C43C1">
        <w:t>of</w:t>
      </w:r>
      <w:r w:rsidR="008B32B2">
        <w:t xml:space="preserve"> </w:t>
      </w:r>
      <w:r>
        <w:t xml:space="preserve">the </w:t>
      </w:r>
      <w:r w:rsidR="008B32B2">
        <w:t xml:space="preserve">meeting, made opening remarks and welcomed all participants to Bonn. </w:t>
      </w:r>
    </w:p>
    <w:p w:rsidR="00882E59" w:rsidRDefault="008B32B2" w:rsidP="008B32B2">
      <w:pPr>
        <w:pStyle w:val="Paralevel1"/>
        <w:numPr>
          <w:ilvl w:val="0"/>
          <w:numId w:val="13"/>
        </w:numPr>
        <w:tabs>
          <w:tab w:val="clear" w:pos="360"/>
          <w:tab w:val="num" w:pos="-180"/>
        </w:tabs>
        <w:suppressAutoHyphens/>
        <w:ind w:left="709"/>
      </w:pPr>
      <w:r>
        <w:t>The representative of the</w:t>
      </w:r>
      <w:r w:rsidRPr="00E07C12">
        <w:t xml:space="preserve"> Secretariat</w:t>
      </w:r>
      <w:r>
        <w:t xml:space="preserve"> expressed its appreciation to all </w:t>
      </w:r>
      <w:r w:rsidR="00882E59">
        <w:t xml:space="preserve">SIWG members who have contributed to the work during the intersessional period. She also thanked </w:t>
      </w:r>
      <w:r>
        <w:t xml:space="preserve">meeting participants </w:t>
      </w:r>
      <w:r w:rsidR="00882E59">
        <w:t xml:space="preserve">for their attendance, </w:t>
      </w:r>
      <w:r>
        <w:t xml:space="preserve">and especially </w:t>
      </w:r>
      <w:r w:rsidR="00882E59">
        <w:t xml:space="preserve">expressed its appreciation </w:t>
      </w:r>
      <w:r>
        <w:t xml:space="preserve">to the Government of Canada, for providing in-kind contribution on the updating of the </w:t>
      </w:r>
      <w:r w:rsidR="00BC7459">
        <w:t>G</w:t>
      </w:r>
      <w:r>
        <w:t xml:space="preserve">eneral </w:t>
      </w:r>
      <w:r w:rsidR="00BC7459">
        <w:t>T</w:t>
      </w:r>
      <w:r>
        <w:t xml:space="preserve">echnical </w:t>
      </w:r>
      <w:r w:rsidR="00BC7459">
        <w:t>G</w:t>
      </w:r>
      <w:r>
        <w:t xml:space="preserve">uidelines, to the Government of Japan for providing in-kind contribution on the updating of the </w:t>
      </w:r>
      <w:r w:rsidR="00BC7459">
        <w:t>Technical G</w:t>
      </w:r>
      <w:r>
        <w:t xml:space="preserve">uidelines on PCBs and for </w:t>
      </w:r>
      <w:r w:rsidRPr="002C43C1">
        <w:t>providing financial support</w:t>
      </w:r>
      <w:r>
        <w:t xml:space="preserve"> for the Secretariat to </w:t>
      </w:r>
      <w:r w:rsidR="00912904">
        <w:t>engage consultants to</w:t>
      </w:r>
      <w:r w:rsidR="00BC7459">
        <w:t xml:space="preserve"> </w:t>
      </w:r>
      <w:r>
        <w:t>work on other four technical guidelines</w:t>
      </w:r>
      <w:r w:rsidR="002C43C1">
        <w:t xml:space="preserve"> under discussion in the meeting</w:t>
      </w:r>
      <w:r w:rsidR="00882E59">
        <w:t xml:space="preserve">, and to the Government of Norway for leading the development of the analysis </w:t>
      </w:r>
      <w:r w:rsidR="00882E59" w:rsidRPr="004C55F6">
        <w:t>of the information received by the Basel Convention related to decaBDE as called for in decision BC-12/3</w:t>
      </w:r>
      <w:r>
        <w:t xml:space="preserve">. </w:t>
      </w:r>
    </w:p>
    <w:p w:rsidR="008B32B2" w:rsidRPr="00527077" w:rsidRDefault="008B32B2" w:rsidP="008B32B2">
      <w:pPr>
        <w:pStyle w:val="Paralevel1"/>
        <w:numPr>
          <w:ilvl w:val="0"/>
          <w:numId w:val="13"/>
        </w:numPr>
        <w:tabs>
          <w:tab w:val="clear" w:pos="360"/>
          <w:tab w:val="num" w:pos="-180"/>
        </w:tabs>
        <w:suppressAutoHyphens/>
        <w:ind w:left="709"/>
      </w:pPr>
      <w:r>
        <w:t xml:space="preserve">The Secretariat </w:t>
      </w:r>
      <w:r w:rsidRPr="00A566CF">
        <w:t xml:space="preserve">updated the </w:t>
      </w:r>
      <w:r w:rsidR="002C43C1">
        <w:t>g</w:t>
      </w:r>
      <w:r>
        <w:t>roup</w:t>
      </w:r>
      <w:r w:rsidRPr="00A566CF">
        <w:t xml:space="preserve"> on the status of implementation of its work programme, as well as on the status of preparation of meeting documents for the thirteenth meeting of the Conference of the Parties</w:t>
      </w:r>
      <w:r>
        <w:t xml:space="preserve"> (24 April</w:t>
      </w:r>
      <w:r>
        <w:sym w:font="Symbol" w:char="F02D"/>
      </w:r>
      <w:r>
        <w:t>5 May 2017, Geneva)</w:t>
      </w:r>
      <w:r w:rsidRPr="00A566CF">
        <w:t xml:space="preserve">. </w:t>
      </w:r>
    </w:p>
    <w:p w:rsidR="00083A90" w:rsidRDefault="00083A90" w:rsidP="00083A90">
      <w:pPr>
        <w:pStyle w:val="CH1"/>
        <w:tabs>
          <w:tab w:val="left" w:pos="1814"/>
          <w:tab w:val="left" w:pos="2381"/>
          <w:tab w:val="left" w:pos="2948"/>
          <w:tab w:val="left" w:pos="3515"/>
          <w:tab w:val="left" w:pos="4082"/>
        </w:tabs>
      </w:pPr>
      <w:r>
        <w:tab/>
        <w:t>II.</w:t>
      </w:r>
      <w:r w:rsidRPr="00C5133F">
        <w:tab/>
        <w:t>Organizational matters</w:t>
      </w:r>
    </w:p>
    <w:p w:rsidR="00083A90" w:rsidRDefault="00083A90" w:rsidP="00083A90">
      <w:pPr>
        <w:pStyle w:val="CH2"/>
        <w:keepLines w:val="0"/>
        <w:tabs>
          <w:tab w:val="left" w:pos="1814"/>
          <w:tab w:val="left" w:pos="2381"/>
          <w:tab w:val="left" w:pos="2948"/>
          <w:tab w:val="left" w:pos="3515"/>
        </w:tabs>
        <w:spacing w:before="120"/>
      </w:pPr>
      <w:r>
        <w:tab/>
        <w:t>A.</w:t>
      </w:r>
      <w:r>
        <w:tab/>
      </w:r>
      <w:r w:rsidRPr="007F3F1A">
        <w:t>Adoption of the agenda</w:t>
      </w:r>
    </w:p>
    <w:p w:rsidR="00083A90" w:rsidRDefault="00083A90" w:rsidP="002C43C1">
      <w:pPr>
        <w:pStyle w:val="Paralevel1"/>
        <w:numPr>
          <w:ilvl w:val="0"/>
          <w:numId w:val="13"/>
        </w:numPr>
        <w:tabs>
          <w:tab w:val="clear" w:pos="360"/>
          <w:tab w:val="num" w:pos="-180"/>
        </w:tabs>
        <w:suppressAutoHyphens/>
        <w:ind w:left="709"/>
      </w:pPr>
      <w:r>
        <w:t>T</w:t>
      </w:r>
      <w:r w:rsidRPr="00C5133F">
        <w:t xml:space="preserve">he </w:t>
      </w:r>
      <w:r w:rsidR="002C43C1">
        <w:t>small intersessional</w:t>
      </w:r>
      <w:r w:rsidRPr="00C5133F">
        <w:t xml:space="preserve"> working group adopted the agenda</w:t>
      </w:r>
      <w:r>
        <w:t xml:space="preserve"> for the meeting</w:t>
      </w:r>
      <w:r w:rsidRPr="00C5133F">
        <w:t xml:space="preserve"> on the basis of document </w:t>
      </w:r>
      <w:r w:rsidR="002C43C1" w:rsidRPr="002C43C1">
        <w:t>UNEP/CHW/POP-SIWG.2/1</w:t>
      </w:r>
      <w:r w:rsidRPr="00885AB1">
        <w:rPr>
          <w:vertAlign w:val="superscript"/>
        </w:rPr>
        <w:footnoteReference w:id="1"/>
      </w:r>
    </w:p>
    <w:p w:rsidR="00083A90" w:rsidRDefault="00083A90" w:rsidP="00083A90">
      <w:pPr>
        <w:pStyle w:val="CH1"/>
        <w:tabs>
          <w:tab w:val="left" w:pos="1814"/>
          <w:tab w:val="left" w:pos="2381"/>
          <w:tab w:val="left" w:pos="2948"/>
          <w:tab w:val="left" w:pos="3515"/>
          <w:tab w:val="left" w:pos="4082"/>
        </w:tabs>
      </w:pPr>
      <w:r>
        <w:tab/>
        <w:t>III</w:t>
      </w:r>
      <w:r w:rsidRPr="00C5133F">
        <w:t>.</w:t>
      </w:r>
      <w:r w:rsidRPr="00C5133F">
        <w:tab/>
      </w:r>
      <w:r w:rsidR="002C43C1" w:rsidRPr="002C43C1">
        <w:t xml:space="preserve">General technical guidelines </w:t>
      </w:r>
    </w:p>
    <w:p w:rsidR="00083A90" w:rsidRPr="00B0730D" w:rsidRDefault="002C43C1" w:rsidP="00083A90">
      <w:pPr>
        <w:pStyle w:val="Normalnumber"/>
        <w:numPr>
          <w:ilvl w:val="0"/>
          <w:numId w:val="19"/>
        </w:numPr>
        <w:ind w:left="1260" w:hanging="630"/>
        <w:rPr>
          <w:b/>
          <w:sz w:val="24"/>
          <w:szCs w:val="24"/>
        </w:rPr>
      </w:pPr>
      <w:r w:rsidRPr="002C43C1">
        <w:rPr>
          <w:b/>
          <w:sz w:val="24"/>
          <w:szCs w:val="24"/>
        </w:rPr>
        <w:t>Low POP content</w:t>
      </w:r>
    </w:p>
    <w:p w:rsidR="00C74B34" w:rsidRDefault="00B64319" w:rsidP="00B64319">
      <w:pPr>
        <w:pStyle w:val="Paralevel1"/>
        <w:numPr>
          <w:ilvl w:val="0"/>
          <w:numId w:val="13"/>
        </w:numPr>
        <w:tabs>
          <w:tab w:val="clear" w:pos="360"/>
          <w:tab w:val="num" w:pos="-180"/>
        </w:tabs>
        <w:suppressAutoHyphens/>
        <w:ind w:left="709"/>
      </w:pPr>
      <w:r w:rsidRPr="00B64319">
        <w:lastRenderedPageBreak/>
        <w:t>The</w:t>
      </w:r>
      <w:r>
        <w:t xml:space="preserve"> group discussed the values currently available in the technical guidelines, especially those for the most recently listed POPs</w:t>
      </w:r>
      <w:r w:rsidR="00912904">
        <w:t>.</w:t>
      </w:r>
      <w:r>
        <w:t xml:space="preserve"> The group discussed that it would be important to improve the documentation of the various values proposed, including their supporting background. </w:t>
      </w:r>
    </w:p>
    <w:p w:rsidR="00B64319" w:rsidRPr="00D81F71" w:rsidRDefault="00B64319" w:rsidP="00B64319">
      <w:pPr>
        <w:pStyle w:val="Paralevel1"/>
        <w:numPr>
          <w:ilvl w:val="0"/>
          <w:numId w:val="13"/>
        </w:numPr>
        <w:tabs>
          <w:tab w:val="clear" w:pos="360"/>
          <w:tab w:val="num" w:pos="-180"/>
        </w:tabs>
        <w:suppressAutoHyphens/>
        <w:ind w:left="709"/>
      </w:pPr>
      <w:r>
        <w:t xml:space="preserve">One of the decisions taken by the group was to harmonize the values in the different documents and to have a new information </w:t>
      </w:r>
      <w:r w:rsidRPr="00B64319">
        <w:t xml:space="preserve">document on low-POP content for COP-13, </w:t>
      </w:r>
      <w:r w:rsidR="00C74B34">
        <w:t xml:space="preserve">to be prepared by Canada, </w:t>
      </w:r>
      <w:r w:rsidRPr="00B64319">
        <w:t>which should explain the criteria for the decisions</w:t>
      </w:r>
      <w:r>
        <w:t xml:space="preserve">, the different values </w:t>
      </w:r>
      <w:r w:rsidRPr="00B64319">
        <w:t>propos</w:t>
      </w:r>
      <w:r>
        <w:t>ed</w:t>
      </w:r>
      <w:r w:rsidRPr="00B64319">
        <w:t xml:space="preserve"> for limits and </w:t>
      </w:r>
      <w:r>
        <w:t xml:space="preserve">their respective </w:t>
      </w:r>
      <w:r w:rsidRPr="00B64319">
        <w:t>sources.</w:t>
      </w:r>
      <w:r w:rsidRPr="00452C3E">
        <w:rPr>
          <w:b/>
        </w:rPr>
        <w:t xml:space="preserve"> </w:t>
      </w:r>
    </w:p>
    <w:p w:rsidR="00D81F71" w:rsidRPr="00885AB1" w:rsidRDefault="00D81F71" w:rsidP="00D81F71">
      <w:pPr>
        <w:pStyle w:val="Paralevel1"/>
        <w:numPr>
          <w:ilvl w:val="0"/>
          <w:numId w:val="13"/>
        </w:numPr>
        <w:tabs>
          <w:tab w:val="clear" w:pos="360"/>
          <w:tab w:val="num" w:pos="-180"/>
        </w:tabs>
        <w:suppressAutoHyphens/>
        <w:ind w:left="709"/>
      </w:pPr>
      <w:r>
        <w:t xml:space="preserve">It was highlighted that when deciding on the low POP content values, it is important to consider the limited capacity available in developing countries (e.g. analytical methods, enforcement) to deal with the management of the various waste streams. </w:t>
      </w:r>
    </w:p>
    <w:p w:rsidR="00885AB1" w:rsidRDefault="00B64319" w:rsidP="00885AB1">
      <w:pPr>
        <w:pStyle w:val="Paralevel1"/>
        <w:numPr>
          <w:ilvl w:val="0"/>
          <w:numId w:val="13"/>
        </w:numPr>
        <w:tabs>
          <w:tab w:val="clear" w:pos="360"/>
          <w:tab w:val="num" w:pos="-180"/>
        </w:tabs>
        <w:suppressAutoHyphens/>
        <w:ind w:left="709"/>
      </w:pPr>
      <w:r>
        <w:t>The group discussed that guidance</w:t>
      </w:r>
      <w:r w:rsidR="00885AB1" w:rsidRPr="00885AB1">
        <w:t xml:space="preserve"> (e.g. template) could be developed for submissions </w:t>
      </w:r>
      <w:r>
        <w:t xml:space="preserve">on low POP content values </w:t>
      </w:r>
      <w:r w:rsidR="00885AB1" w:rsidRPr="00885AB1">
        <w:t xml:space="preserve">taking as a basis documents UNEP/CHW/OEWG9.INF/9/Add.1 and UNEP/CHW/OEWG9.INF/9/Add.2 for the development of section III of the </w:t>
      </w:r>
      <w:r w:rsidR="00912904">
        <w:t>G</w:t>
      </w:r>
      <w:r>
        <w:t xml:space="preserve">eneral </w:t>
      </w:r>
      <w:r w:rsidR="00912904">
        <w:t>T</w:t>
      </w:r>
      <w:r>
        <w:t xml:space="preserve">echnical </w:t>
      </w:r>
      <w:r w:rsidR="00912904">
        <w:t>G</w:t>
      </w:r>
      <w:r>
        <w:t>uidelines on</w:t>
      </w:r>
      <w:r w:rsidR="00885AB1" w:rsidRPr="00885AB1">
        <w:t xml:space="preserve"> the environmentally sound management of wastes consisting of, containing or contaminated with persistent organic pollutants. This would facilitate the examination, comparison and discussion of low</w:t>
      </w:r>
      <w:r>
        <w:t xml:space="preserve"> </w:t>
      </w:r>
      <w:r w:rsidR="00885AB1" w:rsidRPr="00885AB1">
        <w:t xml:space="preserve">POP </w:t>
      </w:r>
      <w:r>
        <w:t xml:space="preserve">content </w:t>
      </w:r>
      <w:r w:rsidR="00885AB1" w:rsidRPr="00885AB1">
        <w:t>proposals.</w:t>
      </w:r>
    </w:p>
    <w:p w:rsidR="002C43C1" w:rsidRPr="002C43C1" w:rsidRDefault="002C43C1" w:rsidP="002C43C1">
      <w:pPr>
        <w:pStyle w:val="Normalnumber"/>
        <w:numPr>
          <w:ilvl w:val="0"/>
          <w:numId w:val="19"/>
        </w:numPr>
        <w:ind w:left="1260" w:hanging="630"/>
        <w:rPr>
          <w:b/>
          <w:sz w:val="24"/>
          <w:szCs w:val="24"/>
          <w:lang w:val="fr-CH"/>
        </w:rPr>
      </w:pPr>
      <w:r w:rsidRPr="002C43C1">
        <w:rPr>
          <w:b/>
          <w:sz w:val="24"/>
          <w:szCs w:val="24"/>
          <w:lang w:val="fr-CH"/>
        </w:rPr>
        <w:t>Destruction technologies</w:t>
      </w:r>
    </w:p>
    <w:p w:rsidR="00885AB1" w:rsidRDefault="00885AB1" w:rsidP="00885AB1">
      <w:pPr>
        <w:pStyle w:val="Paralevel1"/>
        <w:numPr>
          <w:ilvl w:val="0"/>
          <w:numId w:val="13"/>
        </w:numPr>
        <w:tabs>
          <w:tab w:val="clear" w:pos="360"/>
          <w:tab w:val="num" w:pos="-180"/>
        </w:tabs>
        <w:suppressAutoHyphens/>
        <w:ind w:left="709"/>
      </w:pPr>
      <w:r w:rsidRPr="00885AB1">
        <w:t xml:space="preserve">In discussing new information on destruction and irreversible transformation methods (section IV. G)  </w:t>
      </w:r>
      <w:proofErr w:type="gramStart"/>
      <w:r w:rsidRPr="00885AB1">
        <w:t>in</w:t>
      </w:r>
      <w:proofErr w:type="gramEnd"/>
      <w:r w:rsidRPr="00885AB1">
        <w:t xml:space="preserve"> the General Technical Guidelines, it was found that the working group would benefit from writing down its approach to reviewing methods. A template could be developed to guide the submission of information in order to respect criteria already discussed at previous meetings and ensure consistency and thoroughness of submissions.   </w:t>
      </w:r>
    </w:p>
    <w:p w:rsidR="00885AB1" w:rsidRDefault="00885AB1" w:rsidP="00885AB1">
      <w:pPr>
        <w:pStyle w:val="Paralevel1"/>
        <w:numPr>
          <w:ilvl w:val="0"/>
          <w:numId w:val="13"/>
        </w:numPr>
        <w:tabs>
          <w:tab w:val="clear" w:pos="360"/>
          <w:tab w:val="num" w:pos="-180"/>
        </w:tabs>
        <w:suppressAutoHyphens/>
        <w:ind w:left="709"/>
      </w:pPr>
      <w:r w:rsidRPr="00885AB1">
        <w:t xml:space="preserve">There is a need to identify the world capacity for the destruction of POPs with the eleventh destruction and irreversible transformation methods presented in the General Technical Guidelines.  A continental inventory of capacity would be beneficial for </w:t>
      </w:r>
      <w:r w:rsidR="00BC7459">
        <w:t>regions</w:t>
      </w:r>
      <w:r w:rsidRPr="00885AB1">
        <w:t xml:space="preserve"> with predominantly developing countries. </w:t>
      </w:r>
    </w:p>
    <w:p w:rsidR="00885AB1" w:rsidRPr="00885AB1" w:rsidRDefault="00885AB1" w:rsidP="00885AB1">
      <w:pPr>
        <w:pStyle w:val="Paralevel1"/>
        <w:numPr>
          <w:ilvl w:val="0"/>
          <w:numId w:val="13"/>
        </w:numPr>
        <w:tabs>
          <w:tab w:val="clear" w:pos="360"/>
          <w:tab w:val="num" w:pos="-180"/>
        </w:tabs>
        <w:suppressAutoHyphens/>
        <w:ind w:left="709"/>
      </w:pPr>
      <w:r w:rsidRPr="00885AB1">
        <w:t>There is an issue with the availability of literature or other reports to confirm the Destruction Efficiency (DE) of certain technologies, in particular evidence that they can destroy the newer POPs. There needs to be investments in testing listed methods for the destruction of a broader range of POPs or work to extrapolate current data to these newer substances in order to provide reliable and safe recommendations for the management of these wastes. The appropriateness of data from pilot or lab scale tests could be discussed further since at this time data from such work have generally been excluded.</w:t>
      </w:r>
    </w:p>
    <w:p w:rsidR="00BC7459" w:rsidRDefault="00885AB1" w:rsidP="00885AB1">
      <w:pPr>
        <w:pStyle w:val="Paralevel1"/>
        <w:numPr>
          <w:ilvl w:val="0"/>
          <w:numId w:val="13"/>
        </w:numPr>
        <w:tabs>
          <w:tab w:val="clear" w:pos="360"/>
          <w:tab w:val="num" w:pos="-180"/>
        </w:tabs>
        <w:suppressAutoHyphens/>
        <w:ind w:left="709"/>
      </w:pPr>
      <w:r w:rsidRPr="00885AB1">
        <w:t>The categorization of incineration under two technologies (Advanced Solid Waste Incineration and Hazardous Waste Incineration) was found to be an arbitrary labelling which does not necessary reflects their categorization in many countries. The two technologies should be reviewed to examine if there is a better way to categorize and present the incineration as a waste management option for POPs.</w:t>
      </w:r>
    </w:p>
    <w:p w:rsidR="002C43C1" w:rsidRDefault="002C43C1" w:rsidP="00885AB1">
      <w:pPr>
        <w:pStyle w:val="CH1"/>
        <w:tabs>
          <w:tab w:val="left" w:pos="1814"/>
          <w:tab w:val="left" w:pos="2381"/>
          <w:tab w:val="left" w:pos="2948"/>
          <w:tab w:val="left" w:pos="3515"/>
          <w:tab w:val="left" w:pos="4082"/>
        </w:tabs>
        <w:ind w:hanging="680"/>
      </w:pPr>
      <w:r>
        <w:t xml:space="preserve">IV. Outstanding comments received and remaining harmonization issues of the POPs technical guidelines. </w:t>
      </w:r>
    </w:p>
    <w:p w:rsidR="00912904" w:rsidRDefault="007113BF" w:rsidP="007113BF">
      <w:pPr>
        <w:pStyle w:val="Paralevel1"/>
        <w:numPr>
          <w:ilvl w:val="0"/>
          <w:numId w:val="13"/>
        </w:numPr>
        <w:tabs>
          <w:tab w:val="clear" w:pos="360"/>
          <w:tab w:val="num" w:pos="-180"/>
        </w:tabs>
        <w:suppressAutoHyphens/>
        <w:ind w:left="709"/>
      </w:pPr>
      <w:r>
        <w:t xml:space="preserve">The group worked on all the six technical guidelines as prepared for the COP-13 and solved outstanding issues, such as the introduction of a few new paragraphs, the outstanding harmonization aspects among the documents, the addition of new references, and the introduction of information which was missing or was inconsistent. </w:t>
      </w:r>
    </w:p>
    <w:p w:rsidR="007113BF" w:rsidRDefault="007113BF" w:rsidP="007113BF">
      <w:pPr>
        <w:pStyle w:val="Paralevel1"/>
        <w:numPr>
          <w:ilvl w:val="0"/>
          <w:numId w:val="13"/>
        </w:numPr>
        <w:tabs>
          <w:tab w:val="clear" w:pos="360"/>
          <w:tab w:val="num" w:pos="-180"/>
        </w:tabs>
        <w:suppressAutoHyphens/>
        <w:ind w:left="709"/>
      </w:pPr>
      <w:r>
        <w:t xml:space="preserve">The group decided on a few harmonizational items to be observed by the various authors when finalizing the documents </w:t>
      </w:r>
      <w:r w:rsidR="004C55F6">
        <w:t>after the meeting</w:t>
      </w:r>
      <w:r>
        <w:t>:</w:t>
      </w:r>
    </w:p>
    <w:p w:rsidR="007113BF" w:rsidRPr="007113BF" w:rsidRDefault="007113BF" w:rsidP="007113BF">
      <w:pPr>
        <w:pStyle w:val="Paralevel1"/>
        <w:numPr>
          <w:ilvl w:val="0"/>
          <w:numId w:val="45"/>
        </w:numPr>
        <w:spacing w:line="276" w:lineRule="auto"/>
      </w:pPr>
      <w:r w:rsidRPr="007113BF">
        <w:t xml:space="preserve">Introductory paragraph in </w:t>
      </w:r>
      <w:r w:rsidR="004C55F6">
        <w:t xml:space="preserve">all relevant </w:t>
      </w:r>
      <w:r w:rsidRPr="007113BF">
        <w:t>technical guidelines to indicate the status</w:t>
      </w:r>
      <w:r w:rsidR="004C55F6">
        <w:t xml:space="preserve"> of the document</w:t>
      </w:r>
      <w:r w:rsidRPr="007113BF">
        <w:t>, e.g. that a new version supersedes a previously adopted version</w:t>
      </w:r>
      <w:r w:rsidR="004C55F6">
        <w:t>;</w:t>
      </w:r>
    </w:p>
    <w:p w:rsidR="007113BF" w:rsidRPr="007113BF" w:rsidRDefault="007113BF" w:rsidP="007113BF">
      <w:pPr>
        <w:pStyle w:val="Paralevel1"/>
        <w:numPr>
          <w:ilvl w:val="0"/>
          <w:numId w:val="45"/>
        </w:numPr>
        <w:spacing w:line="276" w:lineRule="auto"/>
      </w:pPr>
      <w:r w:rsidRPr="007113BF">
        <w:t xml:space="preserve">The low POP content </w:t>
      </w:r>
      <w:r w:rsidR="004C55F6">
        <w:t xml:space="preserve">values </w:t>
      </w:r>
      <w:r w:rsidRPr="007113BF">
        <w:t xml:space="preserve">should be the same in the General Technical Guidelines and </w:t>
      </w:r>
      <w:r w:rsidR="004C55F6">
        <w:t xml:space="preserve">in the </w:t>
      </w:r>
      <w:r w:rsidRPr="007113BF">
        <w:t>specific guidelines</w:t>
      </w:r>
      <w:r w:rsidR="004C55F6">
        <w:t xml:space="preserve">; </w:t>
      </w:r>
    </w:p>
    <w:p w:rsidR="007113BF" w:rsidRPr="007113BF" w:rsidRDefault="007113BF" w:rsidP="007113BF">
      <w:pPr>
        <w:pStyle w:val="Paralevel1"/>
        <w:numPr>
          <w:ilvl w:val="0"/>
          <w:numId w:val="45"/>
        </w:numPr>
        <w:spacing w:line="276" w:lineRule="auto"/>
      </w:pPr>
      <w:r w:rsidRPr="007113BF">
        <w:t>Harmonize country names (former USSR, former Czechoslovakia)</w:t>
      </w:r>
      <w:r w:rsidR="004C55F6">
        <w:t>;</w:t>
      </w:r>
    </w:p>
    <w:p w:rsidR="007113BF" w:rsidRPr="007113BF" w:rsidRDefault="007113BF" w:rsidP="007113BF">
      <w:pPr>
        <w:pStyle w:val="Paralevel1"/>
        <w:numPr>
          <w:ilvl w:val="0"/>
          <w:numId w:val="45"/>
        </w:numPr>
        <w:spacing w:line="276" w:lineRule="auto"/>
      </w:pPr>
      <w:r w:rsidRPr="007113BF">
        <w:lastRenderedPageBreak/>
        <w:t>Harmonize references for ESWI a</w:t>
      </w:r>
      <w:r w:rsidR="004C55F6">
        <w:t>nd UBA 2015 (as per General TG);</w:t>
      </w:r>
    </w:p>
    <w:p w:rsidR="007113BF" w:rsidRPr="007113BF" w:rsidRDefault="007113BF" w:rsidP="007113BF">
      <w:pPr>
        <w:pStyle w:val="Paralevel1"/>
        <w:numPr>
          <w:ilvl w:val="0"/>
          <w:numId w:val="45"/>
        </w:numPr>
        <w:spacing w:line="276" w:lineRule="auto"/>
      </w:pPr>
      <w:r w:rsidRPr="007113BF">
        <w:t xml:space="preserve">Harmonize references to annexes </w:t>
      </w:r>
      <w:r>
        <w:t xml:space="preserve">A, B and C </w:t>
      </w:r>
      <w:r w:rsidRPr="007113BF">
        <w:t>o</w:t>
      </w:r>
      <w:r>
        <w:t>f the Stockholm Convention, by mentioning their qualifications (elimination, restriction, unintentional production)</w:t>
      </w:r>
      <w:r w:rsidR="004C55F6">
        <w:t>;</w:t>
      </w:r>
    </w:p>
    <w:p w:rsidR="007113BF" w:rsidRPr="007113BF" w:rsidRDefault="007113BF" w:rsidP="007113BF">
      <w:pPr>
        <w:pStyle w:val="Paralevel1"/>
        <w:numPr>
          <w:ilvl w:val="0"/>
          <w:numId w:val="45"/>
        </w:numPr>
        <w:spacing w:line="276" w:lineRule="auto"/>
      </w:pPr>
      <w:r w:rsidRPr="007113BF">
        <w:t xml:space="preserve">In </w:t>
      </w:r>
      <w:r>
        <w:t xml:space="preserve">the </w:t>
      </w:r>
      <w:r w:rsidRPr="007113BF">
        <w:t xml:space="preserve">specific </w:t>
      </w:r>
      <w:r>
        <w:t>technical guidelines</w:t>
      </w:r>
      <w:r w:rsidRPr="007113BF">
        <w:t>, remove listing of destruction technologies an</w:t>
      </w:r>
      <w:r w:rsidR="004C55F6">
        <w:t>d replace with generic sentence; and</w:t>
      </w:r>
    </w:p>
    <w:p w:rsidR="007113BF" w:rsidRPr="007113BF" w:rsidRDefault="007113BF" w:rsidP="007113BF">
      <w:pPr>
        <w:pStyle w:val="Paralevel1"/>
        <w:numPr>
          <w:ilvl w:val="0"/>
          <w:numId w:val="45"/>
        </w:numPr>
        <w:tabs>
          <w:tab w:val="num" w:pos="-180"/>
        </w:tabs>
        <w:suppressAutoHyphens/>
      </w:pPr>
      <w:r w:rsidRPr="007113BF">
        <w:t xml:space="preserve">For UPOPs </w:t>
      </w:r>
      <w:r>
        <w:t>technical guidelines</w:t>
      </w:r>
      <w:r w:rsidRPr="007113BF">
        <w:t>, use order of chem</w:t>
      </w:r>
      <w:r>
        <w:t>ical</w:t>
      </w:r>
      <w:r w:rsidRPr="007113BF">
        <w:t xml:space="preserve"> in title when UPOPs are mentioned.</w:t>
      </w:r>
    </w:p>
    <w:p w:rsidR="00912904" w:rsidRPr="00885AB1" w:rsidRDefault="00912904" w:rsidP="00912904">
      <w:pPr>
        <w:pStyle w:val="Paralevel1"/>
        <w:numPr>
          <w:ilvl w:val="0"/>
          <w:numId w:val="13"/>
        </w:numPr>
        <w:tabs>
          <w:tab w:val="clear" w:pos="360"/>
          <w:tab w:val="num" w:pos="-180"/>
        </w:tabs>
        <w:suppressAutoHyphens/>
        <w:ind w:left="709"/>
      </w:pPr>
      <w:r>
        <w:t>It was noted that i</w:t>
      </w:r>
      <w:r w:rsidRPr="00885AB1">
        <w:t>n the European Union, HBCD is now referred to as HBCDD to reduce the potential confusion with the HCBD which is also being discussed. Basel could consider such as change when appropriate to reduce the potential for confusion and mistakes</w:t>
      </w:r>
      <w:r>
        <w:t>.</w:t>
      </w:r>
    </w:p>
    <w:p w:rsidR="007113BF" w:rsidRPr="00885AB1" w:rsidRDefault="007113BF" w:rsidP="007113BF">
      <w:pPr>
        <w:pStyle w:val="Paralevel1"/>
        <w:numPr>
          <w:ilvl w:val="0"/>
          <w:numId w:val="13"/>
        </w:numPr>
        <w:tabs>
          <w:tab w:val="clear" w:pos="360"/>
          <w:tab w:val="num" w:pos="-180"/>
        </w:tabs>
        <w:suppressAutoHyphens/>
        <w:ind w:left="709"/>
      </w:pPr>
      <w:r>
        <w:t>Additionally, it was discussed that t</w:t>
      </w:r>
      <w:r w:rsidRPr="00885AB1">
        <w:t xml:space="preserve">he provisional definition of low POP content value for dioxins (PCDDs) and furans is expressed with the Toxic Equivalency (TEQ) in the Basel Convention General Technical Guidelines and the U-POPs Technical Guidelines. It was noted that the current TEQ value is calculated taking into consideration PCDDs and PCDFs only and exclude PCBs. As the World Health Organization </w:t>
      </w:r>
      <w:r w:rsidR="00912904">
        <w:t xml:space="preserve">(WHO) </w:t>
      </w:r>
      <w:r w:rsidRPr="00885AB1">
        <w:t xml:space="preserve">recognizes that PCBs can be taken into account in the determination of the TEQ, </w:t>
      </w:r>
      <w:r w:rsidR="00912904">
        <w:t xml:space="preserve">the </w:t>
      </w:r>
      <w:r w:rsidRPr="00885AB1">
        <w:t xml:space="preserve">Basel </w:t>
      </w:r>
      <w:r w:rsidR="00912904">
        <w:t xml:space="preserve">Convention </w:t>
      </w:r>
      <w:r w:rsidRPr="00885AB1">
        <w:t>could consider further work to assess if it needs to change its method to incorporate the many options offered under the WHO approach.</w:t>
      </w:r>
    </w:p>
    <w:p w:rsidR="002C43C1" w:rsidRDefault="002C43C1" w:rsidP="002C43C1">
      <w:pPr>
        <w:pStyle w:val="CH1"/>
        <w:tabs>
          <w:tab w:val="left" w:pos="1814"/>
          <w:tab w:val="left" w:pos="2381"/>
          <w:tab w:val="left" w:pos="2948"/>
          <w:tab w:val="left" w:pos="3515"/>
          <w:tab w:val="left" w:pos="4082"/>
        </w:tabs>
      </w:pPr>
      <w:r>
        <w:t>V. Report on deca-BDE</w:t>
      </w:r>
    </w:p>
    <w:p w:rsidR="00885AB1" w:rsidRDefault="00912904" w:rsidP="004C55F6">
      <w:pPr>
        <w:pStyle w:val="Paralevel1"/>
        <w:numPr>
          <w:ilvl w:val="0"/>
          <w:numId w:val="13"/>
        </w:numPr>
        <w:tabs>
          <w:tab w:val="clear" w:pos="360"/>
          <w:tab w:val="num" w:pos="-180"/>
        </w:tabs>
        <w:suppressAutoHyphens/>
        <w:ind w:left="709"/>
      </w:pPr>
      <w:r>
        <w:t xml:space="preserve">On behalf of Norway, </w:t>
      </w:r>
      <w:r w:rsidR="004C55F6">
        <w:t xml:space="preserve">Mr. Alexander Potrykus from BIPRO GmbH </w:t>
      </w:r>
      <w:r>
        <w:t>gave</w:t>
      </w:r>
      <w:r w:rsidR="004C55F6">
        <w:t xml:space="preserve"> a presentation on </w:t>
      </w:r>
      <w:r w:rsidR="004C55F6" w:rsidRPr="004C55F6">
        <w:t>the analysis of the information received by the Basel Convention related to decaBDE as called for in decision BC-12/3</w:t>
      </w:r>
      <w:r w:rsidR="00E468B0">
        <w:t xml:space="preserve">. The analysis </w:t>
      </w:r>
      <w:r w:rsidR="004C55F6">
        <w:t>is put forward for COP-13</w:t>
      </w:r>
      <w:r w:rsidR="00E468B0">
        <w:t>’s consideration</w:t>
      </w:r>
      <w:r w:rsidR="004C55F6">
        <w:t xml:space="preserve"> as set out in document </w:t>
      </w:r>
      <w:r w:rsidR="004C55F6" w:rsidRPr="004C55F6">
        <w:t>UNEP/CHW.13/INF/14</w:t>
      </w:r>
      <w:r w:rsidR="004C55F6">
        <w:t>.</w:t>
      </w:r>
    </w:p>
    <w:p w:rsidR="004C55F6" w:rsidRPr="004C55F6" w:rsidRDefault="004C55F6" w:rsidP="004C55F6">
      <w:pPr>
        <w:pStyle w:val="Paralevel1"/>
        <w:numPr>
          <w:ilvl w:val="0"/>
          <w:numId w:val="13"/>
        </w:numPr>
        <w:tabs>
          <w:tab w:val="clear" w:pos="360"/>
          <w:tab w:val="num" w:pos="-180"/>
        </w:tabs>
        <w:suppressAutoHyphens/>
        <w:ind w:left="709"/>
      </w:pPr>
      <w:r>
        <w:t>After the presentation a discussion took place among the different meeting participants, where the various views were put forward about the possibilities</w:t>
      </w:r>
      <w:r w:rsidR="00E468B0">
        <w:t>, currently available</w:t>
      </w:r>
      <w:r>
        <w:t xml:space="preserve"> and necessary </w:t>
      </w:r>
      <w:r w:rsidR="00912904">
        <w:t xml:space="preserve">ones </w:t>
      </w:r>
      <w:r>
        <w:t xml:space="preserve">in the future, on the environmentally sound management of wastes consisting of, containing or contaminated with decaBDE, based on the possible listing of this chemical in the Stockholm Convention. </w:t>
      </w:r>
    </w:p>
    <w:p w:rsidR="002C43C1" w:rsidRDefault="002C43C1" w:rsidP="002C43C1">
      <w:pPr>
        <w:pStyle w:val="CH1"/>
        <w:tabs>
          <w:tab w:val="left" w:pos="1814"/>
          <w:tab w:val="left" w:pos="2381"/>
          <w:tab w:val="left" w:pos="2948"/>
          <w:tab w:val="left" w:pos="3515"/>
          <w:tab w:val="left" w:pos="4082"/>
        </w:tabs>
      </w:pPr>
      <w:r>
        <w:t>VI. Other matters and next steps</w:t>
      </w:r>
    </w:p>
    <w:p w:rsidR="002C43C1" w:rsidRDefault="00E468B0" w:rsidP="00E468B0">
      <w:pPr>
        <w:pStyle w:val="Paralevel1"/>
        <w:numPr>
          <w:ilvl w:val="0"/>
          <w:numId w:val="13"/>
        </w:numPr>
        <w:tabs>
          <w:tab w:val="clear" w:pos="360"/>
          <w:tab w:val="num" w:pos="-180"/>
        </w:tabs>
        <w:suppressAutoHyphens/>
        <w:ind w:left="709"/>
      </w:pPr>
      <w:r>
        <w:t xml:space="preserve">The group discussed the candidate POPs to be listed in the Stockholm Convention and the possible consequences for the development or </w:t>
      </w:r>
      <w:r w:rsidR="00912904">
        <w:t xml:space="preserve">the </w:t>
      </w:r>
      <w:r>
        <w:t>update of the technical guidelines</w:t>
      </w:r>
      <w:r w:rsidR="00912904">
        <w:t xml:space="preserve"> on POP wastes</w:t>
      </w:r>
      <w:r>
        <w:t>. Specifically, on HCBD, it was discussed that if this chemical is listed in Annex C of the Stockholm Convention, a review of a few guidelines may become necessary (i.e. the General, the HCBD and the UPOPs technical guidelines).</w:t>
      </w:r>
    </w:p>
    <w:p w:rsidR="00C74B34" w:rsidRDefault="00E468B0" w:rsidP="00E468B0">
      <w:pPr>
        <w:pStyle w:val="Paralevel1"/>
        <w:numPr>
          <w:ilvl w:val="0"/>
          <w:numId w:val="13"/>
        </w:numPr>
        <w:tabs>
          <w:tab w:val="clear" w:pos="360"/>
          <w:tab w:val="num" w:pos="-180"/>
        </w:tabs>
        <w:suppressAutoHyphens/>
        <w:ind w:left="709"/>
      </w:pPr>
      <w:r>
        <w:t>The respective authors of the various technical guidelines agreed to send the final revised versions of the documents, to the Secretariat, by March 3</w:t>
      </w:r>
      <w:r w:rsidR="00D725B2">
        <w:t>, 2017</w:t>
      </w:r>
      <w:r>
        <w:t xml:space="preserve">. </w:t>
      </w:r>
    </w:p>
    <w:p w:rsidR="00912904" w:rsidRDefault="00912904" w:rsidP="00E468B0">
      <w:pPr>
        <w:pStyle w:val="Paralevel1"/>
        <w:numPr>
          <w:ilvl w:val="0"/>
          <w:numId w:val="13"/>
        </w:numPr>
        <w:tabs>
          <w:tab w:val="clear" w:pos="360"/>
          <w:tab w:val="num" w:pos="-180"/>
        </w:tabs>
        <w:suppressAutoHyphens/>
        <w:ind w:left="709"/>
      </w:pPr>
      <w:r>
        <w:t>It was agreed that all the six technical guidelines revised in the meeting would become information documents for consideration by COP-13</w:t>
      </w:r>
      <w:r w:rsidR="009D3AEB">
        <w:t>. These documents should be considered together</w:t>
      </w:r>
      <w:r>
        <w:t xml:space="preserve"> with their respective Addenda versions, which were made available to Parties before the SIWG meeting in Bonn. </w:t>
      </w:r>
    </w:p>
    <w:p w:rsidR="002C43C1" w:rsidRPr="002C43C1" w:rsidRDefault="002C43C1" w:rsidP="002C43C1">
      <w:pPr>
        <w:pStyle w:val="CH1"/>
        <w:tabs>
          <w:tab w:val="left" w:pos="1814"/>
          <w:tab w:val="left" w:pos="2381"/>
          <w:tab w:val="left" w:pos="2948"/>
          <w:tab w:val="left" w:pos="3515"/>
          <w:tab w:val="left" w:pos="4082"/>
        </w:tabs>
      </w:pPr>
      <w:r>
        <w:t>VIII. Closure of the meeting</w:t>
      </w:r>
    </w:p>
    <w:p w:rsidR="002C43C1" w:rsidRPr="00C74B34" w:rsidRDefault="00C74B34" w:rsidP="00C74B34">
      <w:pPr>
        <w:pStyle w:val="Paralevel1"/>
        <w:numPr>
          <w:ilvl w:val="0"/>
          <w:numId w:val="13"/>
        </w:numPr>
        <w:tabs>
          <w:tab w:val="clear" w:pos="360"/>
          <w:tab w:val="num" w:pos="-180"/>
        </w:tabs>
        <w:suppressAutoHyphens/>
        <w:ind w:left="709"/>
      </w:pPr>
      <w:r>
        <w:t>Following the customary exchange of courtesies, the meeting was declared closed at 1 p.m. on Wednesday, 22 February 2017</w:t>
      </w:r>
    </w:p>
    <w:p w:rsidR="002F5269" w:rsidRDefault="002F5269" w:rsidP="00DC11B1">
      <w:pPr>
        <w:autoSpaceDE w:val="0"/>
        <w:autoSpaceDN w:val="0"/>
        <w:adjustRightInd w:val="0"/>
        <w:spacing w:before="60"/>
        <w:rPr>
          <w:b/>
          <w:bCs/>
          <w:lang w:val="en-US" w:eastAsia="ja-JP"/>
        </w:rPr>
      </w:pPr>
    </w:p>
    <w:p w:rsidR="002D779A" w:rsidRDefault="002D779A" w:rsidP="002D779A">
      <w:pPr>
        <w:autoSpaceDE w:val="0"/>
        <w:autoSpaceDN w:val="0"/>
        <w:adjustRightInd w:val="0"/>
        <w:spacing w:before="60"/>
        <w:jc w:val="center"/>
        <w:rPr>
          <w:b/>
          <w:bCs/>
          <w:lang w:val="en-US" w:eastAsia="ja-JP"/>
        </w:rPr>
      </w:pPr>
      <w:r>
        <w:rPr>
          <w:b/>
          <w:bCs/>
          <w:lang w:val="en-US" w:eastAsia="ja-JP"/>
        </w:rPr>
        <w:t>____________________</w:t>
      </w:r>
    </w:p>
    <w:sectPr w:rsidR="002D779A" w:rsidSect="002D779A">
      <w:headerReference w:type="even" r:id="rId12"/>
      <w:headerReference w:type="default" r:id="rId13"/>
      <w:footerReference w:type="even" r:id="rId14"/>
      <w:footerReference w:type="default" r:id="rId15"/>
      <w:headerReference w:type="first" r:id="rId16"/>
      <w:type w:val="continuous"/>
      <w:pgSz w:w="11906" w:h="16838" w:code="9"/>
      <w:pgMar w:top="1440" w:right="1440" w:bottom="1440" w:left="1440"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6D" w:rsidRDefault="004D236D">
      <w:r>
        <w:separator/>
      </w:r>
    </w:p>
  </w:endnote>
  <w:endnote w:type="continuationSeparator" w:id="0">
    <w:p w:rsidR="004D236D" w:rsidRDefault="004D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9A" w:rsidRDefault="002145A2">
    <w:pPr>
      <w:pStyle w:val="Footer"/>
    </w:pPr>
    <w:r>
      <w:rPr>
        <w:rStyle w:val="PageNumber"/>
      </w:rPr>
      <w:fldChar w:fldCharType="begin"/>
    </w:r>
    <w:r w:rsidR="00CD7F9A">
      <w:rPr>
        <w:rStyle w:val="PageNumber"/>
      </w:rPr>
      <w:instrText xml:space="preserve"> PAGE </w:instrText>
    </w:r>
    <w:r>
      <w:rPr>
        <w:rStyle w:val="PageNumber"/>
      </w:rPr>
      <w:fldChar w:fldCharType="separate"/>
    </w:r>
    <w:r w:rsidR="00B7096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9A" w:rsidRDefault="002145A2" w:rsidP="00035EDE">
    <w:pPr>
      <w:pStyle w:val="Footer"/>
      <w:jc w:val="right"/>
    </w:pPr>
    <w:r>
      <w:rPr>
        <w:rStyle w:val="PageNumber"/>
      </w:rPr>
      <w:fldChar w:fldCharType="begin"/>
    </w:r>
    <w:r w:rsidR="00CD7F9A">
      <w:rPr>
        <w:rStyle w:val="PageNumber"/>
      </w:rPr>
      <w:instrText xml:space="preserve"> PAGE </w:instrText>
    </w:r>
    <w:r>
      <w:rPr>
        <w:rStyle w:val="PageNumber"/>
      </w:rPr>
      <w:fldChar w:fldCharType="separate"/>
    </w:r>
    <w:r w:rsidR="00B7096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6D" w:rsidRDefault="004D236D" w:rsidP="006D51B5">
      <w:pPr>
        <w:ind w:left="624"/>
      </w:pPr>
      <w:r>
        <w:separator/>
      </w:r>
    </w:p>
  </w:footnote>
  <w:footnote w:type="continuationSeparator" w:id="0">
    <w:p w:rsidR="004D236D" w:rsidRDefault="004D236D">
      <w:r>
        <w:continuationSeparator/>
      </w:r>
    </w:p>
  </w:footnote>
  <w:footnote w:id="1">
    <w:p w:rsidR="002C43C1" w:rsidRDefault="00083A90" w:rsidP="00083A90">
      <w:pPr>
        <w:pStyle w:val="FootnoteText"/>
        <w:rPr>
          <w:szCs w:val="18"/>
        </w:rPr>
      </w:pPr>
      <w:r w:rsidRPr="00EC3C50">
        <w:rPr>
          <w:rStyle w:val="FootnoteReference"/>
        </w:rPr>
        <w:footnoteRef/>
      </w:r>
      <w:r w:rsidRPr="00EC3C50">
        <w:rPr>
          <w:szCs w:val="18"/>
        </w:rPr>
        <w:t xml:space="preserve"> This and other meeting documents are available on the Basel Convention website:</w:t>
      </w:r>
      <w:r w:rsidRPr="0074785A">
        <w:t xml:space="preserve"> </w:t>
      </w:r>
      <w:hyperlink r:id="rId1" w:history="1">
        <w:r w:rsidR="002C43C1" w:rsidRPr="00B30ADC">
          <w:rPr>
            <w:rStyle w:val="Hyperlink"/>
            <w:sz w:val="18"/>
            <w:szCs w:val="18"/>
            <w:lang w:val="en-GB"/>
          </w:rPr>
          <w:t>http://www.basel.int/Implementation/POPsWastes/Meetings/SIWGGermany2017/tabid/5491/Default.aspx</w:t>
        </w:r>
      </w:hyperlink>
    </w:p>
    <w:p w:rsidR="00083A90" w:rsidRDefault="00083A90" w:rsidP="00083A90">
      <w:pPr>
        <w:pStyle w:val="FootnoteText"/>
      </w:pPr>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9A" w:rsidRPr="002122F7" w:rsidRDefault="00083A90" w:rsidP="002122F7">
    <w:pPr>
      <w:pStyle w:val="Header"/>
      <w:rPr>
        <w:lang w:val="fr-FR"/>
      </w:rPr>
    </w:pPr>
    <w:r w:rsidRPr="00873CFD">
      <w:rPr>
        <w:lang w:val="fr-CH"/>
      </w:rPr>
      <w:t>UNEP</w:t>
    </w:r>
    <w:r w:rsidRPr="0051658B">
      <w:rPr>
        <w:lang w:val="fr-CH"/>
      </w:rPr>
      <w:t>/CHW/POP-SIWG</w:t>
    </w:r>
    <w:r w:rsidRPr="0051658B">
      <w:rPr>
        <w:rFonts w:eastAsia="Times New Roman"/>
        <w:lang w:val="fr-CH"/>
      </w:rPr>
      <w:t>.</w:t>
    </w:r>
    <w:r>
      <w:rPr>
        <w:rFonts w:eastAsia="Times New Roman"/>
        <w:lang w:val="fr-CH"/>
      </w:rPr>
      <w:t>2</w:t>
    </w:r>
    <w:r w:rsidRPr="0051658B">
      <w:rPr>
        <w:rFonts w:eastAsia="Times New Roman"/>
        <w:lang w:val="fr-CH"/>
      </w:rPr>
      <w:t>/</w:t>
    </w:r>
    <w:r>
      <w:rPr>
        <w:rFonts w:eastAsia="Times New Roman"/>
        <w:lang w:val="fr-CH"/>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9A" w:rsidRPr="002122F7" w:rsidRDefault="00CD7F9A" w:rsidP="002122F7">
    <w:pPr>
      <w:pStyle w:val="Header"/>
      <w:jc w:val="right"/>
    </w:pPr>
    <w:r>
      <w:rPr>
        <w:lang w:val="fr-FR"/>
      </w:rPr>
      <w:t>UNEP/CHW.11/INF/1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9A" w:rsidRDefault="00CD7F9A" w:rsidP="000E73D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BD0"/>
    <w:multiLevelType w:val="hybridMultilevel"/>
    <w:tmpl w:val="129EA92A"/>
    <w:lvl w:ilvl="0" w:tplc="04090019">
      <w:start w:val="1"/>
      <w:numFmt w:val="lowerLetter"/>
      <w:lvlText w:val="%1."/>
      <w:lvlJc w:val="left"/>
      <w:pPr>
        <w:ind w:left="720" w:hanging="360"/>
      </w:pPr>
      <w:rPr>
        <w:rFonts w:hint="default"/>
      </w:rPr>
    </w:lvl>
    <w:lvl w:ilvl="1" w:tplc="CBD4127C">
      <w:start w:val="1"/>
      <w:numFmt w:val="lowerLetter"/>
      <w:lvlText w:val="(%2)"/>
      <w:lvlJc w:val="left"/>
      <w:pPr>
        <w:ind w:left="2204" w:hanging="360"/>
      </w:pPr>
      <w:rPr>
        <w:rFonts w:ascii="Times New Roman" w:eastAsia="MS Mincho"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62EB7"/>
    <w:multiLevelType w:val="singleLevel"/>
    <w:tmpl w:val="D2A6DB7C"/>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2">
    <w:nsid w:val="145C3A18"/>
    <w:multiLevelType w:val="hybridMultilevel"/>
    <w:tmpl w:val="D65AC0CA"/>
    <w:lvl w:ilvl="0" w:tplc="E9B20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A3CC3"/>
    <w:multiLevelType w:val="hybridMultilevel"/>
    <w:tmpl w:val="A96C06F4"/>
    <w:lvl w:ilvl="0" w:tplc="04090019">
      <w:start w:val="1"/>
      <w:numFmt w:val="lowerLetter"/>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4">
    <w:nsid w:val="171113A7"/>
    <w:multiLevelType w:val="multilevel"/>
    <w:tmpl w:val="48241D10"/>
    <w:numStyleLink w:val="Normallist"/>
  </w:abstractNum>
  <w:abstractNum w:abstractNumId="5">
    <w:nsid w:val="179F5503"/>
    <w:multiLevelType w:val="hybridMultilevel"/>
    <w:tmpl w:val="3050D556"/>
    <w:lvl w:ilvl="0" w:tplc="8A6A825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FD824F5"/>
    <w:multiLevelType w:val="hybridMultilevel"/>
    <w:tmpl w:val="06A08BDA"/>
    <w:lvl w:ilvl="0" w:tplc="0409001B">
      <w:start w:val="1"/>
      <w:numFmt w:val="lowerRoman"/>
      <w:lvlText w:val="%1."/>
      <w:lvlJc w:val="right"/>
      <w:pPr>
        <w:ind w:left="1967" w:hanging="360"/>
      </w:pPr>
      <w:rPr>
        <w:rFonts w:hint="default"/>
      </w:rPr>
    </w:lvl>
    <w:lvl w:ilvl="1" w:tplc="0409001B">
      <w:start w:val="1"/>
      <w:numFmt w:val="lowerRoman"/>
      <w:lvlText w:val="%2."/>
      <w:lvlJc w:val="righ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37771E4D"/>
    <w:multiLevelType w:val="hybridMultilevel"/>
    <w:tmpl w:val="2F2AA38C"/>
    <w:lvl w:ilvl="0" w:tplc="CBD4127C">
      <w:start w:val="1"/>
      <w:numFmt w:val="lowerLetter"/>
      <w:lvlText w:val="(%1)"/>
      <w:lvlJc w:val="left"/>
      <w:pPr>
        <w:ind w:left="2204"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5556B"/>
    <w:multiLevelType w:val="hybridMultilevel"/>
    <w:tmpl w:val="49CA308E"/>
    <w:lvl w:ilvl="0" w:tplc="8A6A825A">
      <w:start w:val="1"/>
      <w:numFmt w:val="upperLetter"/>
      <w:lvlText w:val="%1."/>
      <w:lvlJc w:val="left"/>
      <w:pPr>
        <w:ind w:left="1069" w:hanging="360"/>
      </w:pPr>
      <w:rPr>
        <w:rFonts w:hint="default"/>
      </w:rPr>
    </w:lvl>
    <w:lvl w:ilvl="1" w:tplc="0409001B">
      <w:start w:val="1"/>
      <w:numFmt w:val="lowerRoman"/>
      <w:lvlText w:val="%2."/>
      <w:lvlJc w:val="righ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861700B"/>
    <w:multiLevelType w:val="hybridMultilevel"/>
    <w:tmpl w:val="4198B5FA"/>
    <w:lvl w:ilvl="0" w:tplc="38B631E6">
      <w:start w:val="1"/>
      <w:numFmt w:val="lowerLetter"/>
      <w:lvlText w:val="(%1)"/>
      <w:lvlJc w:val="left"/>
      <w:pPr>
        <w:ind w:left="1967" w:hanging="360"/>
      </w:pPr>
      <w:rPr>
        <w:rFonts w:hint="default"/>
      </w:rPr>
    </w:lvl>
    <w:lvl w:ilvl="1" w:tplc="0409001B">
      <w:start w:val="1"/>
      <w:numFmt w:val="lowerRoman"/>
      <w:lvlText w:val="%2."/>
      <w:lvlJc w:val="righ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57CA2DE4"/>
    <w:multiLevelType w:val="hybridMultilevel"/>
    <w:tmpl w:val="C6EE3710"/>
    <w:lvl w:ilvl="0" w:tplc="38B63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0190B"/>
    <w:multiLevelType w:val="hybridMultilevel"/>
    <w:tmpl w:val="EC0E8B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B371D"/>
    <w:multiLevelType w:val="hybridMultilevel"/>
    <w:tmpl w:val="129EA92A"/>
    <w:lvl w:ilvl="0" w:tplc="04090019">
      <w:start w:val="1"/>
      <w:numFmt w:val="lowerLetter"/>
      <w:lvlText w:val="%1."/>
      <w:lvlJc w:val="left"/>
      <w:pPr>
        <w:ind w:left="720" w:hanging="360"/>
      </w:pPr>
      <w:rPr>
        <w:rFonts w:hint="default"/>
      </w:rPr>
    </w:lvl>
    <w:lvl w:ilvl="1" w:tplc="CBD4127C">
      <w:start w:val="1"/>
      <w:numFmt w:val="lowerLetter"/>
      <w:lvlText w:val="(%2)"/>
      <w:lvlJc w:val="left"/>
      <w:pPr>
        <w:ind w:left="2204" w:hanging="360"/>
      </w:pPr>
      <w:rPr>
        <w:rFonts w:ascii="Times New Roman" w:eastAsia="MS Mincho"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91BF8"/>
    <w:multiLevelType w:val="multilevel"/>
    <w:tmpl w:val="6366955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97"/>
        </w:tabs>
        <w:ind w:left="297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62D97AF9"/>
    <w:multiLevelType w:val="hybridMultilevel"/>
    <w:tmpl w:val="C56C668A"/>
    <w:lvl w:ilvl="0" w:tplc="5EECDFEA">
      <w:start w:val="1"/>
      <w:numFmt w:val="lowerLetter"/>
      <w:lvlText w:val="(%1)"/>
      <w:lvlJc w:val="left"/>
      <w:pPr>
        <w:ind w:left="2486" w:hanging="585"/>
      </w:pPr>
      <w:rPr>
        <w:rFonts w:hint="default"/>
      </w:rPr>
    </w:lvl>
    <w:lvl w:ilvl="1" w:tplc="08090019" w:tentative="1">
      <w:start w:val="1"/>
      <w:numFmt w:val="lowerLetter"/>
      <w:lvlText w:val="%2."/>
      <w:lvlJc w:val="left"/>
      <w:pPr>
        <w:ind w:left="2981" w:hanging="360"/>
      </w:pPr>
    </w:lvl>
    <w:lvl w:ilvl="2" w:tplc="0809001B" w:tentative="1">
      <w:start w:val="1"/>
      <w:numFmt w:val="lowerRoman"/>
      <w:lvlText w:val="%3."/>
      <w:lvlJc w:val="right"/>
      <w:pPr>
        <w:ind w:left="3701" w:hanging="180"/>
      </w:pPr>
    </w:lvl>
    <w:lvl w:ilvl="3" w:tplc="0809000F" w:tentative="1">
      <w:start w:val="1"/>
      <w:numFmt w:val="decimal"/>
      <w:lvlText w:val="%4."/>
      <w:lvlJc w:val="left"/>
      <w:pPr>
        <w:ind w:left="4421" w:hanging="360"/>
      </w:pPr>
    </w:lvl>
    <w:lvl w:ilvl="4" w:tplc="08090019" w:tentative="1">
      <w:start w:val="1"/>
      <w:numFmt w:val="lowerLetter"/>
      <w:lvlText w:val="%5."/>
      <w:lvlJc w:val="left"/>
      <w:pPr>
        <w:ind w:left="5141" w:hanging="360"/>
      </w:pPr>
    </w:lvl>
    <w:lvl w:ilvl="5" w:tplc="0809001B" w:tentative="1">
      <w:start w:val="1"/>
      <w:numFmt w:val="lowerRoman"/>
      <w:lvlText w:val="%6."/>
      <w:lvlJc w:val="right"/>
      <w:pPr>
        <w:ind w:left="5861" w:hanging="180"/>
      </w:pPr>
    </w:lvl>
    <w:lvl w:ilvl="6" w:tplc="0809000F" w:tentative="1">
      <w:start w:val="1"/>
      <w:numFmt w:val="decimal"/>
      <w:lvlText w:val="%7."/>
      <w:lvlJc w:val="left"/>
      <w:pPr>
        <w:ind w:left="6581" w:hanging="360"/>
      </w:pPr>
    </w:lvl>
    <w:lvl w:ilvl="7" w:tplc="08090019" w:tentative="1">
      <w:start w:val="1"/>
      <w:numFmt w:val="lowerLetter"/>
      <w:lvlText w:val="%8."/>
      <w:lvlJc w:val="left"/>
      <w:pPr>
        <w:ind w:left="7301" w:hanging="360"/>
      </w:pPr>
    </w:lvl>
    <w:lvl w:ilvl="8" w:tplc="0809001B" w:tentative="1">
      <w:start w:val="1"/>
      <w:numFmt w:val="lowerRoman"/>
      <w:lvlText w:val="%9."/>
      <w:lvlJc w:val="right"/>
      <w:pPr>
        <w:ind w:left="8021" w:hanging="180"/>
      </w:pPr>
    </w:lvl>
  </w:abstractNum>
  <w:abstractNum w:abstractNumId="18">
    <w:nsid w:val="62F33E7E"/>
    <w:multiLevelType w:val="hybridMultilevel"/>
    <w:tmpl w:val="3050D556"/>
    <w:lvl w:ilvl="0" w:tplc="8A6A825A">
      <w:start w:val="1"/>
      <w:numFmt w:val="upp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9">
    <w:nsid w:val="6CEA1EEA"/>
    <w:multiLevelType w:val="hybridMultilevel"/>
    <w:tmpl w:val="707CD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7977F7"/>
    <w:multiLevelType w:val="hybridMultilevel"/>
    <w:tmpl w:val="247E4844"/>
    <w:lvl w:ilvl="0" w:tplc="38B631E6">
      <w:start w:val="1"/>
      <w:numFmt w:val="lowerLetter"/>
      <w:lvlText w:val="(%1)"/>
      <w:lvlJc w:val="left"/>
      <w:pPr>
        <w:ind w:left="2591" w:hanging="360"/>
      </w:pPr>
      <w:rPr>
        <w:rFonts w:hint="default"/>
      </w:rPr>
    </w:lvl>
    <w:lvl w:ilvl="1" w:tplc="04090019">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1">
    <w:nsid w:val="7F3F6AF1"/>
    <w:multiLevelType w:val="hybridMultilevel"/>
    <w:tmpl w:val="E506AA04"/>
    <w:lvl w:ilvl="0" w:tplc="38B631E6">
      <w:start w:val="1"/>
      <w:numFmt w:val="lowerLetter"/>
      <w:lvlText w:val="(%1)"/>
      <w:lvlJc w:val="left"/>
      <w:pPr>
        <w:ind w:left="2591" w:hanging="360"/>
      </w:pPr>
      <w:rPr>
        <w:rFonts w:hint="default"/>
      </w:rPr>
    </w:lvl>
    <w:lvl w:ilvl="1" w:tplc="04090011">
      <w:start w:val="1"/>
      <w:numFmt w:val="decimal"/>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num w:numId="1">
    <w:abstractNumId w:val="6"/>
  </w:num>
  <w:num w:numId="2">
    <w:abstractNumId w:val="8"/>
  </w:num>
  <w:num w:numId="3">
    <w:abstractNumId w:val="12"/>
  </w:num>
  <w:num w:numId="4">
    <w:abstractNumId w:val="4"/>
  </w:num>
  <w:num w:numId="5">
    <w:abstractNumId w:val="1"/>
  </w:num>
  <w:num w:numId="6">
    <w:abstractNumId w:val="13"/>
  </w:num>
  <w:num w:numId="7">
    <w:abstractNumId w:val="0"/>
  </w:num>
  <w:num w:numId="8">
    <w:abstractNumId w:val="20"/>
  </w:num>
  <w:num w:numId="9">
    <w:abstractNumId w:val="4"/>
  </w:num>
  <w:num w:numId="10">
    <w:abstractNumId w:val="4"/>
  </w:num>
  <w:num w:numId="11">
    <w:abstractNumId w:val="21"/>
  </w:num>
  <w:num w:numId="12">
    <w:abstractNumId w:val="11"/>
  </w:num>
  <w:num w:numId="13">
    <w:abstractNumId w:val="1"/>
    <w:lvlOverride w:ilvl="0">
      <w:startOverride w:val="1"/>
    </w:lvlOverride>
  </w:num>
  <w:num w:numId="14">
    <w:abstractNumId w:val="1"/>
    <w:lvlOverride w:ilvl="0">
      <w:startOverride w:val="1"/>
    </w:lvlOverride>
  </w:num>
  <w:num w:numId="15">
    <w:abstractNumId w:val="2"/>
  </w:num>
  <w:num w:numId="16">
    <w:abstractNumId w:val="1"/>
  </w:num>
  <w:num w:numId="17">
    <w:abstractNumId w:val="17"/>
  </w:num>
  <w:num w:numId="18">
    <w:abstractNumId w:val="16"/>
  </w:num>
  <w:num w:numId="19">
    <w:abstractNumId w:val="18"/>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9"/>
  </w:num>
  <w:num w:numId="28">
    <w:abstractNumId w:val="7"/>
  </w:num>
  <w:num w:numId="29">
    <w:abstractNumId w:val="14"/>
  </w:num>
  <w:num w:numId="30">
    <w:abstractNumId w:val="1"/>
  </w:num>
  <w:num w:numId="31">
    <w:abstractNumId w:val="1"/>
  </w:num>
  <w:num w:numId="32">
    <w:abstractNumId w:val="1"/>
  </w:num>
  <w:num w:numId="33">
    <w:abstractNumId w:val="4"/>
  </w:num>
  <w:num w:numId="34">
    <w:abstractNumId w:val="10"/>
  </w:num>
  <w:num w:numId="35">
    <w:abstractNumId w:val="1"/>
  </w:num>
  <w:num w:numId="36">
    <w:abstractNumId w:val="1"/>
  </w:num>
  <w:num w:numId="37">
    <w:abstractNumId w:val="4"/>
  </w:num>
  <w:num w:numId="38">
    <w:abstractNumId w:val="4"/>
  </w:num>
  <w:num w:numId="39">
    <w:abstractNumId w:val="4"/>
  </w:num>
  <w:num w:numId="40">
    <w:abstractNumId w:val="4"/>
  </w:num>
  <w:num w:numId="41">
    <w:abstractNumId w:val="4"/>
  </w:num>
  <w:num w:numId="42">
    <w:abstractNumId w:val="15"/>
  </w:num>
  <w:num w:numId="43">
    <w:abstractNumId w:val="1"/>
  </w:num>
  <w:num w:numId="44">
    <w:abstractNumId w:val="19"/>
  </w:num>
  <w:num w:numId="45">
    <w:abstractNumId w:val="3"/>
  </w:num>
  <w:num w:numId="46">
    <w:abstractNumId w:val="1"/>
  </w:num>
  <w:num w:numId="47">
    <w:abstractNumId w:val="1"/>
  </w:num>
  <w:num w:numId="48">
    <w:abstractNumId w:val="1"/>
  </w:num>
  <w:num w:numId="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5A"/>
    <w:rsid w:val="00001D05"/>
    <w:rsid w:val="0000716B"/>
    <w:rsid w:val="000149E6"/>
    <w:rsid w:val="00015E1F"/>
    <w:rsid w:val="000247B0"/>
    <w:rsid w:val="00026997"/>
    <w:rsid w:val="00026DE8"/>
    <w:rsid w:val="00032E7A"/>
    <w:rsid w:val="00033E0B"/>
    <w:rsid w:val="00035EDE"/>
    <w:rsid w:val="00040EFA"/>
    <w:rsid w:val="00044B9B"/>
    <w:rsid w:val="000509B4"/>
    <w:rsid w:val="0005262C"/>
    <w:rsid w:val="00053486"/>
    <w:rsid w:val="000577FF"/>
    <w:rsid w:val="0006115C"/>
    <w:rsid w:val="0006203D"/>
    <w:rsid w:val="00063F29"/>
    <w:rsid w:val="000651D6"/>
    <w:rsid w:val="0006716D"/>
    <w:rsid w:val="00070972"/>
    <w:rsid w:val="00071886"/>
    <w:rsid w:val="000742BC"/>
    <w:rsid w:val="000823ED"/>
    <w:rsid w:val="00082A0C"/>
    <w:rsid w:val="00083A90"/>
    <w:rsid w:val="00086E3B"/>
    <w:rsid w:val="0008746E"/>
    <w:rsid w:val="00091CFD"/>
    <w:rsid w:val="0009640C"/>
    <w:rsid w:val="000A15B9"/>
    <w:rsid w:val="000C5532"/>
    <w:rsid w:val="000C5DEF"/>
    <w:rsid w:val="000D10F8"/>
    <w:rsid w:val="000D33C0"/>
    <w:rsid w:val="000D5CDF"/>
    <w:rsid w:val="000E50EF"/>
    <w:rsid w:val="000E73D0"/>
    <w:rsid w:val="001202E3"/>
    <w:rsid w:val="00122733"/>
    <w:rsid w:val="001261D4"/>
    <w:rsid w:val="0013059D"/>
    <w:rsid w:val="00134C13"/>
    <w:rsid w:val="00136B73"/>
    <w:rsid w:val="001402FA"/>
    <w:rsid w:val="00141A55"/>
    <w:rsid w:val="001460A2"/>
    <w:rsid w:val="00154C69"/>
    <w:rsid w:val="00163BB2"/>
    <w:rsid w:val="0016676A"/>
    <w:rsid w:val="00167A5E"/>
    <w:rsid w:val="00181EC8"/>
    <w:rsid w:val="00184349"/>
    <w:rsid w:val="00184FED"/>
    <w:rsid w:val="00192973"/>
    <w:rsid w:val="001A3A20"/>
    <w:rsid w:val="001B055E"/>
    <w:rsid w:val="001B1617"/>
    <w:rsid w:val="001C067C"/>
    <w:rsid w:val="001C0741"/>
    <w:rsid w:val="001C1D91"/>
    <w:rsid w:val="001C384E"/>
    <w:rsid w:val="001D3874"/>
    <w:rsid w:val="001D7E75"/>
    <w:rsid w:val="001E51C4"/>
    <w:rsid w:val="001E56D2"/>
    <w:rsid w:val="001E7D56"/>
    <w:rsid w:val="001F04C6"/>
    <w:rsid w:val="001F652F"/>
    <w:rsid w:val="001F75DE"/>
    <w:rsid w:val="00200D58"/>
    <w:rsid w:val="002013BE"/>
    <w:rsid w:val="00205F5E"/>
    <w:rsid w:val="002063A4"/>
    <w:rsid w:val="0021145B"/>
    <w:rsid w:val="002122F7"/>
    <w:rsid w:val="002145A2"/>
    <w:rsid w:val="00223DFE"/>
    <w:rsid w:val="00225E64"/>
    <w:rsid w:val="00230D27"/>
    <w:rsid w:val="002315E2"/>
    <w:rsid w:val="002351D4"/>
    <w:rsid w:val="0023535A"/>
    <w:rsid w:val="002372D0"/>
    <w:rsid w:val="00247707"/>
    <w:rsid w:val="00261042"/>
    <w:rsid w:val="00267D54"/>
    <w:rsid w:val="002717CA"/>
    <w:rsid w:val="00272335"/>
    <w:rsid w:val="00274FAE"/>
    <w:rsid w:val="00286740"/>
    <w:rsid w:val="00286B25"/>
    <w:rsid w:val="002908A4"/>
    <w:rsid w:val="002929D8"/>
    <w:rsid w:val="002A237D"/>
    <w:rsid w:val="002A4C53"/>
    <w:rsid w:val="002B0587"/>
    <w:rsid w:val="002B6759"/>
    <w:rsid w:val="002B7C9D"/>
    <w:rsid w:val="002C055F"/>
    <w:rsid w:val="002C145D"/>
    <w:rsid w:val="002C2C3E"/>
    <w:rsid w:val="002C43C1"/>
    <w:rsid w:val="002C495F"/>
    <w:rsid w:val="002C533E"/>
    <w:rsid w:val="002D027F"/>
    <w:rsid w:val="002D1D5B"/>
    <w:rsid w:val="002D5370"/>
    <w:rsid w:val="002D7693"/>
    <w:rsid w:val="002D779A"/>
    <w:rsid w:val="002D7B60"/>
    <w:rsid w:val="002F1242"/>
    <w:rsid w:val="002F14FE"/>
    <w:rsid w:val="002F4761"/>
    <w:rsid w:val="002F5269"/>
    <w:rsid w:val="002F7F68"/>
    <w:rsid w:val="00303ADE"/>
    <w:rsid w:val="003043DA"/>
    <w:rsid w:val="0030695C"/>
    <w:rsid w:val="00312F59"/>
    <w:rsid w:val="0031413F"/>
    <w:rsid w:val="0031717E"/>
    <w:rsid w:val="00321CA9"/>
    <w:rsid w:val="00322B25"/>
    <w:rsid w:val="0033224F"/>
    <w:rsid w:val="00334DFA"/>
    <w:rsid w:val="00341E00"/>
    <w:rsid w:val="0034294B"/>
    <w:rsid w:val="00344719"/>
    <w:rsid w:val="00353C14"/>
    <w:rsid w:val="00355EA9"/>
    <w:rsid w:val="00367D8F"/>
    <w:rsid w:val="00377795"/>
    <w:rsid w:val="0039030A"/>
    <w:rsid w:val="00396257"/>
    <w:rsid w:val="00397EB8"/>
    <w:rsid w:val="003A43A1"/>
    <w:rsid w:val="003A4FD0"/>
    <w:rsid w:val="003A69D1"/>
    <w:rsid w:val="003B0417"/>
    <w:rsid w:val="003B1545"/>
    <w:rsid w:val="003B2BFA"/>
    <w:rsid w:val="003C25A0"/>
    <w:rsid w:val="003C379E"/>
    <w:rsid w:val="003C409D"/>
    <w:rsid w:val="003D7CEF"/>
    <w:rsid w:val="003F0E85"/>
    <w:rsid w:val="004019B5"/>
    <w:rsid w:val="0040565D"/>
    <w:rsid w:val="00407BC1"/>
    <w:rsid w:val="00410C55"/>
    <w:rsid w:val="00417725"/>
    <w:rsid w:val="00421E0D"/>
    <w:rsid w:val="0043414B"/>
    <w:rsid w:val="004360A4"/>
    <w:rsid w:val="0043655D"/>
    <w:rsid w:val="00437F26"/>
    <w:rsid w:val="0044025A"/>
    <w:rsid w:val="00442EA6"/>
    <w:rsid w:val="00454769"/>
    <w:rsid w:val="00464EDC"/>
    <w:rsid w:val="00466683"/>
    <w:rsid w:val="00466991"/>
    <w:rsid w:val="0047064C"/>
    <w:rsid w:val="00473562"/>
    <w:rsid w:val="00477CC7"/>
    <w:rsid w:val="004817C7"/>
    <w:rsid w:val="004877C0"/>
    <w:rsid w:val="004A000F"/>
    <w:rsid w:val="004A00DB"/>
    <w:rsid w:val="004A091D"/>
    <w:rsid w:val="004A4AB8"/>
    <w:rsid w:val="004B2D64"/>
    <w:rsid w:val="004B3D70"/>
    <w:rsid w:val="004B7284"/>
    <w:rsid w:val="004C38E4"/>
    <w:rsid w:val="004C55F6"/>
    <w:rsid w:val="004C5C96"/>
    <w:rsid w:val="004D06A4"/>
    <w:rsid w:val="004D236D"/>
    <w:rsid w:val="004D66F9"/>
    <w:rsid w:val="004E1E8F"/>
    <w:rsid w:val="004E3550"/>
    <w:rsid w:val="004F1A81"/>
    <w:rsid w:val="00504292"/>
    <w:rsid w:val="00504B54"/>
    <w:rsid w:val="00511AE0"/>
    <w:rsid w:val="0051658B"/>
    <w:rsid w:val="005218D9"/>
    <w:rsid w:val="005324E7"/>
    <w:rsid w:val="0053339E"/>
    <w:rsid w:val="00536186"/>
    <w:rsid w:val="005421B6"/>
    <w:rsid w:val="00546A47"/>
    <w:rsid w:val="0054748F"/>
    <w:rsid w:val="005602F6"/>
    <w:rsid w:val="00567D5A"/>
    <w:rsid w:val="0057315F"/>
    <w:rsid w:val="0058463A"/>
    <w:rsid w:val="00597513"/>
    <w:rsid w:val="005A164C"/>
    <w:rsid w:val="005B6EAE"/>
    <w:rsid w:val="005C2238"/>
    <w:rsid w:val="005C67C8"/>
    <w:rsid w:val="005D0249"/>
    <w:rsid w:val="005D05A2"/>
    <w:rsid w:val="005D0C8D"/>
    <w:rsid w:val="005D255B"/>
    <w:rsid w:val="005E019A"/>
    <w:rsid w:val="005E0F85"/>
    <w:rsid w:val="005E11A1"/>
    <w:rsid w:val="005E502A"/>
    <w:rsid w:val="005E5478"/>
    <w:rsid w:val="005E749E"/>
    <w:rsid w:val="005F100C"/>
    <w:rsid w:val="005F1D50"/>
    <w:rsid w:val="005F38B3"/>
    <w:rsid w:val="005F4278"/>
    <w:rsid w:val="005F58C9"/>
    <w:rsid w:val="00612D2D"/>
    <w:rsid w:val="0062035A"/>
    <w:rsid w:val="00626844"/>
    <w:rsid w:val="006303B4"/>
    <w:rsid w:val="00641703"/>
    <w:rsid w:val="006431A6"/>
    <w:rsid w:val="0064435B"/>
    <w:rsid w:val="006459F6"/>
    <w:rsid w:val="00647E9F"/>
    <w:rsid w:val="006501AD"/>
    <w:rsid w:val="00651BFA"/>
    <w:rsid w:val="00651E99"/>
    <w:rsid w:val="0065282A"/>
    <w:rsid w:val="006573DB"/>
    <w:rsid w:val="0066238F"/>
    <w:rsid w:val="006633D8"/>
    <w:rsid w:val="00672652"/>
    <w:rsid w:val="00673888"/>
    <w:rsid w:val="00676EEB"/>
    <w:rsid w:val="00677F5D"/>
    <w:rsid w:val="006801C4"/>
    <w:rsid w:val="00680E52"/>
    <w:rsid w:val="00686648"/>
    <w:rsid w:val="00691F31"/>
    <w:rsid w:val="00692E2A"/>
    <w:rsid w:val="00694C7B"/>
    <w:rsid w:val="006967D0"/>
    <w:rsid w:val="006A0216"/>
    <w:rsid w:val="006A1348"/>
    <w:rsid w:val="006A76F2"/>
    <w:rsid w:val="006B4065"/>
    <w:rsid w:val="006B700D"/>
    <w:rsid w:val="006C0508"/>
    <w:rsid w:val="006C06E9"/>
    <w:rsid w:val="006C0A5B"/>
    <w:rsid w:val="006C5DAE"/>
    <w:rsid w:val="006C62F0"/>
    <w:rsid w:val="006C6B09"/>
    <w:rsid w:val="006C765A"/>
    <w:rsid w:val="006D51B5"/>
    <w:rsid w:val="006D7EFB"/>
    <w:rsid w:val="006E6722"/>
    <w:rsid w:val="006F4D82"/>
    <w:rsid w:val="007015EA"/>
    <w:rsid w:val="007027B9"/>
    <w:rsid w:val="007060DE"/>
    <w:rsid w:val="00707837"/>
    <w:rsid w:val="007113BF"/>
    <w:rsid w:val="00715E88"/>
    <w:rsid w:val="00720DB2"/>
    <w:rsid w:val="00722575"/>
    <w:rsid w:val="00732F64"/>
    <w:rsid w:val="00734CAA"/>
    <w:rsid w:val="00734DD6"/>
    <w:rsid w:val="00741919"/>
    <w:rsid w:val="00742F01"/>
    <w:rsid w:val="00744B23"/>
    <w:rsid w:val="00744D25"/>
    <w:rsid w:val="0074583A"/>
    <w:rsid w:val="00747FBE"/>
    <w:rsid w:val="00750240"/>
    <w:rsid w:val="00753750"/>
    <w:rsid w:val="00757581"/>
    <w:rsid w:val="00760278"/>
    <w:rsid w:val="00761FAC"/>
    <w:rsid w:val="00774892"/>
    <w:rsid w:val="007759DA"/>
    <w:rsid w:val="007A3E74"/>
    <w:rsid w:val="007A5C12"/>
    <w:rsid w:val="007A7CCB"/>
    <w:rsid w:val="007B3806"/>
    <w:rsid w:val="007C32A2"/>
    <w:rsid w:val="007C7D33"/>
    <w:rsid w:val="007D03F6"/>
    <w:rsid w:val="007D2572"/>
    <w:rsid w:val="007D465F"/>
    <w:rsid w:val="007D7D20"/>
    <w:rsid w:val="007E003F"/>
    <w:rsid w:val="007F76C4"/>
    <w:rsid w:val="0080287D"/>
    <w:rsid w:val="00804AF8"/>
    <w:rsid w:val="00805916"/>
    <w:rsid w:val="00807FEC"/>
    <w:rsid w:val="0081489E"/>
    <w:rsid w:val="008153B8"/>
    <w:rsid w:val="008256BA"/>
    <w:rsid w:val="00830E26"/>
    <w:rsid w:val="00831C59"/>
    <w:rsid w:val="008322FE"/>
    <w:rsid w:val="00834123"/>
    <w:rsid w:val="00841BCE"/>
    <w:rsid w:val="00843576"/>
    <w:rsid w:val="00843B64"/>
    <w:rsid w:val="00851284"/>
    <w:rsid w:val="008560DE"/>
    <w:rsid w:val="00864F31"/>
    <w:rsid w:val="00865BB2"/>
    <w:rsid w:val="00867BFF"/>
    <w:rsid w:val="00873BED"/>
    <w:rsid w:val="00873CFD"/>
    <w:rsid w:val="008747CB"/>
    <w:rsid w:val="00876108"/>
    <w:rsid w:val="00882CE8"/>
    <w:rsid w:val="00882E59"/>
    <w:rsid w:val="008834E7"/>
    <w:rsid w:val="0088480A"/>
    <w:rsid w:val="00885703"/>
    <w:rsid w:val="00885AB1"/>
    <w:rsid w:val="00892598"/>
    <w:rsid w:val="008957DD"/>
    <w:rsid w:val="0089768E"/>
    <w:rsid w:val="00897D98"/>
    <w:rsid w:val="008A098C"/>
    <w:rsid w:val="008A6DF2"/>
    <w:rsid w:val="008B2512"/>
    <w:rsid w:val="008B32B2"/>
    <w:rsid w:val="008C1E4B"/>
    <w:rsid w:val="008C2A18"/>
    <w:rsid w:val="008D7C99"/>
    <w:rsid w:val="008E0FCB"/>
    <w:rsid w:val="008E4940"/>
    <w:rsid w:val="008E5BC4"/>
    <w:rsid w:val="008F10B8"/>
    <w:rsid w:val="008F2752"/>
    <w:rsid w:val="008F6750"/>
    <w:rsid w:val="008F6E68"/>
    <w:rsid w:val="00904721"/>
    <w:rsid w:val="00912904"/>
    <w:rsid w:val="00917BEB"/>
    <w:rsid w:val="009208CA"/>
    <w:rsid w:val="0092178C"/>
    <w:rsid w:val="00925580"/>
    <w:rsid w:val="009334E7"/>
    <w:rsid w:val="00933C7A"/>
    <w:rsid w:val="00934549"/>
    <w:rsid w:val="009346E4"/>
    <w:rsid w:val="00940DCC"/>
    <w:rsid w:val="009416AA"/>
    <w:rsid w:val="0094179A"/>
    <w:rsid w:val="009423EC"/>
    <w:rsid w:val="00942A1B"/>
    <w:rsid w:val="0094459E"/>
    <w:rsid w:val="00944C54"/>
    <w:rsid w:val="00944DBC"/>
    <w:rsid w:val="009473BB"/>
    <w:rsid w:val="009503AB"/>
    <w:rsid w:val="00950977"/>
    <w:rsid w:val="00951A7B"/>
    <w:rsid w:val="00954457"/>
    <w:rsid w:val="009564A6"/>
    <w:rsid w:val="00960DF1"/>
    <w:rsid w:val="009626C0"/>
    <w:rsid w:val="0096360C"/>
    <w:rsid w:val="009637D0"/>
    <w:rsid w:val="00963E4D"/>
    <w:rsid w:val="00981BE4"/>
    <w:rsid w:val="00984C84"/>
    <w:rsid w:val="00985368"/>
    <w:rsid w:val="00985B55"/>
    <w:rsid w:val="00992024"/>
    <w:rsid w:val="009A04BE"/>
    <w:rsid w:val="009B03B0"/>
    <w:rsid w:val="009B4A0F"/>
    <w:rsid w:val="009D095F"/>
    <w:rsid w:val="009D0B63"/>
    <w:rsid w:val="009D3AEB"/>
    <w:rsid w:val="009D4153"/>
    <w:rsid w:val="009D428A"/>
    <w:rsid w:val="009D656E"/>
    <w:rsid w:val="009E691D"/>
    <w:rsid w:val="00A0165B"/>
    <w:rsid w:val="00A01F8E"/>
    <w:rsid w:val="00A025E9"/>
    <w:rsid w:val="00A0636D"/>
    <w:rsid w:val="00A1348D"/>
    <w:rsid w:val="00A13817"/>
    <w:rsid w:val="00A220B1"/>
    <w:rsid w:val="00A232EE"/>
    <w:rsid w:val="00A323C7"/>
    <w:rsid w:val="00A3291C"/>
    <w:rsid w:val="00A35A8F"/>
    <w:rsid w:val="00A41679"/>
    <w:rsid w:val="00A41875"/>
    <w:rsid w:val="00A44411"/>
    <w:rsid w:val="00A469FA"/>
    <w:rsid w:val="00A55B01"/>
    <w:rsid w:val="00A56B5B"/>
    <w:rsid w:val="00A56EA6"/>
    <w:rsid w:val="00A645A6"/>
    <w:rsid w:val="00A657DD"/>
    <w:rsid w:val="00A666A6"/>
    <w:rsid w:val="00A678CB"/>
    <w:rsid w:val="00A71779"/>
    <w:rsid w:val="00A80611"/>
    <w:rsid w:val="00A80D32"/>
    <w:rsid w:val="00AA3F27"/>
    <w:rsid w:val="00AA567C"/>
    <w:rsid w:val="00AB5340"/>
    <w:rsid w:val="00AC2A90"/>
    <w:rsid w:val="00AC6ABB"/>
    <w:rsid w:val="00AC7C96"/>
    <w:rsid w:val="00AD6D2A"/>
    <w:rsid w:val="00AE237D"/>
    <w:rsid w:val="00AF6869"/>
    <w:rsid w:val="00AF7C07"/>
    <w:rsid w:val="00B01CB4"/>
    <w:rsid w:val="00B03AFE"/>
    <w:rsid w:val="00B073B4"/>
    <w:rsid w:val="00B142A8"/>
    <w:rsid w:val="00B208FF"/>
    <w:rsid w:val="00B26A27"/>
    <w:rsid w:val="00B31844"/>
    <w:rsid w:val="00B405B7"/>
    <w:rsid w:val="00B42345"/>
    <w:rsid w:val="00B43114"/>
    <w:rsid w:val="00B531C7"/>
    <w:rsid w:val="00B54CC3"/>
    <w:rsid w:val="00B579B8"/>
    <w:rsid w:val="00B64319"/>
    <w:rsid w:val="00B663B5"/>
    <w:rsid w:val="00B66901"/>
    <w:rsid w:val="00B70220"/>
    <w:rsid w:val="00B70969"/>
    <w:rsid w:val="00B70A3C"/>
    <w:rsid w:val="00B71E6D"/>
    <w:rsid w:val="00B72070"/>
    <w:rsid w:val="00B765C0"/>
    <w:rsid w:val="00B779E1"/>
    <w:rsid w:val="00B80BC7"/>
    <w:rsid w:val="00B8775A"/>
    <w:rsid w:val="00B87A8C"/>
    <w:rsid w:val="00B9240B"/>
    <w:rsid w:val="00B948D1"/>
    <w:rsid w:val="00B96BA1"/>
    <w:rsid w:val="00B978AD"/>
    <w:rsid w:val="00BA0700"/>
    <w:rsid w:val="00BA1A67"/>
    <w:rsid w:val="00BA260F"/>
    <w:rsid w:val="00BC7459"/>
    <w:rsid w:val="00BE002A"/>
    <w:rsid w:val="00BE1767"/>
    <w:rsid w:val="00BE2F8D"/>
    <w:rsid w:val="00BF0496"/>
    <w:rsid w:val="00BF0CCE"/>
    <w:rsid w:val="00BF2F77"/>
    <w:rsid w:val="00BF39B8"/>
    <w:rsid w:val="00BF4E0C"/>
    <w:rsid w:val="00C02292"/>
    <w:rsid w:val="00C04B60"/>
    <w:rsid w:val="00C11A1B"/>
    <w:rsid w:val="00C1359B"/>
    <w:rsid w:val="00C16B71"/>
    <w:rsid w:val="00C21F2E"/>
    <w:rsid w:val="00C23987"/>
    <w:rsid w:val="00C24779"/>
    <w:rsid w:val="00C260C9"/>
    <w:rsid w:val="00C30C63"/>
    <w:rsid w:val="00C46630"/>
    <w:rsid w:val="00C52907"/>
    <w:rsid w:val="00C54BC3"/>
    <w:rsid w:val="00C558DA"/>
    <w:rsid w:val="00C630C9"/>
    <w:rsid w:val="00C731DA"/>
    <w:rsid w:val="00C7357C"/>
    <w:rsid w:val="00C74945"/>
    <w:rsid w:val="00C74B34"/>
    <w:rsid w:val="00C84759"/>
    <w:rsid w:val="00C928E4"/>
    <w:rsid w:val="00C9477B"/>
    <w:rsid w:val="00C947EF"/>
    <w:rsid w:val="00C94BA9"/>
    <w:rsid w:val="00C95273"/>
    <w:rsid w:val="00CA2F75"/>
    <w:rsid w:val="00CA5F54"/>
    <w:rsid w:val="00CA6C7F"/>
    <w:rsid w:val="00CB2EEE"/>
    <w:rsid w:val="00CB394C"/>
    <w:rsid w:val="00CB64CE"/>
    <w:rsid w:val="00CC10A6"/>
    <w:rsid w:val="00CC3DD0"/>
    <w:rsid w:val="00CC73DD"/>
    <w:rsid w:val="00CD19DF"/>
    <w:rsid w:val="00CD7044"/>
    <w:rsid w:val="00CD7F9A"/>
    <w:rsid w:val="00CE1E0C"/>
    <w:rsid w:val="00CE4834"/>
    <w:rsid w:val="00CE524C"/>
    <w:rsid w:val="00CF141F"/>
    <w:rsid w:val="00CF395E"/>
    <w:rsid w:val="00CF4777"/>
    <w:rsid w:val="00CF6E42"/>
    <w:rsid w:val="00D02D0F"/>
    <w:rsid w:val="00D169AF"/>
    <w:rsid w:val="00D25249"/>
    <w:rsid w:val="00D2725A"/>
    <w:rsid w:val="00D40E75"/>
    <w:rsid w:val="00D42C97"/>
    <w:rsid w:val="00D43093"/>
    <w:rsid w:val="00D44172"/>
    <w:rsid w:val="00D52074"/>
    <w:rsid w:val="00D56339"/>
    <w:rsid w:val="00D60964"/>
    <w:rsid w:val="00D63B8C"/>
    <w:rsid w:val="00D715D0"/>
    <w:rsid w:val="00D725B2"/>
    <w:rsid w:val="00D739CC"/>
    <w:rsid w:val="00D76311"/>
    <w:rsid w:val="00D770E6"/>
    <w:rsid w:val="00D8093D"/>
    <w:rsid w:val="00D8108C"/>
    <w:rsid w:val="00D81F71"/>
    <w:rsid w:val="00D842AE"/>
    <w:rsid w:val="00D84EBE"/>
    <w:rsid w:val="00D9211C"/>
    <w:rsid w:val="00D93A0F"/>
    <w:rsid w:val="00D963D8"/>
    <w:rsid w:val="00DA1BCA"/>
    <w:rsid w:val="00DA30E4"/>
    <w:rsid w:val="00DA3FED"/>
    <w:rsid w:val="00DA4929"/>
    <w:rsid w:val="00DA771E"/>
    <w:rsid w:val="00DB62AD"/>
    <w:rsid w:val="00DB7E02"/>
    <w:rsid w:val="00DC01BD"/>
    <w:rsid w:val="00DC11B1"/>
    <w:rsid w:val="00DC259C"/>
    <w:rsid w:val="00DC27F3"/>
    <w:rsid w:val="00DC3CC7"/>
    <w:rsid w:val="00DC46FF"/>
    <w:rsid w:val="00DC5897"/>
    <w:rsid w:val="00DD1A4F"/>
    <w:rsid w:val="00DD24FC"/>
    <w:rsid w:val="00DD7C2C"/>
    <w:rsid w:val="00DE3630"/>
    <w:rsid w:val="00DF1275"/>
    <w:rsid w:val="00E0458C"/>
    <w:rsid w:val="00E06797"/>
    <w:rsid w:val="00E114BB"/>
    <w:rsid w:val="00E12F41"/>
    <w:rsid w:val="00E13DF6"/>
    <w:rsid w:val="00E21C83"/>
    <w:rsid w:val="00E22F1C"/>
    <w:rsid w:val="00E23AE1"/>
    <w:rsid w:val="00E26273"/>
    <w:rsid w:val="00E31070"/>
    <w:rsid w:val="00E36E13"/>
    <w:rsid w:val="00E44E50"/>
    <w:rsid w:val="00E468B0"/>
    <w:rsid w:val="00E46D9A"/>
    <w:rsid w:val="00E471CA"/>
    <w:rsid w:val="00E514F9"/>
    <w:rsid w:val="00E561CB"/>
    <w:rsid w:val="00E565FF"/>
    <w:rsid w:val="00E5769F"/>
    <w:rsid w:val="00E629C6"/>
    <w:rsid w:val="00E65388"/>
    <w:rsid w:val="00E66A09"/>
    <w:rsid w:val="00E67D2D"/>
    <w:rsid w:val="00E76118"/>
    <w:rsid w:val="00E85B7D"/>
    <w:rsid w:val="00E85C9B"/>
    <w:rsid w:val="00E85F9D"/>
    <w:rsid w:val="00E9121B"/>
    <w:rsid w:val="00E931E3"/>
    <w:rsid w:val="00EA39E5"/>
    <w:rsid w:val="00EA6615"/>
    <w:rsid w:val="00EB0F43"/>
    <w:rsid w:val="00EB12D3"/>
    <w:rsid w:val="00EB68ED"/>
    <w:rsid w:val="00EC0E88"/>
    <w:rsid w:val="00EC16A8"/>
    <w:rsid w:val="00EC4812"/>
    <w:rsid w:val="00EC49C7"/>
    <w:rsid w:val="00EC5A46"/>
    <w:rsid w:val="00EC63E2"/>
    <w:rsid w:val="00EF22B3"/>
    <w:rsid w:val="00EF3131"/>
    <w:rsid w:val="00EF4289"/>
    <w:rsid w:val="00EF5E94"/>
    <w:rsid w:val="00F0410E"/>
    <w:rsid w:val="00F06595"/>
    <w:rsid w:val="00F113DA"/>
    <w:rsid w:val="00F11E91"/>
    <w:rsid w:val="00F14713"/>
    <w:rsid w:val="00F16AA3"/>
    <w:rsid w:val="00F2540C"/>
    <w:rsid w:val="00F258D2"/>
    <w:rsid w:val="00F2784A"/>
    <w:rsid w:val="00F27A23"/>
    <w:rsid w:val="00F3627A"/>
    <w:rsid w:val="00F3798C"/>
    <w:rsid w:val="00F37DC8"/>
    <w:rsid w:val="00F413DC"/>
    <w:rsid w:val="00F62494"/>
    <w:rsid w:val="00F650C3"/>
    <w:rsid w:val="00F733DC"/>
    <w:rsid w:val="00F76682"/>
    <w:rsid w:val="00F8091E"/>
    <w:rsid w:val="00F8615C"/>
    <w:rsid w:val="00FA392C"/>
    <w:rsid w:val="00FA3F35"/>
    <w:rsid w:val="00FA4D04"/>
    <w:rsid w:val="00FA5A44"/>
    <w:rsid w:val="00FA6B5A"/>
    <w:rsid w:val="00FB5CA6"/>
    <w:rsid w:val="00FB70F4"/>
    <w:rsid w:val="00FC0058"/>
    <w:rsid w:val="00FC7C7E"/>
    <w:rsid w:val="00FD242B"/>
    <w:rsid w:val="00FD3363"/>
    <w:rsid w:val="00FD5860"/>
    <w:rsid w:val="00FE352D"/>
    <w:rsid w:val="00FE7D62"/>
    <w:rsid w:val="00FF1A79"/>
    <w:rsid w:val="00FF3782"/>
    <w:rsid w:val="00FF3AF9"/>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B5"/>
    <w:rPr>
      <w:rFonts w:eastAsia="MS Mincho"/>
      <w:lang w:val="en-GB" w:eastAsia="en-US"/>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B405B7"/>
    <w:pPr>
      <w:keepNext/>
      <w:spacing w:before="240" w:after="120"/>
      <w:ind w:left="1247" w:hanging="680"/>
      <w:outlineLvl w:val="1"/>
    </w:pPr>
    <w:rPr>
      <w:rFonts w:eastAsia="Times New Roman"/>
      <w:b/>
      <w:sz w:val="24"/>
      <w:szCs w:val="24"/>
    </w:rPr>
  </w:style>
  <w:style w:type="paragraph" w:styleId="Heading3">
    <w:name w:val="heading 3"/>
    <w:basedOn w:val="Normal"/>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customStyle="1" w:styleId="Paralevel1">
    <w:name w:val="Para level1"/>
    <w:basedOn w:val="Normal"/>
    <w:link w:val="Paralevel1Char"/>
    <w:rsid w:val="00DC11B1"/>
    <w:pPr>
      <w:numPr>
        <w:numId w:val="5"/>
      </w:numPr>
      <w:spacing w:after="120"/>
    </w:pPr>
  </w:style>
  <w:style w:type="paragraph" w:styleId="EnvelopeReturn">
    <w:name w:val="envelope return"/>
    <w:basedOn w:val="Normal"/>
    <w:rsid w:val="00DC11B1"/>
    <w:pPr>
      <w:widowControl w:val="0"/>
      <w:tabs>
        <w:tab w:val="left" w:pos="-720"/>
      </w:tabs>
      <w:suppressAutoHyphens/>
    </w:pPr>
    <w:rPr>
      <w:rFonts w:ascii="Garamond" w:hAnsi="Garamond"/>
      <w:snapToGrid w:val="0"/>
    </w:rPr>
  </w:style>
  <w:style w:type="character" w:customStyle="1" w:styleId="Paralevel1Char">
    <w:name w:val="Para level1 Char"/>
    <w:link w:val="Paralevel1"/>
    <w:rsid w:val="00DC11B1"/>
    <w:rPr>
      <w:rFonts w:eastAsia="MS Mincho"/>
      <w:lang w:val="en-GB" w:eastAsia="en-US"/>
    </w:rPr>
  </w:style>
  <w:style w:type="paragraph" w:customStyle="1" w:styleId="Subtitle">
    <w:name w:val="Sub title"/>
    <w:basedOn w:val="Heading2"/>
    <w:rsid w:val="00DC11B1"/>
    <w:pPr>
      <w:spacing w:before="0" w:after="0"/>
      <w:ind w:firstLine="0"/>
    </w:pPr>
  </w:style>
  <w:style w:type="paragraph" w:styleId="BalloonText">
    <w:name w:val="Balloon Text"/>
    <w:basedOn w:val="Normal"/>
    <w:link w:val="BalloonTextChar"/>
    <w:rsid w:val="00626844"/>
    <w:rPr>
      <w:rFonts w:ascii="Tahoma" w:hAnsi="Tahoma"/>
      <w:sz w:val="16"/>
      <w:szCs w:val="16"/>
    </w:rPr>
  </w:style>
  <w:style w:type="character" w:customStyle="1" w:styleId="BalloonTextChar">
    <w:name w:val="Balloon Text Char"/>
    <w:link w:val="BalloonText"/>
    <w:rsid w:val="00626844"/>
    <w:rPr>
      <w:rFonts w:ascii="Tahoma" w:eastAsia="MS Mincho" w:hAnsi="Tahoma" w:cs="Tahoma"/>
      <w:sz w:val="16"/>
      <w:szCs w:val="16"/>
      <w:lang w:val="en-GB"/>
    </w:rPr>
  </w:style>
  <w:style w:type="character" w:styleId="FootnoteReference">
    <w:name w:val="footnote reference"/>
    <w:aliases w:val="16 Point,Superscript 6 Point"/>
    <w:uiPriority w:val="99"/>
    <w:rsid w:val="009B4A0F"/>
    <w:rPr>
      <w:rFonts w:ascii="Times New Roman" w:hAnsi="Times New Roman"/>
      <w:color w:val="auto"/>
      <w:sz w:val="20"/>
      <w:szCs w:val="18"/>
      <w:vertAlign w:val="superscript"/>
    </w:rPr>
  </w:style>
  <w:style w:type="paragraph" w:styleId="FootnoteText">
    <w:name w:val="footnote text"/>
    <w:aliases w:val="DNV-FT"/>
    <w:basedOn w:val="Normal"/>
    <w:link w:val="FootnoteTextChar"/>
    <w:uiPriority w:val="99"/>
    <w:rsid w:val="00247707"/>
    <w:pPr>
      <w:spacing w:before="20" w:after="40"/>
      <w:ind w:left="1247"/>
    </w:pPr>
    <w:rPr>
      <w:sz w:val="18"/>
    </w:rPr>
  </w:style>
  <w:style w:type="character" w:styleId="CommentReference">
    <w:name w:val="annotation reference"/>
    <w:rsid w:val="00626844"/>
    <w:rPr>
      <w:sz w:val="16"/>
      <w:szCs w:val="16"/>
    </w:rPr>
  </w:style>
  <w:style w:type="paragraph" w:styleId="CommentText">
    <w:name w:val="annotation text"/>
    <w:basedOn w:val="Normal"/>
    <w:link w:val="CommentTextChar"/>
    <w:rsid w:val="00626844"/>
  </w:style>
  <w:style w:type="character" w:customStyle="1" w:styleId="CommentTextChar">
    <w:name w:val="Comment Text Char"/>
    <w:link w:val="CommentText"/>
    <w:rsid w:val="00626844"/>
    <w:rPr>
      <w:rFonts w:eastAsia="MS Mincho"/>
      <w:lang w:val="en-GB"/>
    </w:rPr>
  </w:style>
  <w:style w:type="paragraph" w:styleId="CommentSubject">
    <w:name w:val="annotation subject"/>
    <w:basedOn w:val="CommentText"/>
    <w:next w:val="CommentText"/>
    <w:link w:val="CommentSubjectChar"/>
    <w:rsid w:val="00626844"/>
    <w:rPr>
      <w:b/>
      <w:bCs/>
    </w:rPr>
  </w:style>
  <w:style w:type="character" w:customStyle="1" w:styleId="CommentSubjectChar">
    <w:name w:val="Comment Subject Char"/>
    <w:link w:val="CommentSubject"/>
    <w:rsid w:val="00626844"/>
    <w:rPr>
      <w:rFonts w:eastAsia="MS Mincho"/>
      <w:b/>
      <w:bCs/>
      <w:lang w:val="en-GB"/>
    </w:rPr>
  </w:style>
  <w:style w:type="character" w:customStyle="1" w:styleId="Heading2Char">
    <w:name w:val="Heading 2 Char"/>
    <w:link w:val="Heading2"/>
    <w:rsid w:val="00F2540C"/>
    <w:rPr>
      <w:b/>
      <w:sz w:val="24"/>
      <w:szCs w:val="24"/>
      <w:lang w:eastAsia="en-US"/>
    </w:rPr>
  </w:style>
  <w:style w:type="paragraph" w:customStyle="1" w:styleId="Normal-pool">
    <w:name w:val="Normal-pool"/>
    <w:rsid w:val="00C630C9"/>
    <w:pPr>
      <w:tabs>
        <w:tab w:val="left" w:pos="1247"/>
        <w:tab w:val="left" w:pos="1814"/>
        <w:tab w:val="left" w:pos="2381"/>
        <w:tab w:val="left" w:pos="2948"/>
        <w:tab w:val="left" w:pos="3515"/>
      </w:tabs>
    </w:pPr>
    <w:rPr>
      <w:rFonts w:eastAsia="SimSun"/>
      <w:lang w:val="en-GB" w:eastAsia="en-US"/>
    </w:rPr>
  </w:style>
  <w:style w:type="character" w:customStyle="1" w:styleId="footnote">
    <w:name w:val="footnote"/>
    <w:aliases w:val="reference1"/>
    <w:semiHidden/>
    <w:rsid w:val="00C630C9"/>
    <w:rPr>
      <w:rFonts w:ascii="Times New Roman" w:hAnsi="Times New Roman" w:cs="Times New Roman"/>
      <w:color w:val="auto"/>
      <w:sz w:val="18"/>
      <w:szCs w:val="18"/>
      <w:vertAlign w:val="superscript"/>
    </w:rPr>
  </w:style>
  <w:style w:type="paragraph" w:customStyle="1" w:styleId="footnote1">
    <w:name w:val="footnote1"/>
    <w:aliases w:val="text"/>
    <w:basedOn w:val="Normal-pool"/>
    <w:link w:val="Footnote0"/>
    <w:semiHidden/>
    <w:rsid w:val="00C630C9"/>
    <w:pPr>
      <w:spacing w:before="20" w:after="40"/>
      <w:ind w:left="1247"/>
    </w:pPr>
    <w:rPr>
      <w:rFonts w:eastAsia="Times New Roman"/>
      <w:sz w:val="18"/>
      <w:szCs w:val="18"/>
    </w:rPr>
  </w:style>
  <w:style w:type="character" w:customStyle="1" w:styleId="Footnote0">
    <w:name w:val="Footnote"/>
    <w:aliases w:val="Text2,Char4"/>
    <w:link w:val="footnote1"/>
    <w:semiHidden/>
    <w:locked/>
    <w:rsid w:val="00C630C9"/>
    <w:rPr>
      <w:sz w:val="18"/>
      <w:szCs w:val="18"/>
      <w:lang w:val="en-GB" w:eastAsia="en-US"/>
    </w:rPr>
  </w:style>
  <w:style w:type="character" w:customStyle="1" w:styleId="HeaderChar">
    <w:name w:val="Header Char"/>
    <w:link w:val="Header"/>
    <w:locked/>
    <w:rsid w:val="002122F7"/>
    <w:rPr>
      <w:rFonts w:eastAsia="MS Mincho"/>
      <w:b/>
      <w:sz w:val="18"/>
      <w:lang w:val="en-GB" w:eastAsia="en-US"/>
    </w:rPr>
  </w:style>
  <w:style w:type="paragraph" w:customStyle="1" w:styleId="Revision1">
    <w:name w:val="Revision1"/>
    <w:hidden/>
    <w:uiPriority w:val="99"/>
    <w:semiHidden/>
    <w:rsid w:val="00744D25"/>
    <w:rPr>
      <w:rFonts w:eastAsia="MS Mincho"/>
      <w:lang w:val="en-GB" w:eastAsia="en-US"/>
    </w:rPr>
  </w:style>
  <w:style w:type="paragraph" w:styleId="ListParagraph">
    <w:name w:val="List Paragraph"/>
    <w:basedOn w:val="Normal"/>
    <w:uiPriority w:val="34"/>
    <w:qFormat/>
    <w:rsid w:val="000577FF"/>
    <w:pPr>
      <w:ind w:left="720"/>
      <w:contextualSpacing/>
    </w:p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basedOn w:val="Normal"/>
    <w:rsid w:val="001B1617"/>
    <w:pPr>
      <w:tabs>
        <w:tab w:val="center" w:pos="4320"/>
        <w:tab w:val="right" w:pos="8640"/>
      </w:tabs>
      <w:spacing w:before="60" w:after="120"/>
    </w:pPr>
    <w:rPr>
      <w:sz w:val="18"/>
    </w:r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51A7B"/>
    <w:pPr>
      <w:numPr>
        <w:numId w:val="4"/>
      </w:numPr>
      <w:spacing w:after="120"/>
    </w:pPr>
    <w:rPr>
      <w:lang w:val="en-US"/>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940DCC"/>
    <w:pPr>
      <w:tabs>
        <w:tab w:val="left" w:pos="1814"/>
        <w:tab w:val="right" w:leader="dot" w:pos="9486"/>
      </w:tabs>
      <w:spacing w:before="24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FootnoteTextChar">
    <w:name w:val="Footnote Text Char"/>
    <w:aliases w:val="DNV-FT Char"/>
    <w:link w:val="FootnoteText"/>
    <w:uiPriority w:val="99"/>
    <w:locked/>
    <w:rsid w:val="00083A90"/>
    <w:rPr>
      <w:rFonts w:eastAsia="MS Mincho"/>
      <w:sz w:val="18"/>
      <w:lang w:val="en-GB" w:eastAsia="en-US"/>
    </w:rPr>
  </w:style>
  <w:style w:type="character" w:customStyle="1" w:styleId="NormalnumberChar">
    <w:name w:val="Normal_number Char"/>
    <w:link w:val="Normalnumber"/>
    <w:rsid w:val="00083A90"/>
    <w:rPr>
      <w:rFonts w:eastAsia="MS Mincho"/>
      <w:lang w:val="en-US" w:eastAsia="en-US"/>
    </w:rPr>
  </w:style>
  <w:style w:type="character" w:customStyle="1" w:styleId="CH2Char">
    <w:name w:val="CH2 Char"/>
    <w:link w:val="CH2"/>
    <w:rsid w:val="00083A90"/>
    <w:rPr>
      <w:rFonts w:eastAsia="MS Mincho"/>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B5"/>
    <w:rPr>
      <w:rFonts w:eastAsia="MS Mincho"/>
      <w:lang w:val="en-GB" w:eastAsia="en-US"/>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B405B7"/>
    <w:pPr>
      <w:keepNext/>
      <w:spacing w:before="240" w:after="120"/>
      <w:ind w:left="1247" w:hanging="680"/>
      <w:outlineLvl w:val="1"/>
    </w:pPr>
    <w:rPr>
      <w:rFonts w:eastAsia="Times New Roman"/>
      <w:b/>
      <w:sz w:val="24"/>
      <w:szCs w:val="24"/>
    </w:rPr>
  </w:style>
  <w:style w:type="paragraph" w:styleId="Heading3">
    <w:name w:val="heading 3"/>
    <w:basedOn w:val="Normal"/>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customStyle="1" w:styleId="Paralevel1">
    <w:name w:val="Para level1"/>
    <w:basedOn w:val="Normal"/>
    <w:link w:val="Paralevel1Char"/>
    <w:rsid w:val="00DC11B1"/>
    <w:pPr>
      <w:numPr>
        <w:numId w:val="5"/>
      </w:numPr>
      <w:spacing w:after="120"/>
    </w:pPr>
  </w:style>
  <w:style w:type="paragraph" w:styleId="EnvelopeReturn">
    <w:name w:val="envelope return"/>
    <w:basedOn w:val="Normal"/>
    <w:rsid w:val="00DC11B1"/>
    <w:pPr>
      <w:widowControl w:val="0"/>
      <w:tabs>
        <w:tab w:val="left" w:pos="-720"/>
      </w:tabs>
      <w:suppressAutoHyphens/>
    </w:pPr>
    <w:rPr>
      <w:rFonts w:ascii="Garamond" w:hAnsi="Garamond"/>
      <w:snapToGrid w:val="0"/>
    </w:rPr>
  </w:style>
  <w:style w:type="character" w:customStyle="1" w:styleId="Paralevel1Char">
    <w:name w:val="Para level1 Char"/>
    <w:link w:val="Paralevel1"/>
    <w:rsid w:val="00DC11B1"/>
    <w:rPr>
      <w:rFonts w:eastAsia="MS Mincho"/>
      <w:lang w:val="en-GB" w:eastAsia="en-US"/>
    </w:rPr>
  </w:style>
  <w:style w:type="paragraph" w:customStyle="1" w:styleId="Subtitle">
    <w:name w:val="Sub title"/>
    <w:basedOn w:val="Heading2"/>
    <w:rsid w:val="00DC11B1"/>
    <w:pPr>
      <w:spacing w:before="0" w:after="0"/>
      <w:ind w:firstLine="0"/>
    </w:pPr>
  </w:style>
  <w:style w:type="paragraph" w:styleId="BalloonText">
    <w:name w:val="Balloon Text"/>
    <w:basedOn w:val="Normal"/>
    <w:link w:val="BalloonTextChar"/>
    <w:rsid w:val="00626844"/>
    <w:rPr>
      <w:rFonts w:ascii="Tahoma" w:hAnsi="Tahoma"/>
      <w:sz w:val="16"/>
      <w:szCs w:val="16"/>
    </w:rPr>
  </w:style>
  <w:style w:type="character" w:customStyle="1" w:styleId="BalloonTextChar">
    <w:name w:val="Balloon Text Char"/>
    <w:link w:val="BalloonText"/>
    <w:rsid w:val="00626844"/>
    <w:rPr>
      <w:rFonts w:ascii="Tahoma" w:eastAsia="MS Mincho" w:hAnsi="Tahoma" w:cs="Tahoma"/>
      <w:sz w:val="16"/>
      <w:szCs w:val="16"/>
      <w:lang w:val="en-GB"/>
    </w:rPr>
  </w:style>
  <w:style w:type="character" w:styleId="FootnoteReference">
    <w:name w:val="footnote reference"/>
    <w:aliases w:val="16 Point,Superscript 6 Point"/>
    <w:uiPriority w:val="99"/>
    <w:rsid w:val="009B4A0F"/>
    <w:rPr>
      <w:rFonts w:ascii="Times New Roman" w:hAnsi="Times New Roman"/>
      <w:color w:val="auto"/>
      <w:sz w:val="20"/>
      <w:szCs w:val="18"/>
      <w:vertAlign w:val="superscript"/>
    </w:rPr>
  </w:style>
  <w:style w:type="paragraph" w:styleId="FootnoteText">
    <w:name w:val="footnote text"/>
    <w:aliases w:val="DNV-FT"/>
    <w:basedOn w:val="Normal"/>
    <w:link w:val="FootnoteTextChar"/>
    <w:uiPriority w:val="99"/>
    <w:rsid w:val="00247707"/>
    <w:pPr>
      <w:spacing w:before="20" w:after="40"/>
      <w:ind w:left="1247"/>
    </w:pPr>
    <w:rPr>
      <w:sz w:val="18"/>
    </w:rPr>
  </w:style>
  <w:style w:type="character" w:styleId="CommentReference">
    <w:name w:val="annotation reference"/>
    <w:rsid w:val="00626844"/>
    <w:rPr>
      <w:sz w:val="16"/>
      <w:szCs w:val="16"/>
    </w:rPr>
  </w:style>
  <w:style w:type="paragraph" w:styleId="CommentText">
    <w:name w:val="annotation text"/>
    <w:basedOn w:val="Normal"/>
    <w:link w:val="CommentTextChar"/>
    <w:rsid w:val="00626844"/>
  </w:style>
  <w:style w:type="character" w:customStyle="1" w:styleId="CommentTextChar">
    <w:name w:val="Comment Text Char"/>
    <w:link w:val="CommentText"/>
    <w:rsid w:val="00626844"/>
    <w:rPr>
      <w:rFonts w:eastAsia="MS Mincho"/>
      <w:lang w:val="en-GB"/>
    </w:rPr>
  </w:style>
  <w:style w:type="paragraph" w:styleId="CommentSubject">
    <w:name w:val="annotation subject"/>
    <w:basedOn w:val="CommentText"/>
    <w:next w:val="CommentText"/>
    <w:link w:val="CommentSubjectChar"/>
    <w:rsid w:val="00626844"/>
    <w:rPr>
      <w:b/>
      <w:bCs/>
    </w:rPr>
  </w:style>
  <w:style w:type="character" w:customStyle="1" w:styleId="CommentSubjectChar">
    <w:name w:val="Comment Subject Char"/>
    <w:link w:val="CommentSubject"/>
    <w:rsid w:val="00626844"/>
    <w:rPr>
      <w:rFonts w:eastAsia="MS Mincho"/>
      <w:b/>
      <w:bCs/>
      <w:lang w:val="en-GB"/>
    </w:rPr>
  </w:style>
  <w:style w:type="character" w:customStyle="1" w:styleId="Heading2Char">
    <w:name w:val="Heading 2 Char"/>
    <w:link w:val="Heading2"/>
    <w:rsid w:val="00F2540C"/>
    <w:rPr>
      <w:b/>
      <w:sz w:val="24"/>
      <w:szCs w:val="24"/>
      <w:lang w:eastAsia="en-US"/>
    </w:rPr>
  </w:style>
  <w:style w:type="paragraph" w:customStyle="1" w:styleId="Normal-pool">
    <w:name w:val="Normal-pool"/>
    <w:rsid w:val="00C630C9"/>
    <w:pPr>
      <w:tabs>
        <w:tab w:val="left" w:pos="1247"/>
        <w:tab w:val="left" w:pos="1814"/>
        <w:tab w:val="left" w:pos="2381"/>
        <w:tab w:val="left" w:pos="2948"/>
        <w:tab w:val="left" w:pos="3515"/>
      </w:tabs>
    </w:pPr>
    <w:rPr>
      <w:rFonts w:eastAsia="SimSun"/>
      <w:lang w:val="en-GB" w:eastAsia="en-US"/>
    </w:rPr>
  </w:style>
  <w:style w:type="character" w:customStyle="1" w:styleId="footnote">
    <w:name w:val="footnote"/>
    <w:aliases w:val="reference1"/>
    <w:semiHidden/>
    <w:rsid w:val="00C630C9"/>
    <w:rPr>
      <w:rFonts w:ascii="Times New Roman" w:hAnsi="Times New Roman" w:cs="Times New Roman"/>
      <w:color w:val="auto"/>
      <w:sz w:val="18"/>
      <w:szCs w:val="18"/>
      <w:vertAlign w:val="superscript"/>
    </w:rPr>
  </w:style>
  <w:style w:type="paragraph" w:customStyle="1" w:styleId="footnote1">
    <w:name w:val="footnote1"/>
    <w:aliases w:val="text"/>
    <w:basedOn w:val="Normal-pool"/>
    <w:link w:val="Footnote0"/>
    <w:semiHidden/>
    <w:rsid w:val="00C630C9"/>
    <w:pPr>
      <w:spacing w:before="20" w:after="40"/>
      <w:ind w:left="1247"/>
    </w:pPr>
    <w:rPr>
      <w:rFonts w:eastAsia="Times New Roman"/>
      <w:sz w:val="18"/>
      <w:szCs w:val="18"/>
    </w:rPr>
  </w:style>
  <w:style w:type="character" w:customStyle="1" w:styleId="Footnote0">
    <w:name w:val="Footnote"/>
    <w:aliases w:val="Text2,Char4"/>
    <w:link w:val="footnote1"/>
    <w:semiHidden/>
    <w:locked/>
    <w:rsid w:val="00C630C9"/>
    <w:rPr>
      <w:sz w:val="18"/>
      <w:szCs w:val="18"/>
      <w:lang w:val="en-GB" w:eastAsia="en-US"/>
    </w:rPr>
  </w:style>
  <w:style w:type="character" w:customStyle="1" w:styleId="HeaderChar">
    <w:name w:val="Header Char"/>
    <w:link w:val="Header"/>
    <w:locked/>
    <w:rsid w:val="002122F7"/>
    <w:rPr>
      <w:rFonts w:eastAsia="MS Mincho"/>
      <w:b/>
      <w:sz w:val="18"/>
      <w:lang w:val="en-GB" w:eastAsia="en-US"/>
    </w:rPr>
  </w:style>
  <w:style w:type="paragraph" w:customStyle="1" w:styleId="Revision1">
    <w:name w:val="Revision1"/>
    <w:hidden/>
    <w:uiPriority w:val="99"/>
    <w:semiHidden/>
    <w:rsid w:val="00744D25"/>
    <w:rPr>
      <w:rFonts w:eastAsia="MS Mincho"/>
      <w:lang w:val="en-GB" w:eastAsia="en-US"/>
    </w:rPr>
  </w:style>
  <w:style w:type="paragraph" w:styleId="ListParagraph">
    <w:name w:val="List Paragraph"/>
    <w:basedOn w:val="Normal"/>
    <w:uiPriority w:val="34"/>
    <w:qFormat/>
    <w:rsid w:val="000577FF"/>
    <w:pPr>
      <w:ind w:left="720"/>
      <w:contextualSpacing/>
    </w:p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basedOn w:val="Normal"/>
    <w:rsid w:val="001B1617"/>
    <w:pPr>
      <w:tabs>
        <w:tab w:val="center" w:pos="4320"/>
        <w:tab w:val="right" w:pos="8640"/>
      </w:tabs>
      <w:spacing w:before="60" w:after="120"/>
    </w:pPr>
    <w:rPr>
      <w:sz w:val="18"/>
    </w:r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51A7B"/>
    <w:pPr>
      <w:numPr>
        <w:numId w:val="4"/>
      </w:numPr>
      <w:spacing w:after="120"/>
    </w:pPr>
    <w:rPr>
      <w:lang w:val="en-US"/>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940DCC"/>
    <w:pPr>
      <w:tabs>
        <w:tab w:val="left" w:pos="1814"/>
        <w:tab w:val="right" w:leader="dot" w:pos="9486"/>
      </w:tabs>
      <w:spacing w:before="24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FootnoteTextChar">
    <w:name w:val="Footnote Text Char"/>
    <w:aliases w:val="DNV-FT Char"/>
    <w:link w:val="FootnoteText"/>
    <w:uiPriority w:val="99"/>
    <w:locked/>
    <w:rsid w:val="00083A90"/>
    <w:rPr>
      <w:rFonts w:eastAsia="MS Mincho"/>
      <w:sz w:val="18"/>
      <w:lang w:val="en-GB" w:eastAsia="en-US"/>
    </w:rPr>
  </w:style>
  <w:style w:type="character" w:customStyle="1" w:styleId="NormalnumberChar">
    <w:name w:val="Normal_number Char"/>
    <w:link w:val="Normalnumber"/>
    <w:rsid w:val="00083A90"/>
    <w:rPr>
      <w:rFonts w:eastAsia="MS Mincho"/>
      <w:lang w:val="en-US" w:eastAsia="en-US"/>
    </w:rPr>
  </w:style>
  <w:style w:type="character" w:customStyle="1" w:styleId="CH2Char">
    <w:name w:val="CH2 Char"/>
    <w:link w:val="CH2"/>
    <w:rsid w:val="00083A90"/>
    <w:rPr>
      <w:rFonts w:eastAsia="MS Mincho"/>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303">
      <w:bodyDiv w:val="1"/>
      <w:marLeft w:val="0"/>
      <w:marRight w:val="0"/>
      <w:marTop w:val="0"/>
      <w:marBottom w:val="0"/>
      <w:divBdr>
        <w:top w:val="none" w:sz="0" w:space="0" w:color="auto"/>
        <w:left w:val="none" w:sz="0" w:space="0" w:color="auto"/>
        <w:bottom w:val="none" w:sz="0" w:space="0" w:color="auto"/>
        <w:right w:val="none" w:sz="0" w:space="0" w:color="auto"/>
      </w:divBdr>
    </w:div>
    <w:div w:id="13214095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870186">
      <w:bodyDiv w:val="1"/>
      <w:marLeft w:val="0"/>
      <w:marRight w:val="0"/>
      <w:marTop w:val="0"/>
      <w:marBottom w:val="0"/>
      <w:divBdr>
        <w:top w:val="none" w:sz="0" w:space="0" w:color="auto"/>
        <w:left w:val="none" w:sz="0" w:space="0" w:color="auto"/>
        <w:bottom w:val="none" w:sz="0" w:space="0" w:color="auto"/>
        <w:right w:val="none" w:sz="0" w:space="0" w:color="auto"/>
      </w:divBdr>
    </w:div>
    <w:div w:id="811950368">
      <w:bodyDiv w:val="1"/>
      <w:marLeft w:val="0"/>
      <w:marRight w:val="0"/>
      <w:marTop w:val="0"/>
      <w:marBottom w:val="0"/>
      <w:divBdr>
        <w:top w:val="none" w:sz="0" w:space="0" w:color="auto"/>
        <w:left w:val="none" w:sz="0" w:space="0" w:color="auto"/>
        <w:bottom w:val="none" w:sz="0" w:space="0" w:color="auto"/>
        <w:right w:val="none" w:sz="0" w:space="0" w:color="auto"/>
      </w:divBdr>
    </w:div>
    <w:div w:id="892697149">
      <w:bodyDiv w:val="1"/>
      <w:marLeft w:val="0"/>
      <w:marRight w:val="0"/>
      <w:marTop w:val="0"/>
      <w:marBottom w:val="0"/>
      <w:divBdr>
        <w:top w:val="none" w:sz="0" w:space="0" w:color="auto"/>
        <w:left w:val="none" w:sz="0" w:space="0" w:color="auto"/>
        <w:bottom w:val="none" w:sz="0" w:space="0" w:color="auto"/>
        <w:right w:val="none" w:sz="0" w:space="0" w:color="auto"/>
      </w:divBdr>
    </w:div>
    <w:div w:id="116119059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94480664">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03162587">
      <w:bodyDiv w:val="1"/>
      <w:marLeft w:val="0"/>
      <w:marRight w:val="0"/>
      <w:marTop w:val="0"/>
      <w:marBottom w:val="0"/>
      <w:divBdr>
        <w:top w:val="none" w:sz="0" w:space="0" w:color="auto"/>
        <w:left w:val="none" w:sz="0" w:space="0" w:color="auto"/>
        <w:bottom w:val="none" w:sz="0" w:space="0" w:color="auto"/>
        <w:right w:val="none" w:sz="0" w:space="0" w:color="auto"/>
      </w:divBdr>
    </w:div>
    <w:div w:id="1615359245">
      <w:bodyDiv w:val="1"/>
      <w:marLeft w:val="0"/>
      <w:marRight w:val="0"/>
      <w:marTop w:val="0"/>
      <w:marBottom w:val="0"/>
      <w:divBdr>
        <w:top w:val="none" w:sz="0" w:space="0" w:color="auto"/>
        <w:left w:val="none" w:sz="0" w:space="0" w:color="auto"/>
        <w:bottom w:val="none" w:sz="0" w:space="0" w:color="auto"/>
        <w:right w:val="none" w:sz="0" w:space="0" w:color="auto"/>
      </w:divBdr>
    </w:div>
    <w:div w:id="1977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Implementation/POPsWastes/Meetings/SIWGGermany2017/tabid/549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1AFB-6AEF-495A-A97E-D3CABE7B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1347</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ngamatee</dc:creator>
  <cp:lastModifiedBy>Carla</cp:lastModifiedBy>
  <cp:revision>4</cp:revision>
  <cp:lastPrinted>2013-04-18T10:44:00Z</cp:lastPrinted>
  <dcterms:created xsi:type="dcterms:W3CDTF">2017-03-20T15:27:00Z</dcterms:created>
  <dcterms:modified xsi:type="dcterms:W3CDTF">2017-04-03T12:38:00Z</dcterms:modified>
</cp:coreProperties>
</file>