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82" w:rsidRPr="00BD2BBA" w:rsidRDefault="00A3328D" w:rsidP="00F47982">
      <w:pPr>
        <w:tabs>
          <w:tab w:val="clear" w:pos="1247"/>
          <w:tab w:val="clear" w:pos="1814"/>
          <w:tab w:val="clear" w:pos="2381"/>
          <w:tab w:val="clear" w:pos="2948"/>
          <w:tab w:val="clear" w:pos="3515"/>
        </w:tabs>
        <w:snapToGrid w:val="0"/>
        <w:spacing w:before="240" w:after="120"/>
        <w:ind w:left="1276"/>
        <w:rPr>
          <w:b/>
          <w:sz w:val="28"/>
          <w:szCs w:val="28"/>
        </w:rPr>
      </w:pPr>
      <w:bookmarkStart w:id="0" w:name="_Hlk4571399"/>
      <w:r w:rsidRPr="00A3328D">
        <w:rPr>
          <w:b/>
          <w:sz w:val="28"/>
          <w:szCs w:val="28"/>
        </w:rPr>
        <w:t>Proj</w:t>
      </w:r>
      <w:r>
        <w:rPr>
          <w:b/>
          <w:sz w:val="28"/>
          <w:szCs w:val="28"/>
        </w:rPr>
        <w:t>e</w:t>
      </w:r>
      <w:r w:rsidRPr="00A3328D">
        <w:rPr>
          <w:b/>
          <w:sz w:val="28"/>
          <w:szCs w:val="28"/>
        </w:rPr>
        <w:t xml:space="preserve">cts and </w:t>
      </w:r>
      <w:r>
        <w:rPr>
          <w:b/>
          <w:sz w:val="28"/>
          <w:szCs w:val="28"/>
        </w:rPr>
        <w:t>a</w:t>
      </w:r>
      <w:r w:rsidR="00F47982" w:rsidRPr="00BD2BBA">
        <w:rPr>
          <w:b/>
          <w:sz w:val="28"/>
          <w:szCs w:val="28"/>
        </w:rPr>
        <w:t>ctivities implemented by</w:t>
      </w:r>
      <w:r w:rsidR="00F47982">
        <w:rPr>
          <w:b/>
          <w:sz w:val="28"/>
          <w:szCs w:val="28"/>
        </w:rPr>
        <w:t xml:space="preserve"> the</w:t>
      </w:r>
      <w:r w:rsidR="00F47982" w:rsidRPr="00BD2BBA">
        <w:rPr>
          <w:b/>
          <w:sz w:val="28"/>
          <w:szCs w:val="28"/>
        </w:rPr>
        <w:t xml:space="preserve"> Basel </w:t>
      </w:r>
      <w:r w:rsidR="00F47982">
        <w:rPr>
          <w:b/>
          <w:sz w:val="28"/>
          <w:szCs w:val="28"/>
        </w:rPr>
        <w:t xml:space="preserve">Convention </w:t>
      </w:r>
      <w:r w:rsidR="00F47982" w:rsidRPr="00BD2BBA">
        <w:rPr>
          <w:b/>
          <w:sz w:val="28"/>
          <w:szCs w:val="28"/>
        </w:rPr>
        <w:t xml:space="preserve">Regional and Coordinating </w:t>
      </w:r>
      <w:proofErr w:type="spellStart"/>
      <w:r w:rsidR="00F47982" w:rsidRPr="00BD2BBA">
        <w:rPr>
          <w:b/>
          <w:sz w:val="28"/>
          <w:szCs w:val="28"/>
        </w:rPr>
        <w:t>Centres</w:t>
      </w:r>
      <w:proofErr w:type="spellEnd"/>
      <w:r w:rsidR="00F47982" w:rsidRPr="00BD2BBA">
        <w:rPr>
          <w:b/>
          <w:sz w:val="28"/>
          <w:szCs w:val="28"/>
        </w:rPr>
        <w:t xml:space="preserve"> </w:t>
      </w:r>
      <w:bookmarkEnd w:id="0"/>
      <w:r w:rsidR="00F47982">
        <w:rPr>
          <w:b/>
          <w:sz w:val="28"/>
          <w:szCs w:val="28"/>
        </w:rPr>
        <w:t xml:space="preserve">and Stockholm Convention Regional and </w:t>
      </w:r>
      <w:proofErr w:type="spellStart"/>
      <w:r w:rsidR="00F47982">
        <w:rPr>
          <w:b/>
          <w:sz w:val="28"/>
          <w:szCs w:val="28"/>
        </w:rPr>
        <w:t>Subregional</w:t>
      </w:r>
      <w:proofErr w:type="spellEnd"/>
      <w:r w:rsidR="00F47982">
        <w:rPr>
          <w:b/>
          <w:sz w:val="28"/>
          <w:szCs w:val="28"/>
        </w:rPr>
        <w:t xml:space="preserve"> </w:t>
      </w:r>
      <w:proofErr w:type="spellStart"/>
      <w:r w:rsidR="00F47982">
        <w:rPr>
          <w:b/>
          <w:sz w:val="28"/>
          <w:szCs w:val="28"/>
        </w:rPr>
        <w:t>Centres</w:t>
      </w:r>
      <w:proofErr w:type="spellEnd"/>
    </w:p>
    <w:p w:rsidR="00F47982" w:rsidRPr="00BD2BBA" w:rsidRDefault="00F47982" w:rsidP="00F47982">
      <w:pPr>
        <w:tabs>
          <w:tab w:val="clear" w:pos="1247"/>
          <w:tab w:val="left" w:pos="1276"/>
        </w:tabs>
        <w:spacing w:before="120" w:after="120"/>
        <w:ind w:firstLine="547"/>
        <w:rPr>
          <w:b/>
          <w:bCs/>
          <w:sz w:val="24"/>
          <w:szCs w:val="24"/>
        </w:rPr>
      </w:pPr>
      <w:r w:rsidRPr="00BD2BBA">
        <w:rPr>
          <w:b/>
          <w:bCs/>
          <w:sz w:val="24"/>
          <w:szCs w:val="24"/>
        </w:rPr>
        <w:t xml:space="preserve">A. </w:t>
      </w:r>
      <w:r>
        <w:rPr>
          <w:b/>
          <w:bCs/>
          <w:sz w:val="24"/>
          <w:szCs w:val="24"/>
        </w:rPr>
        <w:tab/>
      </w:r>
      <w:r w:rsidRPr="00BD2BBA">
        <w:rPr>
          <w:b/>
          <w:bCs/>
          <w:sz w:val="24"/>
          <w:szCs w:val="24"/>
        </w:rPr>
        <w:t xml:space="preserve">Africa </w:t>
      </w:r>
    </w:p>
    <w:p w:rsidR="00F47982" w:rsidRDefault="00F47982" w:rsidP="00F47982">
      <w:pPr>
        <w:numPr>
          <w:ilvl w:val="0"/>
          <w:numId w:val="4"/>
        </w:numPr>
        <w:tabs>
          <w:tab w:val="clear" w:pos="1247"/>
          <w:tab w:val="clear" w:pos="1814"/>
          <w:tab w:val="clear" w:pos="2381"/>
          <w:tab w:val="clear" w:pos="2948"/>
          <w:tab w:val="clear" w:pos="3515"/>
        </w:tabs>
        <w:spacing w:after="120"/>
        <w:ind w:left="1276" w:firstLine="0"/>
      </w:pPr>
      <w:r w:rsidRPr="002E0CC8">
        <w:rPr>
          <w:b/>
          <w:bCs/>
          <w:lang w:eastAsia="en-US"/>
        </w:rPr>
        <w:t>The</w:t>
      </w:r>
      <w:r w:rsidRPr="002E0CC8">
        <w:rPr>
          <w:b/>
          <w:bCs/>
        </w:rPr>
        <w:t xml:space="preserve"> Basel Convention regional </w:t>
      </w:r>
      <w:proofErr w:type="spellStart"/>
      <w:r w:rsidRPr="002E0CC8">
        <w:rPr>
          <w:b/>
          <w:bCs/>
        </w:rPr>
        <w:t>centre</w:t>
      </w:r>
      <w:proofErr w:type="spellEnd"/>
      <w:r w:rsidRPr="002E0CC8">
        <w:rPr>
          <w:b/>
          <w:bCs/>
        </w:rPr>
        <w:t xml:space="preserve"> for French-speaking African countries located in Senegal (BCRC Senegal)</w:t>
      </w:r>
      <w:r w:rsidRPr="003471DC">
        <w:t xml:space="preserve"> implemented a project </w:t>
      </w:r>
      <w:r w:rsidRPr="00615151">
        <w:t xml:space="preserve">in 2019 entitled </w:t>
      </w:r>
      <w:r w:rsidRPr="00307852">
        <w:t>“Dissemination and adaptation of the guidelines for the methodology of inventories, recycling, reuse, refurbishment and environmentally sound disposal of Waste Electrical and Electronic Equipment (WEEE)”</w:t>
      </w:r>
      <w:r w:rsidRPr="003471DC">
        <w:t xml:space="preserve">. The </w:t>
      </w:r>
      <w:r>
        <w:t xml:space="preserve">major </w:t>
      </w:r>
      <w:r w:rsidRPr="00615151">
        <w:t>outputs of the projects included</w:t>
      </w:r>
      <w:r>
        <w:t>,</w:t>
      </w:r>
      <w:r w:rsidRPr="00615151">
        <w:t xml:space="preserve"> </w:t>
      </w:r>
      <w:r w:rsidRPr="00307852">
        <w:t xml:space="preserve">adaptation and translation of WEEE toolkit followed by a training of network administrators </w:t>
      </w:r>
      <w:r>
        <w:t>of the</w:t>
      </w:r>
      <w:r w:rsidRPr="00307852">
        <w:t xml:space="preserve"> following countries</w:t>
      </w:r>
      <w:r>
        <w:t>:</w:t>
      </w:r>
      <w:r w:rsidRPr="00307852">
        <w:t xml:space="preserve"> Cote d’Ivoire, Morocco, Republic of Congo, Rwanda, and Togo</w:t>
      </w:r>
      <w:r>
        <w:t>. This project also included the development of</w:t>
      </w:r>
      <w:r w:rsidRPr="00307852">
        <w:t xml:space="preserve"> online training modules on e-waste; online training on WEEE of focal points of </w:t>
      </w:r>
      <w:r w:rsidRPr="003471DC">
        <w:t xml:space="preserve">Côte d'Ivoire, Democratic Republic of Congo, Rwanda and Togo </w:t>
      </w:r>
      <w:r>
        <w:t xml:space="preserve">was </w:t>
      </w:r>
      <w:r w:rsidRPr="003471DC">
        <w:t>held</w:t>
      </w:r>
      <w:r>
        <w:t>. A</w:t>
      </w:r>
      <w:r w:rsidRPr="00307852">
        <w:t xml:space="preserve">lso under this project </w:t>
      </w:r>
      <w:r>
        <w:t>an online platform on e-waste was created and shared, promoting action networks</w:t>
      </w:r>
      <w:r w:rsidRPr="00307852">
        <w:t xml:space="preserve">. More information including on the </w:t>
      </w:r>
      <w:r>
        <w:t xml:space="preserve">training </w:t>
      </w:r>
      <w:r w:rsidRPr="00307852">
        <w:t xml:space="preserve">modules on WEEE </w:t>
      </w:r>
      <w:r>
        <w:t xml:space="preserve">are </w:t>
      </w:r>
      <w:r w:rsidRPr="00307852">
        <w:t>available online</w:t>
      </w:r>
      <w:r w:rsidRPr="003471DC">
        <w:t xml:space="preserve"> at:</w:t>
      </w:r>
      <w:r w:rsidRPr="00307852">
        <w:t xml:space="preserve"> </w:t>
      </w:r>
      <w:hyperlink r:id="rId5" w:history="1">
        <w:r w:rsidRPr="00E108E9">
          <w:rPr>
            <w:rStyle w:val="Hyperlink"/>
            <w:lang w:val="en-US"/>
          </w:rPr>
          <w:t>www.formation.crcbsaf.org</w:t>
        </w:r>
      </w:hyperlink>
      <w:r w:rsidRPr="00307852">
        <w:t xml:space="preserve">. </w:t>
      </w:r>
    </w:p>
    <w:p w:rsidR="00F47982" w:rsidRPr="00307852" w:rsidRDefault="00F47982" w:rsidP="00F47982">
      <w:pPr>
        <w:numPr>
          <w:ilvl w:val="0"/>
          <w:numId w:val="4"/>
        </w:numPr>
        <w:tabs>
          <w:tab w:val="clear" w:pos="1247"/>
          <w:tab w:val="clear" w:pos="1814"/>
          <w:tab w:val="clear" w:pos="2381"/>
          <w:tab w:val="clear" w:pos="2948"/>
          <w:tab w:val="clear" w:pos="3515"/>
        </w:tabs>
        <w:spacing w:after="120"/>
        <w:ind w:left="1276" w:firstLine="0"/>
      </w:pPr>
      <w:r>
        <w:rPr>
          <w:lang w:eastAsia="en-US"/>
        </w:rPr>
        <w:t>BCRC</w:t>
      </w:r>
      <w:r>
        <w:t xml:space="preserve"> Senegal </w:t>
      </w:r>
      <w:r w:rsidRPr="00307852">
        <w:t>also participated in the E-waste World Conference and Expo held in Frankfurt</w:t>
      </w:r>
      <w:r>
        <w:t>,</w:t>
      </w:r>
      <w:r w:rsidRPr="00307852">
        <w:t xml:space="preserve"> Germany from 14-15 November 2019</w:t>
      </w:r>
      <w:r>
        <w:t>. This exposure</w:t>
      </w:r>
      <w:r w:rsidRPr="00307852">
        <w:t xml:space="preserve"> support</w:t>
      </w:r>
      <w:r>
        <w:t xml:space="preserve">ed </w:t>
      </w:r>
      <w:r w:rsidRPr="00307852">
        <w:t xml:space="preserve">the implementation of the </w:t>
      </w:r>
      <w:proofErr w:type="spellStart"/>
      <w:r w:rsidRPr="00307852">
        <w:t>programme</w:t>
      </w:r>
      <w:proofErr w:type="spellEnd"/>
      <w:r w:rsidRPr="00307852">
        <w:t xml:space="preserve"> of work of the follow</w:t>
      </w:r>
      <w:r>
        <w:t>-</w:t>
      </w:r>
      <w:r w:rsidRPr="00307852">
        <w:t>up partnership to PACE. The two-day conference and exhibition aim</w:t>
      </w:r>
      <w:r>
        <w:t>ed</w:t>
      </w:r>
      <w:r w:rsidRPr="00307852">
        <w:t xml:space="preserve"> at discussing the latest recycling technology, materials recovery solutions, green electronics, sustainable materials, non-toxic substitutes, and end of life strategies, as well as, regulatory and business models to help reduce the environment impact of all consumer and industrial E-waste. </w:t>
      </w:r>
    </w:p>
    <w:p w:rsidR="00F47982" w:rsidRPr="00BD2BBA" w:rsidRDefault="00F47982" w:rsidP="00F47982">
      <w:pPr>
        <w:tabs>
          <w:tab w:val="clear" w:pos="1247"/>
          <w:tab w:val="left" w:pos="1276"/>
        </w:tabs>
        <w:spacing w:before="120" w:after="120"/>
        <w:ind w:firstLine="547"/>
        <w:rPr>
          <w:b/>
          <w:bCs/>
          <w:sz w:val="24"/>
          <w:szCs w:val="24"/>
        </w:rPr>
      </w:pPr>
      <w:r>
        <w:rPr>
          <w:b/>
          <w:bCs/>
          <w:sz w:val="24"/>
          <w:szCs w:val="24"/>
        </w:rPr>
        <w:t>B.</w:t>
      </w:r>
      <w:r w:rsidRPr="00BD2BBA">
        <w:rPr>
          <w:b/>
          <w:bCs/>
          <w:sz w:val="24"/>
          <w:szCs w:val="24"/>
        </w:rPr>
        <w:t xml:space="preserve"> </w:t>
      </w:r>
      <w:r>
        <w:rPr>
          <w:b/>
          <w:bCs/>
          <w:sz w:val="24"/>
          <w:szCs w:val="24"/>
        </w:rPr>
        <w:tab/>
      </w:r>
      <w:r w:rsidRPr="00BD2BBA">
        <w:rPr>
          <w:b/>
          <w:bCs/>
          <w:sz w:val="24"/>
          <w:szCs w:val="24"/>
        </w:rPr>
        <w:t xml:space="preserve">Asia </w:t>
      </w:r>
    </w:p>
    <w:p w:rsidR="00F47982" w:rsidRPr="00307852" w:rsidRDefault="00F47982" w:rsidP="00F47982">
      <w:pPr>
        <w:numPr>
          <w:ilvl w:val="0"/>
          <w:numId w:val="4"/>
        </w:numPr>
        <w:tabs>
          <w:tab w:val="clear" w:pos="1247"/>
          <w:tab w:val="clear" w:pos="1814"/>
          <w:tab w:val="clear" w:pos="2381"/>
          <w:tab w:val="clear" w:pos="2948"/>
          <w:tab w:val="clear" w:pos="3515"/>
        </w:tabs>
        <w:spacing w:after="120"/>
        <w:ind w:left="1276" w:firstLine="0"/>
      </w:pPr>
      <w:r w:rsidRPr="002E0CC8">
        <w:rPr>
          <w:b/>
          <w:bCs/>
        </w:rPr>
        <w:t xml:space="preserve">The </w:t>
      </w:r>
      <w:r w:rsidRPr="002E0CC8">
        <w:rPr>
          <w:b/>
          <w:bCs/>
          <w:lang w:eastAsia="en-US"/>
        </w:rPr>
        <w:t>Stockholm</w:t>
      </w:r>
      <w:r w:rsidRPr="002E0CC8">
        <w:rPr>
          <w:b/>
          <w:bCs/>
        </w:rPr>
        <w:t xml:space="preserve"> Convention regional </w:t>
      </w:r>
      <w:proofErr w:type="spellStart"/>
      <w:r w:rsidRPr="002E0CC8">
        <w:rPr>
          <w:b/>
          <w:bCs/>
        </w:rPr>
        <w:t>centre</w:t>
      </w:r>
      <w:proofErr w:type="spellEnd"/>
      <w:r w:rsidRPr="002E0CC8">
        <w:rPr>
          <w:b/>
          <w:bCs/>
        </w:rPr>
        <w:t xml:space="preserve"> in India (SCRC India</w:t>
      </w:r>
      <w:r>
        <w:t>)</w:t>
      </w:r>
      <w:r w:rsidRPr="003471DC">
        <w:t xml:space="preserve"> organized a Brainstorming Workshop </w:t>
      </w:r>
      <w:r w:rsidRPr="00615151">
        <w:t>on E-waste Management in India on 6</w:t>
      </w:r>
      <w:r w:rsidRPr="002848AF">
        <w:rPr>
          <w:vertAlign w:val="superscript"/>
        </w:rPr>
        <w:t>th</w:t>
      </w:r>
      <w:r>
        <w:t xml:space="preserve"> </w:t>
      </w:r>
      <w:r w:rsidRPr="003471DC">
        <w:t>March 2020 at CSIR-NEERI, Nagpur, India. It was organized in the context of an</w:t>
      </w:r>
      <w:r w:rsidRPr="00615151">
        <w:t xml:space="preserve"> existing scenario of </w:t>
      </w:r>
      <w:r>
        <w:t>e</w:t>
      </w:r>
      <w:r w:rsidRPr="00615151">
        <w:t xml:space="preserve">-waste management in India aiming to provide an outlook in a sustainable and cost-effective method </w:t>
      </w:r>
      <w:proofErr w:type="gramStart"/>
      <w:r w:rsidRPr="00615151">
        <w:t>so as to</w:t>
      </w:r>
      <w:proofErr w:type="gramEnd"/>
      <w:r w:rsidRPr="00615151">
        <w:t xml:space="preserve"> attain a sustainable resilient environment and health </w:t>
      </w:r>
      <w:r>
        <w:t>and</w:t>
      </w:r>
      <w:r w:rsidRPr="00615151">
        <w:t xml:space="preserve"> safety. The workshop gath</w:t>
      </w:r>
      <w:r w:rsidRPr="00EC0F92">
        <w:t xml:space="preserve">ered a wide range of stakeholders and around 150 participants including those from Government, </w:t>
      </w:r>
      <w:r>
        <w:t>a</w:t>
      </w:r>
      <w:r w:rsidRPr="00EC0F92">
        <w:t xml:space="preserve">cademic </w:t>
      </w:r>
      <w:r>
        <w:t>i</w:t>
      </w:r>
      <w:r w:rsidRPr="00EC0F92">
        <w:t xml:space="preserve">nstitutions, </w:t>
      </w:r>
      <w:r>
        <w:t>i</w:t>
      </w:r>
      <w:r w:rsidRPr="00EC0F92">
        <w:t xml:space="preserve">ndustrial </w:t>
      </w:r>
      <w:r>
        <w:t>s</w:t>
      </w:r>
      <w:r w:rsidRPr="00EC0F92">
        <w:t xml:space="preserve">ector and NGOs to address the existing issues with regards to </w:t>
      </w:r>
      <w:r>
        <w:t>e</w:t>
      </w:r>
      <w:r w:rsidRPr="00EC0F92">
        <w:t xml:space="preserve">-waste management. The main objective of the workshop included: </w:t>
      </w:r>
      <w:r>
        <w:t>a</w:t>
      </w:r>
      <w:r w:rsidRPr="00EC0F92">
        <w:t xml:space="preserve">ddressing the existing </w:t>
      </w:r>
      <w:r>
        <w:t>e</w:t>
      </w:r>
      <w:r w:rsidRPr="00EC0F92">
        <w:t xml:space="preserve">-waste management rules in India; </w:t>
      </w:r>
      <w:r>
        <w:t>i</w:t>
      </w:r>
      <w:r w:rsidRPr="00EC0F92">
        <w:t xml:space="preserve">dentifying </w:t>
      </w:r>
      <w:r>
        <w:t>gaps</w:t>
      </w:r>
      <w:r w:rsidRPr="00EC0F92">
        <w:t xml:space="preserve"> in the implementation of the rules in India; </w:t>
      </w:r>
      <w:r>
        <w:t>r</w:t>
      </w:r>
      <w:r w:rsidRPr="00EC0F92">
        <w:t xml:space="preserve">ole of </w:t>
      </w:r>
      <w:r>
        <w:t>e</w:t>
      </w:r>
      <w:r w:rsidRPr="00EC0F92">
        <w:t xml:space="preserve">xtended </w:t>
      </w:r>
      <w:r>
        <w:t>p</w:t>
      </w:r>
      <w:r w:rsidRPr="00EC0F92">
        <w:t xml:space="preserve">roducer </w:t>
      </w:r>
      <w:r>
        <w:t>r</w:t>
      </w:r>
      <w:r w:rsidRPr="00EC0F92">
        <w:t>esponsibility</w:t>
      </w:r>
      <w:r>
        <w:t xml:space="preserve"> (EPR)</w:t>
      </w:r>
      <w:r w:rsidRPr="00EC0F92">
        <w:t>;</w:t>
      </w:r>
      <w:r>
        <w:t xml:space="preserve"> providing methodologies for the u</w:t>
      </w:r>
      <w:r w:rsidRPr="00307852">
        <w:t xml:space="preserve">rgent need for city specific data </w:t>
      </w:r>
      <w:r>
        <w:t xml:space="preserve">on </w:t>
      </w:r>
      <w:r w:rsidRPr="00307852">
        <w:t>inventor</w:t>
      </w:r>
      <w:r>
        <w:t xml:space="preserve">y </w:t>
      </w:r>
      <w:r w:rsidRPr="00307852">
        <w:t xml:space="preserve">and management of E-waste; </w:t>
      </w:r>
      <w:r>
        <w:t>f</w:t>
      </w:r>
      <w:r w:rsidRPr="00307852">
        <w:t xml:space="preserve">ormalizing </w:t>
      </w:r>
      <w:r>
        <w:t xml:space="preserve">the </w:t>
      </w:r>
      <w:r w:rsidRPr="00307852">
        <w:t>informal sector;</w:t>
      </w:r>
      <w:r>
        <w:t xml:space="preserve"> promoting</w:t>
      </w:r>
      <w:r w:rsidRPr="00307852">
        <w:t xml:space="preserve"> </w:t>
      </w:r>
      <w:r>
        <w:t>r</w:t>
      </w:r>
      <w:r w:rsidRPr="00307852">
        <w:t>esource recovery and circular resource management.</w:t>
      </w:r>
    </w:p>
    <w:p w:rsidR="00F47982" w:rsidRDefault="00F47982" w:rsidP="00F47982">
      <w:pPr>
        <w:numPr>
          <w:ilvl w:val="0"/>
          <w:numId w:val="4"/>
        </w:numPr>
        <w:tabs>
          <w:tab w:val="clear" w:pos="1247"/>
          <w:tab w:val="clear" w:pos="1814"/>
          <w:tab w:val="clear" w:pos="2381"/>
          <w:tab w:val="clear" w:pos="2948"/>
          <w:tab w:val="clear" w:pos="3515"/>
        </w:tabs>
        <w:spacing w:after="120"/>
        <w:ind w:left="1276" w:firstLine="0"/>
      </w:pPr>
      <w:r>
        <w:t xml:space="preserve">From May to June 2019, the </w:t>
      </w:r>
      <w:r w:rsidRPr="002E0CC8">
        <w:rPr>
          <w:b/>
          <w:bCs/>
        </w:rPr>
        <w:t xml:space="preserve">Basel Convention Regional Centre for the Asia and Pacific Region in </w:t>
      </w:r>
      <w:r w:rsidRPr="002E0CC8">
        <w:rPr>
          <w:b/>
          <w:bCs/>
          <w:lang w:eastAsia="en-US"/>
        </w:rPr>
        <w:t>China</w:t>
      </w:r>
      <w:r w:rsidRPr="002E0CC8">
        <w:rPr>
          <w:b/>
          <w:bCs/>
        </w:rPr>
        <w:t xml:space="preserve"> (BCRC China)</w:t>
      </w:r>
      <w:r>
        <w:t>,</w:t>
      </w:r>
      <w:r w:rsidRPr="00F259CE">
        <w:t xml:space="preserve"> </w:t>
      </w:r>
      <w:r>
        <w:t>in cooperation</w:t>
      </w:r>
      <w:r w:rsidRPr="00F259CE">
        <w:t xml:space="preserve"> </w:t>
      </w:r>
      <w:r>
        <w:t xml:space="preserve">with </w:t>
      </w:r>
      <w:r w:rsidRPr="00F259CE">
        <w:rPr>
          <w:rFonts w:hint="eastAsia"/>
        </w:rPr>
        <w:t>China National Resources Recycling Association</w:t>
      </w:r>
      <w:r>
        <w:t xml:space="preserve"> (</w:t>
      </w:r>
      <w:r w:rsidRPr="00F259CE">
        <w:rPr>
          <w:rFonts w:hint="eastAsia"/>
        </w:rPr>
        <w:t>CRRA</w:t>
      </w:r>
      <w:r>
        <w:t>), undertook research on newly added</w:t>
      </w:r>
      <w:r w:rsidRPr="00F259CE">
        <w:t xml:space="preserve"> 9 types of </w:t>
      </w:r>
      <w:r>
        <w:t>WEEE, including e</w:t>
      </w:r>
      <w:r w:rsidRPr="00730C58">
        <w:t xml:space="preserve">lectric water heaters, gas water heaters, printers, copiers, fax machines, monitors, mobile </w:t>
      </w:r>
      <w:r>
        <w:t>phones</w:t>
      </w:r>
      <w:r w:rsidRPr="00730C58">
        <w:t xml:space="preserve">, </w:t>
      </w:r>
      <w:r>
        <w:t xml:space="preserve">and </w:t>
      </w:r>
      <w:r w:rsidRPr="00730C58">
        <w:t>telephone</w:t>
      </w:r>
      <w:r>
        <w:t>s, including on their dismantling and treatment procedures and with the on-site survey in specific WEEE recycling enterprises in China. This group formulated a d</w:t>
      </w:r>
      <w:r w:rsidRPr="004F0621">
        <w:t>ismantling atlas</w:t>
      </w:r>
      <w:r>
        <w:t xml:space="preserve"> and guidelines. Finally, the draft</w:t>
      </w:r>
      <w:r w:rsidRPr="00F259CE">
        <w:t xml:space="preserve"> standard </w:t>
      </w:r>
      <w:r>
        <w:t xml:space="preserve">and </w:t>
      </w:r>
      <w:r w:rsidRPr="00F259CE">
        <w:t>management guidelines</w:t>
      </w:r>
      <w:r>
        <w:t xml:space="preserve"> for 9 kinds of WEEE </w:t>
      </w:r>
      <w:r w:rsidRPr="00F259CE">
        <w:t xml:space="preserve">dismantling and </w:t>
      </w:r>
      <w:r>
        <w:t>treatment has been submitted to the competent authority in charge of WEEE management in China.</w:t>
      </w:r>
    </w:p>
    <w:p w:rsidR="00F47982" w:rsidRDefault="00F47982" w:rsidP="00F47982">
      <w:pPr>
        <w:numPr>
          <w:ilvl w:val="0"/>
          <w:numId w:val="4"/>
        </w:numPr>
        <w:tabs>
          <w:tab w:val="clear" w:pos="1247"/>
          <w:tab w:val="clear" w:pos="1814"/>
          <w:tab w:val="clear" w:pos="2381"/>
          <w:tab w:val="clear" w:pos="2948"/>
          <w:tab w:val="clear" w:pos="3515"/>
        </w:tabs>
        <w:spacing w:after="120"/>
        <w:ind w:left="1276" w:firstLine="0"/>
      </w:pPr>
      <w:r w:rsidRPr="004B5CBF">
        <w:rPr>
          <w:lang w:eastAsia="en-US"/>
        </w:rPr>
        <w:t>BCRC</w:t>
      </w:r>
      <w:r>
        <w:t xml:space="preserve"> </w:t>
      </w:r>
      <w:r w:rsidRPr="004B5CBF">
        <w:t xml:space="preserve">China is </w:t>
      </w:r>
      <w:r>
        <w:t xml:space="preserve">furthermore </w:t>
      </w:r>
      <w:r w:rsidRPr="004B5CBF">
        <w:t xml:space="preserve">implementing a project financed by </w:t>
      </w:r>
      <w:r>
        <w:t>the Global Environment Facility (</w:t>
      </w:r>
      <w:r w:rsidRPr="004B5CBF">
        <w:t>GEF</w:t>
      </w:r>
      <w:r>
        <w:t>)</w:t>
      </w:r>
      <w:r w:rsidRPr="004B5CBF">
        <w:t xml:space="preserve"> through the Foreign Economic Cooperation Office of </w:t>
      </w:r>
      <w:r>
        <w:t xml:space="preserve">the </w:t>
      </w:r>
      <w:r w:rsidRPr="004B5CBF">
        <w:t>Ministry of Ecology and Environment (MEE FECO), to compile a book named “Environmentally Sound Management of POPs released throughout the life cycle of electrical and electronic equipment and associated wastes”. The project aim</w:t>
      </w:r>
      <w:r>
        <w:t>s</w:t>
      </w:r>
      <w:r w:rsidRPr="004B5CBF">
        <w:t xml:space="preserve"> to improve the awareness of local officials, industrial operators and the public and share the successful experience and outputs under the project “Reduction of POPs and PTS release by environmentally sound management throughout the life cycle of electrical and electronic equipment and associated wastes in China”. The book mainly contains 5 chapters, including knowledge on POPs and WEEE, regulatory policy, treatment and disposal technology, risk control technology, and the demonstration outcomes.</w:t>
      </w:r>
    </w:p>
    <w:p w:rsidR="00F47982" w:rsidRPr="00057A63" w:rsidRDefault="00F47982" w:rsidP="00F47982">
      <w:pPr>
        <w:numPr>
          <w:ilvl w:val="0"/>
          <w:numId w:val="4"/>
        </w:numPr>
        <w:tabs>
          <w:tab w:val="clear" w:pos="1247"/>
          <w:tab w:val="clear" w:pos="1814"/>
          <w:tab w:val="clear" w:pos="2381"/>
          <w:tab w:val="clear" w:pos="2948"/>
          <w:tab w:val="clear" w:pos="3515"/>
        </w:tabs>
        <w:spacing w:after="120"/>
        <w:ind w:left="1276" w:firstLine="0"/>
      </w:pPr>
      <w:r w:rsidRPr="00BF672C">
        <w:rPr>
          <w:rFonts w:eastAsia="DengXian" w:hint="eastAsia"/>
        </w:rPr>
        <w:t>I</w:t>
      </w:r>
      <w:r w:rsidRPr="00BF672C">
        <w:rPr>
          <w:rFonts w:eastAsia="DengXian"/>
        </w:rPr>
        <w:t xml:space="preserve">n 2019, </w:t>
      </w:r>
      <w:r w:rsidRPr="004B5CBF">
        <w:t>BCRC</w:t>
      </w:r>
      <w:r>
        <w:t xml:space="preserve"> </w:t>
      </w:r>
      <w:r w:rsidRPr="004B5CBF">
        <w:t>China</w:t>
      </w:r>
      <w:r w:rsidRPr="00BF672C">
        <w:rPr>
          <w:rFonts w:eastAsia="DengXian"/>
        </w:rPr>
        <w:t xml:space="preserve"> has conducted </w:t>
      </w:r>
      <w:r>
        <w:rPr>
          <w:rFonts w:eastAsia="DengXian"/>
        </w:rPr>
        <w:t xml:space="preserve">a </w:t>
      </w:r>
      <w:r w:rsidRPr="004B5CBF">
        <w:rPr>
          <w:rFonts w:eastAsia="DengXian"/>
        </w:rPr>
        <w:t xml:space="preserve">desk investigation of </w:t>
      </w:r>
      <w:r>
        <w:rPr>
          <w:rFonts w:eastAsia="DengXian"/>
        </w:rPr>
        <w:t xml:space="preserve">the </w:t>
      </w:r>
      <w:r w:rsidRPr="004B5CBF">
        <w:rPr>
          <w:rFonts w:eastAsia="DengXian"/>
        </w:rPr>
        <w:t>waste management status</w:t>
      </w:r>
      <w:r>
        <w:rPr>
          <w:rFonts w:eastAsia="DengXian"/>
        </w:rPr>
        <w:t xml:space="preserve">, including the movement of materials to be processed for recycling and of the equipment to be repaired, in several countries. </w:t>
      </w:r>
    </w:p>
    <w:p w:rsidR="00F47982" w:rsidRPr="00BD2BBA" w:rsidRDefault="00F47982" w:rsidP="00F47982">
      <w:pPr>
        <w:tabs>
          <w:tab w:val="clear" w:pos="1247"/>
          <w:tab w:val="left" w:pos="1276"/>
        </w:tabs>
        <w:spacing w:before="120" w:after="120"/>
        <w:ind w:firstLine="547"/>
        <w:rPr>
          <w:b/>
          <w:bCs/>
          <w:sz w:val="24"/>
          <w:szCs w:val="24"/>
        </w:rPr>
      </w:pPr>
      <w:r>
        <w:rPr>
          <w:b/>
          <w:bCs/>
          <w:sz w:val="24"/>
          <w:szCs w:val="24"/>
        </w:rPr>
        <w:t>C</w:t>
      </w:r>
      <w:r w:rsidRPr="00BD2BBA">
        <w:rPr>
          <w:b/>
          <w:bCs/>
          <w:sz w:val="24"/>
          <w:szCs w:val="24"/>
        </w:rPr>
        <w:t>.</w:t>
      </w:r>
      <w:r>
        <w:rPr>
          <w:b/>
          <w:bCs/>
          <w:sz w:val="24"/>
          <w:szCs w:val="24"/>
        </w:rPr>
        <w:tab/>
      </w:r>
      <w:r w:rsidRPr="00BD2BBA">
        <w:rPr>
          <w:b/>
          <w:bCs/>
          <w:sz w:val="24"/>
          <w:szCs w:val="24"/>
        </w:rPr>
        <w:t xml:space="preserve">Central and Eastern Europe and Central Asia </w:t>
      </w:r>
    </w:p>
    <w:p w:rsidR="00F47982" w:rsidRDefault="00F47982" w:rsidP="00F47982">
      <w:pPr>
        <w:numPr>
          <w:ilvl w:val="0"/>
          <w:numId w:val="4"/>
        </w:numPr>
        <w:tabs>
          <w:tab w:val="clear" w:pos="1247"/>
          <w:tab w:val="clear" w:pos="1814"/>
          <w:tab w:val="clear" w:pos="2381"/>
          <w:tab w:val="clear" w:pos="2948"/>
          <w:tab w:val="clear" w:pos="3515"/>
        </w:tabs>
        <w:spacing w:after="120"/>
        <w:ind w:left="1276" w:firstLine="0"/>
      </w:pPr>
      <w:r w:rsidRPr="002E0CC8">
        <w:rPr>
          <w:b/>
          <w:lang w:eastAsia="en-US"/>
        </w:rPr>
        <w:lastRenderedPageBreak/>
        <w:t>The</w:t>
      </w:r>
      <w:r w:rsidRPr="002E0CC8">
        <w:rPr>
          <w:b/>
        </w:rPr>
        <w:t xml:space="preserve"> Basel Convention Regional Centre located in Slovakia (BCRC Slovakia) </w:t>
      </w:r>
      <w:r>
        <w:t xml:space="preserve">has </w:t>
      </w:r>
      <w:proofErr w:type="spellStart"/>
      <w:r>
        <w:t>organised</w:t>
      </w:r>
      <w:proofErr w:type="spellEnd"/>
      <w:r>
        <w:t xml:space="preserve"> a regional workshop in June 2019 aimed to present PACE and its products. Furthermore, the </w:t>
      </w:r>
      <w:proofErr w:type="spellStart"/>
      <w:r>
        <w:rPr>
          <w:rFonts w:eastAsia="DengXian"/>
        </w:rPr>
        <w:t>c</w:t>
      </w:r>
      <w:r w:rsidRPr="002848AF">
        <w:rPr>
          <w:rFonts w:eastAsia="DengXian"/>
        </w:rPr>
        <w:t>entre</w:t>
      </w:r>
      <w:proofErr w:type="spellEnd"/>
      <w:r>
        <w:t xml:space="preserve"> coordinated a project that collected information on the status of legal and institutional arrangements on the extended producer’s responsibility in e-waste sectors in Belarus and Georgia in March 2020. The </w:t>
      </w:r>
      <w:proofErr w:type="spellStart"/>
      <w:r>
        <w:t>centre</w:t>
      </w:r>
      <w:proofErr w:type="spellEnd"/>
      <w:r>
        <w:t xml:space="preserve"> coordinated a regional project in Albania, Bosnia and Herzegovina, and Montenegro aimed at implementation of the EPR on e-waste. Furthermore, the </w:t>
      </w:r>
      <w:proofErr w:type="spellStart"/>
      <w:r>
        <w:t>centre</w:t>
      </w:r>
      <w:proofErr w:type="spellEnd"/>
      <w:r>
        <w:t xml:space="preserve"> has also managed a project to establish and implement EPR for e-waste in Moldova.</w:t>
      </w:r>
    </w:p>
    <w:p w:rsidR="00F47982" w:rsidRPr="00307852" w:rsidRDefault="00F47982" w:rsidP="00F47982">
      <w:pPr>
        <w:numPr>
          <w:ilvl w:val="0"/>
          <w:numId w:val="4"/>
        </w:numPr>
        <w:tabs>
          <w:tab w:val="clear" w:pos="1247"/>
          <w:tab w:val="clear" w:pos="1814"/>
          <w:tab w:val="clear" w:pos="2381"/>
          <w:tab w:val="clear" w:pos="2948"/>
          <w:tab w:val="clear" w:pos="3515"/>
        </w:tabs>
        <w:spacing w:after="120"/>
        <w:ind w:left="1276" w:firstLine="0"/>
      </w:pPr>
      <w:r w:rsidRPr="00307852">
        <w:rPr>
          <w:rFonts w:eastAsia="DengXian"/>
        </w:rPr>
        <w:t>Due</w:t>
      </w:r>
      <w:r w:rsidRPr="00307852">
        <w:t xml:space="preserve"> </w:t>
      </w:r>
      <w:r w:rsidRPr="00307852">
        <w:rPr>
          <w:lang w:eastAsia="en-US"/>
        </w:rPr>
        <w:t>to</w:t>
      </w:r>
      <w:r w:rsidRPr="00307852">
        <w:t xml:space="preserve"> the </w:t>
      </w:r>
      <w:r>
        <w:t xml:space="preserve">lack of resources for the </w:t>
      </w:r>
      <w:r w:rsidRPr="00307852">
        <w:t xml:space="preserve">ongoing work of other projects and </w:t>
      </w:r>
      <w:r>
        <w:t>partnership</w:t>
      </w:r>
      <w:r w:rsidRPr="00307852">
        <w:t>s under the Basel Convention</w:t>
      </w:r>
      <w:r>
        <w:t xml:space="preserve">, the Basel Convention regional </w:t>
      </w:r>
      <w:proofErr w:type="spellStart"/>
      <w:r>
        <w:t>centre</w:t>
      </w:r>
      <w:proofErr w:type="spellEnd"/>
      <w:r>
        <w:t xml:space="preserve"> in Russia</w:t>
      </w:r>
      <w:r w:rsidRPr="00307852">
        <w:t xml:space="preserve"> </w:t>
      </w:r>
      <w:r>
        <w:t>(</w:t>
      </w:r>
      <w:r w:rsidRPr="00307852">
        <w:t>BCRC Russia</w:t>
      </w:r>
      <w:r>
        <w:t>)</w:t>
      </w:r>
      <w:r w:rsidRPr="00307852">
        <w:t xml:space="preserve"> focuse</w:t>
      </w:r>
      <w:r>
        <w:t>d</w:t>
      </w:r>
      <w:r w:rsidRPr="00307852">
        <w:t xml:space="preserve"> on dissemination activities</w:t>
      </w:r>
      <w:r>
        <w:t xml:space="preserve"> and</w:t>
      </w:r>
      <w:r w:rsidRPr="00307852">
        <w:t xml:space="preserve"> analyses of guidelines for translation if necessary. The Centre is looking forward to collecting information from Parties of the region on </w:t>
      </w:r>
      <w:r>
        <w:t xml:space="preserve">relevant </w:t>
      </w:r>
      <w:r w:rsidRPr="00307852">
        <w:t xml:space="preserve">pilot project activities. </w:t>
      </w:r>
    </w:p>
    <w:p w:rsidR="00F47982" w:rsidRPr="00BD2BBA" w:rsidRDefault="00F47982" w:rsidP="00F47982">
      <w:pPr>
        <w:tabs>
          <w:tab w:val="clear" w:pos="1247"/>
          <w:tab w:val="left" w:pos="1276"/>
        </w:tabs>
        <w:spacing w:before="120" w:after="120"/>
        <w:ind w:firstLine="547"/>
        <w:rPr>
          <w:b/>
          <w:bCs/>
          <w:sz w:val="24"/>
          <w:szCs w:val="24"/>
        </w:rPr>
      </w:pPr>
      <w:r>
        <w:rPr>
          <w:b/>
          <w:bCs/>
          <w:sz w:val="24"/>
          <w:szCs w:val="24"/>
        </w:rPr>
        <w:t>D</w:t>
      </w:r>
      <w:r w:rsidRPr="00BD2BBA">
        <w:rPr>
          <w:b/>
          <w:bCs/>
          <w:sz w:val="24"/>
          <w:szCs w:val="24"/>
        </w:rPr>
        <w:t xml:space="preserve">. </w:t>
      </w:r>
      <w:r>
        <w:rPr>
          <w:b/>
          <w:bCs/>
          <w:sz w:val="24"/>
          <w:szCs w:val="24"/>
        </w:rPr>
        <w:tab/>
      </w:r>
      <w:r w:rsidRPr="00BD2BBA">
        <w:rPr>
          <w:b/>
          <w:bCs/>
          <w:sz w:val="24"/>
          <w:szCs w:val="24"/>
        </w:rPr>
        <w:t xml:space="preserve">Latin America and the Caribbean </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bookmarkStart w:id="1" w:name="_Hlk520832466"/>
      <w:r w:rsidRPr="003470A6">
        <w:rPr>
          <w:rFonts w:eastAsia="DengXian"/>
          <w:b/>
          <w:bCs/>
        </w:rPr>
        <w:t>The BCRC</w:t>
      </w:r>
      <w:r w:rsidRPr="003470A6">
        <w:rPr>
          <w:rFonts w:eastAsia="DengXian"/>
          <w:b/>
          <w:bCs/>
        </w:rPr>
        <w:t xml:space="preserve"> Argentina</w:t>
      </w:r>
      <w:r>
        <w:rPr>
          <w:rFonts w:eastAsia="DengXian"/>
        </w:rPr>
        <w:t xml:space="preserve"> is participating in the implementation of</w:t>
      </w:r>
      <w:r w:rsidRPr="003470A6">
        <w:rPr>
          <w:rFonts w:eastAsia="DengXian"/>
        </w:rPr>
        <w:t xml:space="preserve"> the project titled </w:t>
      </w:r>
      <w:r>
        <w:rPr>
          <w:rFonts w:eastAsia="DengXian"/>
        </w:rPr>
        <w:t>“</w:t>
      </w:r>
      <w:r w:rsidRPr="003470A6">
        <w:rPr>
          <w:rFonts w:eastAsia="DengXian"/>
        </w:rPr>
        <w:t>Strengthening National Initiatives and Improvement of Regional Cooperation for the Environmentally Sound Management of POPs in Waste Electrical and Electronic Equipment (WEEE) in Latin American Countries</w:t>
      </w:r>
      <w:r>
        <w:rPr>
          <w:rFonts w:eastAsia="DengXian"/>
        </w:rPr>
        <w:t>”</w:t>
      </w:r>
      <w:r w:rsidR="00924213">
        <w:rPr>
          <w:rFonts w:eastAsia="DengXian"/>
        </w:rPr>
        <w:t xml:space="preserve"> with focus on Argentina (</w:t>
      </w:r>
      <w:r w:rsidR="00924213" w:rsidRPr="00924213">
        <w:rPr>
          <w:rFonts w:eastAsia="DengXian"/>
          <w:b/>
          <w:bCs/>
        </w:rPr>
        <w:t>WEEE Argentina</w:t>
      </w:r>
      <w:r w:rsidR="00924213">
        <w:rPr>
          <w:rFonts w:eastAsia="DengXian"/>
        </w:rPr>
        <w:t>)</w:t>
      </w:r>
      <w:r w:rsidRPr="003470A6">
        <w:rPr>
          <w:rFonts w:eastAsia="DengXian"/>
        </w:rPr>
        <w:t>.</w:t>
      </w:r>
      <w:r w:rsidRPr="003470A6">
        <w:rPr>
          <w:rFonts w:eastAsia="DengXian"/>
        </w:rPr>
        <w:t xml:space="preserve"> More information is available at “</w:t>
      </w:r>
      <w:hyperlink r:id="rId6" w:history="1">
        <w:r w:rsidRPr="003470A6">
          <w:rPr>
            <w:rFonts w:eastAsia="DengXian"/>
          </w:rPr>
          <w:t>https://bcrc-argentina.net.ar/raee-argentina-2/</w:t>
        </w:r>
      </w:hyperlink>
      <w:r w:rsidRPr="003470A6">
        <w:rPr>
          <w:rFonts w:eastAsia="DengXian"/>
        </w:rPr>
        <w:t xml:space="preserve"> </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lang w:val="es-ES"/>
        </w:rPr>
      </w:pPr>
      <w:r w:rsidRPr="003470A6">
        <w:rPr>
          <w:rFonts w:eastAsia="DengXian"/>
        </w:rPr>
        <w:t xml:space="preserve">The project has a duration of five years and its scope is regional. </w:t>
      </w:r>
      <w:proofErr w:type="spellStart"/>
      <w:r w:rsidR="00924213">
        <w:rPr>
          <w:rFonts w:eastAsia="DengXian"/>
          <w:lang w:val="es-ES"/>
        </w:rPr>
        <w:t>Besides</w:t>
      </w:r>
      <w:proofErr w:type="spellEnd"/>
      <w:r w:rsidR="00924213">
        <w:rPr>
          <w:rFonts w:eastAsia="DengXian"/>
          <w:lang w:val="es-ES"/>
        </w:rPr>
        <w:t xml:space="preserve"> </w:t>
      </w:r>
      <w:r w:rsidRPr="003470A6">
        <w:rPr>
          <w:rFonts w:eastAsia="DengXian"/>
          <w:lang w:val="es-ES"/>
        </w:rPr>
        <w:t xml:space="preserve">Argentina, </w:t>
      </w:r>
      <w:proofErr w:type="spellStart"/>
      <w:r w:rsidR="00924213">
        <w:rPr>
          <w:rFonts w:eastAsia="DengXian"/>
          <w:lang w:val="es-ES"/>
        </w:rPr>
        <w:t>also</w:t>
      </w:r>
      <w:proofErr w:type="spellEnd"/>
      <w:r w:rsidR="00924213" w:rsidRPr="003470A6">
        <w:rPr>
          <w:rFonts w:eastAsia="DengXian"/>
          <w:lang w:val="es-ES"/>
        </w:rPr>
        <w:t xml:space="preserve"> </w:t>
      </w:r>
      <w:r w:rsidRPr="003470A6">
        <w:rPr>
          <w:rFonts w:eastAsia="DengXian"/>
          <w:lang w:val="es-ES"/>
        </w:rPr>
        <w:t>Bolivia</w:t>
      </w:r>
      <w:r>
        <w:rPr>
          <w:rFonts w:eastAsia="DengXian"/>
          <w:lang w:val="es-ES"/>
        </w:rPr>
        <w:t xml:space="preserve">, </w:t>
      </w:r>
      <w:r w:rsidRPr="003470A6">
        <w:rPr>
          <w:rFonts w:eastAsia="DengXian"/>
          <w:lang w:val="es-ES"/>
        </w:rPr>
        <w:t xml:space="preserve">Chile, Costa Rica; Ecuador, Salvador; Guatemala; Honduras; Nicaragua; </w:t>
      </w:r>
      <w:proofErr w:type="spellStart"/>
      <w:r w:rsidRPr="003470A6">
        <w:rPr>
          <w:rFonts w:eastAsia="DengXian"/>
          <w:lang w:val="es-ES"/>
        </w:rPr>
        <w:t>Panama</w:t>
      </w:r>
      <w:proofErr w:type="spellEnd"/>
      <w:r w:rsidRPr="003470A6">
        <w:rPr>
          <w:rFonts w:eastAsia="DengXian"/>
          <w:lang w:val="es-ES"/>
        </w:rPr>
        <w:t xml:space="preserve">; </w:t>
      </w:r>
      <w:proofErr w:type="spellStart"/>
      <w:r w:rsidRPr="003470A6">
        <w:rPr>
          <w:rFonts w:eastAsia="DengXian"/>
          <w:lang w:val="es-ES"/>
        </w:rPr>
        <w:t>Peru</w:t>
      </w:r>
      <w:proofErr w:type="spellEnd"/>
      <w:r w:rsidRPr="003470A6">
        <w:rPr>
          <w:rFonts w:eastAsia="DengXian"/>
          <w:lang w:val="es-ES"/>
        </w:rPr>
        <w:t>; Uruguay and Venezuela</w:t>
      </w:r>
      <w:r w:rsidR="00924213">
        <w:rPr>
          <w:rFonts w:eastAsia="DengXian"/>
          <w:lang w:val="es-ES"/>
        </w:rPr>
        <w:t>,</w:t>
      </w:r>
      <w:r>
        <w:rPr>
          <w:rFonts w:eastAsia="DengXian"/>
          <w:lang w:val="es-ES"/>
        </w:rPr>
        <w:t xml:space="preserve"> </w:t>
      </w:r>
      <w:proofErr w:type="spellStart"/>
      <w:r>
        <w:rPr>
          <w:rFonts w:eastAsia="DengXian"/>
          <w:lang w:val="es-ES"/>
        </w:rPr>
        <w:t>participate</w:t>
      </w:r>
      <w:proofErr w:type="spellEnd"/>
      <w:r w:rsidR="00924213">
        <w:rPr>
          <w:rFonts w:eastAsia="DengXian"/>
          <w:lang w:val="es-ES"/>
        </w:rPr>
        <w:t xml:space="preserve"> in </w:t>
      </w:r>
      <w:proofErr w:type="spellStart"/>
      <w:r w:rsidR="00924213">
        <w:rPr>
          <w:rFonts w:eastAsia="DengXian"/>
          <w:lang w:val="es-ES"/>
        </w:rPr>
        <w:t>the</w:t>
      </w:r>
      <w:proofErr w:type="spellEnd"/>
      <w:r w:rsidR="00924213">
        <w:rPr>
          <w:rFonts w:eastAsia="DengXian"/>
          <w:lang w:val="es-ES"/>
        </w:rPr>
        <w:t xml:space="preserve"> </w:t>
      </w:r>
      <w:proofErr w:type="spellStart"/>
      <w:r w:rsidR="00924213">
        <w:rPr>
          <w:rFonts w:eastAsia="DengXian"/>
          <w:lang w:val="es-ES"/>
        </w:rPr>
        <w:t>project</w:t>
      </w:r>
      <w:proofErr w:type="spellEnd"/>
      <w:r w:rsidRPr="003470A6">
        <w:rPr>
          <w:rFonts w:eastAsia="DengXian"/>
          <w:lang w:val="es-ES"/>
        </w:rPr>
        <w:t>.</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 xml:space="preserve">The United Nations Organization for Industrial Development (UNIDO) is the Implementing Agency, the Executing Partner of the Project in Argentina being the Basel Regional Center for South America (CRBAS) and the GEF (Global </w:t>
      </w:r>
      <w:proofErr w:type="spellStart"/>
      <w:r w:rsidRPr="003470A6">
        <w:rPr>
          <w:rFonts w:eastAsia="DengXian"/>
        </w:rPr>
        <w:t>Enviroment</w:t>
      </w:r>
      <w:proofErr w:type="spellEnd"/>
      <w:r w:rsidRPr="003470A6">
        <w:rPr>
          <w:rFonts w:eastAsia="DengXian"/>
        </w:rPr>
        <w:t xml:space="preserve"> Facility) the Financing Entity. It also has co-financing from the National Government, Universities and the Private Sector.</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The general objective of the project is to achieve the environmentally sound management of WEEE, focusing especially on the management of Persistent Organic Pollutants (POPs), by strengthening national initiatives and improving regional cooperation.</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This project seeks to strengthen public policies in relation to WEEE management, improving and / or expanding the national capacity of the facilities / infrastructure for the dismantling and recycling of electronic waste. Likewise, promoting policies that allow the recycling and use of materials is another of the project's objectives.</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It also seeks to provide advice to relevant sectors and interested parties, in addition to being able to expand knowledge on the subject and disseminate the results obtained throughout the project through training aimed at officials, the private sector, society in general and the media.</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At the regional level, the project will work to harmonize key aspects of e-waste policies, strengthening regional cooperation, information exchange systems, and knowledge management.</w:t>
      </w:r>
    </w:p>
    <w:p w:rsidR="003470A6" w:rsidRPr="003470A6" w:rsidRDefault="00924213"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Pr>
          <w:rFonts w:eastAsia="DengXian"/>
        </w:rPr>
        <w:t>Within the framework of the p</w:t>
      </w:r>
      <w:r w:rsidR="003470A6" w:rsidRPr="003470A6">
        <w:rPr>
          <w:rFonts w:eastAsia="DengXian"/>
        </w:rPr>
        <w:t>roject, various regulatory proposals were worked on to promote the proper management of this type of waste. Likewise, the analysis of the installed capacity available for the management of WEEE will allow us to know what the current situation is and identify opportunities for improvement.</w:t>
      </w:r>
    </w:p>
    <w:p w:rsidR="003470A6" w:rsidRPr="003470A6" w:rsidRDefault="00924213"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Pr>
          <w:rFonts w:eastAsia="DengXian"/>
        </w:rPr>
        <w:t>In this way, the project seeks to direct Argentina</w:t>
      </w:r>
      <w:r w:rsidR="003470A6" w:rsidRPr="003470A6">
        <w:rPr>
          <w:rFonts w:eastAsia="DengXian"/>
        </w:rPr>
        <w:t xml:space="preserve"> towards the correct management of WEEE within the framework of the circular economy and with a view to introducing the principle of extended producer responsibility. To this end, promoting the long-term sustainability of business models dedicated to this task constitutes a central link in promoting reuse, recovery and ultimately the final disposal of this type of waste.</w:t>
      </w:r>
    </w:p>
    <w:p w:rsidR="003470A6" w:rsidRPr="00924213" w:rsidRDefault="00924213"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924213">
        <w:rPr>
          <w:rFonts w:eastAsia="DengXian"/>
        </w:rPr>
        <w:t xml:space="preserve">The BCRC Argentina is also coordinating the implementation of the abovementioned regional project in Ecuador </w:t>
      </w:r>
      <w:r w:rsidRPr="002E0CC8">
        <w:rPr>
          <w:rFonts w:eastAsia="DengXian"/>
          <w:b/>
          <w:bCs/>
        </w:rPr>
        <w:t>(W</w:t>
      </w:r>
      <w:r w:rsidR="003470A6" w:rsidRPr="002E0CC8">
        <w:rPr>
          <w:rFonts w:eastAsia="DengXian"/>
          <w:b/>
          <w:bCs/>
        </w:rPr>
        <w:t>EEE Ecuador</w:t>
      </w:r>
      <w:r w:rsidRPr="002E0CC8">
        <w:rPr>
          <w:rFonts w:eastAsia="DengXian"/>
          <w:b/>
          <w:bCs/>
        </w:rPr>
        <w:t>)</w:t>
      </w:r>
      <w:r w:rsidRPr="00924213">
        <w:rPr>
          <w:rFonts w:eastAsia="DengXian"/>
        </w:rPr>
        <w:t xml:space="preserve">. More information is available at: </w:t>
      </w:r>
      <w:hyperlink r:id="rId7" w:history="1">
        <w:r w:rsidR="003470A6" w:rsidRPr="00924213">
          <w:rPr>
            <w:rFonts w:eastAsia="DengXian"/>
          </w:rPr>
          <w:t>https://bcrc-argentina.net.ar/raee-ecuador-2/</w:t>
        </w:r>
      </w:hyperlink>
    </w:p>
    <w:p w:rsidR="003470A6" w:rsidRPr="00924213" w:rsidRDefault="00924213"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924213">
        <w:rPr>
          <w:rFonts w:eastAsia="DengXian"/>
        </w:rPr>
        <w:t xml:space="preserve">The BCRC Argentina is a member of the </w:t>
      </w:r>
      <w:r w:rsidR="003470A6" w:rsidRPr="00924213">
        <w:rPr>
          <w:rFonts w:eastAsia="DengXian"/>
        </w:rPr>
        <w:t>I</w:t>
      </w:r>
      <w:r w:rsidR="002E0CC8">
        <w:rPr>
          <w:rFonts w:eastAsia="DengXian"/>
        </w:rPr>
        <w:t xml:space="preserve">nternational </w:t>
      </w:r>
      <w:bookmarkStart w:id="2" w:name="_GoBack"/>
      <w:bookmarkEnd w:id="2"/>
      <w:proofErr w:type="gramStart"/>
      <w:r w:rsidR="002E0CC8">
        <w:rPr>
          <w:rFonts w:eastAsia="DengXian"/>
        </w:rPr>
        <w:t>e-waste</w:t>
      </w:r>
      <w:proofErr w:type="gramEnd"/>
      <w:r w:rsidR="002E0CC8">
        <w:rPr>
          <w:rFonts w:eastAsia="DengXian"/>
        </w:rPr>
        <w:t xml:space="preserve"> Management Network</w:t>
      </w:r>
      <w:r w:rsidR="003470A6" w:rsidRPr="00924213">
        <w:rPr>
          <w:rFonts w:eastAsia="DengXian"/>
        </w:rPr>
        <w:t xml:space="preserve"> (IEMN)</w:t>
      </w:r>
      <w:r w:rsidRPr="00924213">
        <w:rPr>
          <w:rFonts w:eastAsia="DengXian"/>
        </w:rPr>
        <w:t xml:space="preserve">. More information is available at: </w:t>
      </w:r>
      <w:hyperlink r:id="rId8" w:history="1">
        <w:r w:rsidR="003470A6" w:rsidRPr="00924213">
          <w:rPr>
            <w:rFonts w:eastAsia="DengXian"/>
          </w:rPr>
          <w:t>https://bcrc-argentina.net.ar/international-e-waste-management-network-iemn/</w:t>
        </w:r>
      </w:hyperlink>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The United States Environmental Protection Agency (U.S. EPA) and the </w:t>
      </w:r>
      <w:hyperlink r:id="rId9" w:history="1">
        <w:r w:rsidRPr="003470A6">
          <w:rPr>
            <w:rFonts w:eastAsia="DengXian"/>
          </w:rPr>
          <w:t>Taiwan Environmental Protection Administration (Taiwan EPA)</w:t>
        </w:r>
      </w:hyperlink>
      <w:r w:rsidR="00924213">
        <w:rPr>
          <w:rFonts w:eastAsia="DengXian"/>
        </w:rPr>
        <w:t> have collaborated through this</w:t>
      </w:r>
      <w:r w:rsidRPr="003470A6">
        <w:rPr>
          <w:rFonts w:eastAsia="DengXian"/>
        </w:rPr>
        <w:t> </w:t>
      </w:r>
      <w:hyperlink r:id="rId10" w:history="1">
        <w:r w:rsidRPr="003470A6">
          <w:rPr>
            <w:rFonts w:eastAsia="DengXian"/>
          </w:rPr>
          <w:t>International  Environmental Partnership</w:t>
        </w:r>
      </w:hyperlink>
      <w:r w:rsidR="00924213">
        <w:rPr>
          <w:rFonts w:eastAsia="DengXian"/>
        </w:rPr>
        <w:t xml:space="preserve"> </w:t>
      </w:r>
      <w:r w:rsidRPr="003470A6">
        <w:rPr>
          <w:rFonts w:eastAsia="DengXian"/>
        </w:rPr>
        <w:t>since 2011 to build global capacity for the environmentally sound management of waste electrical a</w:t>
      </w:r>
      <w:r w:rsidR="00924213">
        <w:rPr>
          <w:rFonts w:eastAsia="DengXian"/>
        </w:rPr>
        <w:t xml:space="preserve">nd electronic equipment (WEEE). </w:t>
      </w:r>
      <w:r w:rsidRPr="003470A6">
        <w:rPr>
          <w:rFonts w:eastAsia="DengXian"/>
        </w:rPr>
        <w:t xml:space="preserve">To support </w:t>
      </w:r>
      <w:r w:rsidRPr="003470A6">
        <w:rPr>
          <w:rFonts w:eastAsia="DengXian"/>
        </w:rPr>
        <w:lastRenderedPageBreak/>
        <w:t>this goal, U.S. EPA and Taiwan EPA coordinate the International E-Waste Management Network (IEMN).</w:t>
      </w:r>
    </w:p>
    <w:p w:rsidR="003470A6" w:rsidRPr="007B2999" w:rsidRDefault="007B2999"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7B2999">
        <w:rPr>
          <w:rFonts w:eastAsia="DengXian"/>
        </w:rPr>
        <w:t xml:space="preserve">Participation in </w:t>
      </w:r>
      <w:r w:rsidR="003470A6" w:rsidRPr="007B2999">
        <w:rPr>
          <w:rFonts w:eastAsia="DengXian"/>
        </w:rPr>
        <w:t>IEMN 2019</w:t>
      </w:r>
      <w:r w:rsidRPr="007B2999">
        <w:rPr>
          <w:rFonts w:eastAsia="DengXian"/>
        </w:rPr>
        <w:t xml:space="preserve">. </w:t>
      </w:r>
      <w:r>
        <w:rPr>
          <w:rFonts w:eastAsia="DengXian"/>
        </w:rPr>
        <w:t>Taiwan EPA partnered</w:t>
      </w:r>
      <w:r w:rsidR="003470A6" w:rsidRPr="007B2999">
        <w:rPr>
          <w:rFonts w:eastAsia="DengXian"/>
        </w:rPr>
        <w:t xml:space="preserve"> with US EPA to host the 9th Meeting of International E-waste Management Network</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The 9th annual meeting of the International E-waste Management Network was held in Bangkok, Thailand from December 2-4, 2019. Over 50 experts and scholars from nine countries shared their experiences with building partnerships concerning E-waste management, recycling management systems and innovative technologies, thereby strengthening the sharing of information on international E-waste management.</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3470A6">
        <w:rPr>
          <w:rFonts w:eastAsia="DengXian"/>
        </w:rPr>
        <w:t xml:space="preserve">The Taiwan EPA pointed out that Taiwan has helped to establish successful recycling policy models in many countries. This year, the meeting focused on the communication between countries to improve E-waste management systems. Experts from Brazil shared information on their challenges and on the implementation of a new E-waste reverse logistics system plan. This will be an important incentive for partner countries to set up resource recycling systems, </w:t>
      </w:r>
      <w:proofErr w:type="gramStart"/>
      <w:r w:rsidRPr="003470A6">
        <w:rPr>
          <w:rFonts w:eastAsia="DengXian"/>
        </w:rPr>
        <w:t>and also</w:t>
      </w:r>
      <w:proofErr w:type="gramEnd"/>
      <w:r w:rsidRPr="003470A6">
        <w:rPr>
          <w:rFonts w:eastAsia="DengXian"/>
        </w:rPr>
        <w:t xml:space="preserve"> demonstrates the impact over the years of Taiwan-US cooperation and partner meetings in the field of international e-waste management.</w:t>
      </w:r>
    </w:p>
    <w:p w:rsidR="003470A6" w:rsidRPr="003470A6" w:rsidRDefault="007B2999"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r w:rsidRPr="007B2999">
        <w:rPr>
          <w:rFonts w:eastAsia="DengXian"/>
          <w:b/>
          <w:bCs/>
        </w:rPr>
        <w:t xml:space="preserve">The Stockholm Convention regional </w:t>
      </w:r>
      <w:proofErr w:type="spellStart"/>
      <w:r w:rsidRPr="007B2999">
        <w:rPr>
          <w:rFonts w:eastAsia="DengXian"/>
          <w:b/>
          <w:bCs/>
        </w:rPr>
        <w:t>centre</w:t>
      </w:r>
      <w:proofErr w:type="spellEnd"/>
      <w:r w:rsidRPr="007B2999">
        <w:rPr>
          <w:rFonts w:eastAsia="DengXian"/>
          <w:b/>
          <w:bCs/>
        </w:rPr>
        <w:t xml:space="preserve"> in Panama</w:t>
      </w:r>
      <w:r w:rsidRPr="007B2999">
        <w:rPr>
          <w:rFonts w:eastAsia="DengXian"/>
          <w:b/>
          <w:bCs/>
        </w:rPr>
        <w:t xml:space="preserve"> </w:t>
      </w:r>
      <w:r w:rsidR="003470A6" w:rsidRPr="003470A6">
        <w:rPr>
          <w:rFonts w:eastAsia="DengXian"/>
        </w:rPr>
        <w:t>During the meeting, Taiwan shared information on its successful recycling system with the partner countries and presented several new sustainable innovations for recycling, thus promoting Taiwan’s recycling industry to the world.</w:t>
      </w:r>
    </w:p>
    <w:p w:rsidR="007B2999" w:rsidRPr="007B2999" w:rsidRDefault="007B2999" w:rsidP="007B2999">
      <w:pPr>
        <w:numPr>
          <w:ilvl w:val="0"/>
          <w:numId w:val="4"/>
        </w:numPr>
        <w:tabs>
          <w:tab w:val="clear" w:pos="1247"/>
          <w:tab w:val="clear" w:pos="1814"/>
          <w:tab w:val="clear" w:pos="2381"/>
          <w:tab w:val="clear" w:pos="2948"/>
          <w:tab w:val="clear" w:pos="3515"/>
        </w:tabs>
        <w:spacing w:after="120"/>
        <w:ind w:left="1276" w:firstLine="0"/>
        <w:rPr>
          <w:rFonts w:eastAsia="DengXian"/>
        </w:rPr>
      </w:pPr>
      <w:r w:rsidRPr="007B2999">
        <w:rPr>
          <w:rFonts w:eastAsia="DengXian"/>
        </w:rPr>
        <w:t xml:space="preserve">The Stockholm Convention regional </w:t>
      </w:r>
      <w:proofErr w:type="spellStart"/>
      <w:r w:rsidRPr="007B2999">
        <w:rPr>
          <w:rFonts w:eastAsia="DengXian"/>
        </w:rPr>
        <w:t>centre</w:t>
      </w:r>
      <w:proofErr w:type="spellEnd"/>
      <w:r w:rsidRPr="007B2999">
        <w:rPr>
          <w:rFonts w:eastAsia="DengXian"/>
        </w:rPr>
        <w:t xml:space="preserve"> in Panama, together with the Ministry of Health of Panama, started the implementation of the project entitled “Strengthening of national initiatives and enhancement of regional cooperation for the environmentally sound management of POPs in electronic or electrical equipment (WEEE) waste in Latin-American countries” with the support from the United Nations Industrial Development Organization (UNIDO)/GEF. The project was launched on October 11, 2019 in Panama. The national project contains two major components: 1) Strengthening of national e-waste management initiatives, and, 2) Strengthening of national capacities on e-waste dismantling and recycling facilities/infrastructure. Under this project the activities thus far implemented are as following: </w:t>
      </w:r>
    </w:p>
    <w:p w:rsidR="003470A6" w:rsidRPr="003470A6" w:rsidRDefault="003470A6" w:rsidP="003470A6">
      <w:pPr>
        <w:numPr>
          <w:ilvl w:val="0"/>
          <w:numId w:val="4"/>
        </w:numPr>
        <w:tabs>
          <w:tab w:val="clear" w:pos="1247"/>
          <w:tab w:val="clear" w:pos="1814"/>
          <w:tab w:val="clear" w:pos="2381"/>
          <w:tab w:val="clear" w:pos="2948"/>
          <w:tab w:val="clear" w:pos="3515"/>
        </w:tabs>
        <w:spacing w:after="120"/>
        <w:ind w:left="1276" w:firstLine="0"/>
        <w:rPr>
          <w:rFonts w:eastAsia="DengXian"/>
        </w:rPr>
      </w:pPr>
    </w:p>
    <w:p w:rsidR="00F47982" w:rsidRPr="00D61901" w:rsidRDefault="00F47982" w:rsidP="00F47982">
      <w:pPr>
        <w:numPr>
          <w:ilvl w:val="0"/>
          <w:numId w:val="5"/>
        </w:numPr>
        <w:tabs>
          <w:tab w:val="left" w:pos="720"/>
        </w:tabs>
        <w:snapToGrid w:val="0"/>
        <w:spacing w:after="120"/>
        <w:ind w:left="1276" w:firstLine="567"/>
      </w:pPr>
      <w:r w:rsidRPr="00ED1503">
        <w:t xml:space="preserve">A WEEE </w:t>
      </w:r>
      <w:r>
        <w:t xml:space="preserve">intersectoral </w:t>
      </w:r>
      <w:r w:rsidRPr="00ED1503">
        <w:t xml:space="preserve">commission </w:t>
      </w:r>
      <w:r>
        <w:t>having</w:t>
      </w:r>
      <w:r w:rsidRPr="00ED1503">
        <w:t xml:space="preserve"> responsibility </w:t>
      </w:r>
      <w:r>
        <w:t>to</w:t>
      </w:r>
      <w:r w:rsidRPr="00ED1503">
        <w:t xml:space="preserve"> review, evaluate, and make decisions about the project</w:t>
      </w:r>
      <w:r>
        <w:t xml:space="preserve"> has been created. The commission is </w:t>
      </w:r>
      <w:r w:rsidRPr="00ED1503">
        <w:t>represent</w:t>
      </w:r>
      <w:r>
        <w:t xml:space="preserve">ed by the </w:t>
      </w:r>
      <w:r w:rsidRPr="00D61901">
        <w:t>Government Institutions (Ministry of Health, University of Panama, Technology University of Panama, National Customs Authority, Urban and Residential Cleaning Authority, Ministry of the Environment, Ministry of Commerce and Industries, Ministry of Education</w:t>
      </w:r>
      <w:r>
        <w:t xml:space="preserve"> and</w:t>
      </w:r>
      <w:r w:rsidRPr="00D61901">
        <w:t xml:space="preserve"> National Secretariat of Energy</w:t>
      </w:r>
      <w:r>
        <w:t>)</w:t>
      </w:r>
      <w:r w:rsidRPr="00D61901">
        <w:t>,</w:t>
      </w:r>
      <w:r>
        <w:t xml:space="preserve"> n</w:t>
      </w:r>
      <w:r w:rsidRPr="00D61901">
        <w:t>on-profit organizations</w:t>
      </w:r>
      <w:r>
        <w:t xml:space="preserve"> (</w:t>
      </w:r>
      <w:r w:rsidRPr="00D61901">
        <w:t>Association of Municipalities of Panama</w:t>
      </w:r>
      <w:r>
        <w:t xml:space="preserve">) and private sector (Industrial Syndicate of Panama). </w:t>
      </w:r>
      <w:r w:rsidRPr="00D61901">
        <w:t>Participation according to gender is: 45% of the members are male and 55% are female.</w:t>
      </w:r>
      <w:r>
        <w:t xml:space="preserve"> The commission has meetings every month and discusses progress of activities of the project;</w:t>
      </w:r>
    </w:p>
    <w:p w:rsidR="00F47982" w:rsidRDefault="00F47982" w:rsidP="00F47982">
      <w:pPr>
        <w:numPr>
          <w:ilvl w:val="0"/>
          <w:numId w:val="5"/>
        </w:numPr>
        <w:tabs>
          <w:tab w:val="left" w:pos="720"/>
        </w:tabs>
        <w:snapToGrid w:val="0"/>
        <w:spacing w:after="120"/>
        <w:ind w:left="1276" w:firstLine="567"/>
      </w:pPr>
      <w:r>
        <w:t>The current legal framework was reviewed and discussed with the members of the WEEE Intersectoral Commission. Similarly, a review of the international legal framework was made, considering the countries of Costa Rica, Colombia, Chile, Peru, and Spain. The e-waste policies from Colombia and Costa Rica were characterized as the most completed of the region. The commissioners conclude the importance of including some concepts for a national policy of WEEE management such as: Extended Producer Responsibility (ERP), creative incentives, resource recovery, among others;</w:t>
      </w:r>
    </w:p>
    <w:p w:rsidR="00F47982" w:rsidRDefault="00F47982" w:rsidP="00F47982">
      <w:pPr>
        <w:numPr>
          <w:ilvl w:val="0"/>
          <w:numId w:val="5"/>
        </w:numPr>
        <w:tabs>
          <w:tab w:val="left" w:pos="720"/>
        </w:tabs>
        <w:snapToGrid w:val="0"/>
        <w:spacing w:after="120"/>
        <w:ind w:left="1276" w:firstLine="567"/>
      </w:pPr>
      <w:r w:rsidRPr="004A3EBD">
        <w:rPr>
          <w:rFonts w:cs="Calibri"/>
        </w:rPr>
        <w:t xml:space="preserve">A review of existing financial mechanisms in other countries is carrying out to design a national sustainable </w:t>
      </w:r>
      <w:r w:rsidRPr="006F64D0">
        <w:t>system</w:t>
      </w:r>
      <w:r>
        <w:t>;</w:t>
      </w:r>
    </w:p>
    <w:p w:rsidR="00F47982" w:rsidRDefault="00F47982" w:rsidP="00F47982">
      <w:pPr>
        <w:numPr>
          <w:ilvl w:val="0"/>
          <w:numId w:val="5"/>
        </w:numPr>
        <w:tabs>
          <w:tab w:val="left" w:pos="720"/>
        </w:tabs>
        <w:snapToGrid w:val="0"/>
        <w:spacing w:after="120"/>
        <w:ind w:left="1276" w:firstLine="567"/>
      </w:pPr>
      <w:r w:rsidRPr="00D61901">
        <w:t xml:space="preserve">As part of component 2 of the </w:t>
      </w:r>
      <w:r>
        <w:t>project</w:t>
      </w:r>
      <w:r w:rsidRPr="00D61901">
        <w:t>, visits have begun to companies that currently have permit procedures to carry out activities related to WEEE management in Panama</w:t>
      </w:r>
      <w:r>
        <w:t>;</w:t>
      </w:r>
    </w:p>
    <w:p w:rsidR="00F47982" w:rsidRDefault="00F47982" w:rsidP="00F47982">
      <w:pPr>
        <w:numPr>
          <w:ilvl w:val="0"/>
          <w:numId w:val="5"/>
        </w:numPr>
        <w:tabs>
          <w:tab w:val="left" w:pos="720"/>
        </w:tabs>
        <w:snapToGrid w:val="0"/>
        <w:spacing w:after="120"/>
        <w:ind w:left="1276" w:firstLine="567"/>
      </w:pPr>
      <w:r w:rsidRPr="00B645B2">
        <w:rPr>
          <w:rFonts w:eastAsia="Times New Roman"/>
          <w:lang w:val="en-GB" w:eastAsia="en-US"/>
        </w:rPr>
        <w:t>Approaches have been made with the authorities of the universities</w:t>
      </w:r>
      <w:r>
        <w:rPr>
          <w:rFonts w:eastAsia="Times New Roman"/>
          <w:lang w:val="en-GB" w:eastAsia="en-US"/>
        </w:rPr>
        <w:t xml:space="preserve"> </w:t>
      </w:r>
      <w:r>
        <w:t>to identify the universities that have an academic offer of careers related to the subject of WEEE, whether they have experience or show a greater interest in adding WEEE to their educational activities, continuing education and research. The two main state universities in Panama: University of Panama (February 23, 2020) and Technology University of Panama (</w:t>
      </w:r>
      <w:r w:rsidRPr="004A3EBD">
        <w:t>a meeting will be held after the state of emergency established by COVID-19</w:t>
      </w:r>
      <w:r>
        <w:t>);</w:t>
      </w:r>
    </w:p>
    <w:p w:rsidR="00F47982" w:rsidRPr="008B45DE" w:rsidRDefault="00F47982" w:rsidP="00F47982">
      <w:pPr>
        <w:numPr>
          <w:ilvl w:val="0"/>
          <w:numId w:val="5"/>
        </w:numPr>
        <w:tabs>
          <w:tab w:val="clear" w:pos="1247"/>
        </w:tabs>
        <w:snapToGrid w:val="0"/>
        <w:spacing w:after="120"/>
        <w:ind w:left="1276" w:firstLine="567"/>
      </w:pPr>
      <w:r w:rsidRPr="004A3816">
        <w:t>The Sub-Commission for Training and University Relations has initially prepared a pilot training plan for eight municipalities in the Republic of Panama</w:t>
      </w:r>
      <w:r>
        <w:t xml:space="preserve">, including </w:t>
      </w:r>
      <w:r w:rsidRPr="004A3816">
        <w:t xml:space="preserve">government agencies, private companies, universities, NGOs, media, members of social organizations, distribution </w:t>
      </w:r>
      <w:r w:rsidRPr="004A3816">
        <w:lastRenderedPageBreak/>
        <w:t xml:space="preserve">companies, and WEEE managers. </w:t>
      </w:r>
      <w:r>
        <w:t>The project w</w:t>
      </w:r>
      <w:r w:rsidRPr="004A3816">
        <w:t>ill establish a “support team” from the result of the participation of the different actors from the public and private sectors, to create trainer of trainer in each sector. Equally, the awareness and dissemination of the project in primary, middle and upper educations will be include</w:t>
      </w:r>
      <w:r>
        <w:t>d</w:t>
      </w:r>
      <w:r w:rsidRPr="004A3816">
        <w:t>.</w:t>
      </w:r>
    </w:p>
    <w:bookmarkEnd w:id="1"/>
    <w:p w:rsidR="00F47982" w:rsidRPr="007B2999" w:rsidRDefault="00F47982" w:rsidP="007B2999">
      <w:pPr>
        <w:numPr>
          <w:ilvl w:val="0"/>
          <w:numId w:val="4"/>
        </w:numPr>
        <w:tabs>
          <w:tab w:val="clear" w:pos="1247"/>
          <w:tab w:val="clear" w:pos="1814"/>
          <w:tab w:val="clear" w:pos="2381"/>
          <w:tab w:val="clear" w:pos="2948"/>
          <w:tab w:val="clear" w:pos="3515"/>
        </w:tabs>
        <w:spacing w:after="120"/>
        <w:ind w:left="1276" w:firstLine="0"/>
        <w:rPr>
          <w:rFonts w:eastAsia="DengXian"/>
        </w:rPr>
      </w:pPr>
      <w:r w:rsidRPr="007B2999">
        <w:rPr>
          <w:rFonts w:eastAsia="DengXian"/>
          <w:b/>
          <w:bCs/>
        </w:rPr>
        <w:t xml:space="preserve">The Basel Convention regional </w:t>
      </w:r>
      <w:proofErr w:type="spellStart"/>
      <w:r w:rsidRPr="007B2999">
        <w:rPr>
          <w:rFonts w:eastAsia="DengXian"/>
          <w:b/>
          <w:bCs/>
        </w:rPr>
        <w:t>centre</w:t>
      </w:r>
      <w:proofErr w:type="spellEnd"/>
      <w:r w:rsidRPr="007B2999">
        <w:rPr>
          <w:rFonts w:eastAsia="DengXian"/>
          <w:b/>
          <w:bCs/>
        </w:rPr>
        <w:t xml:space="preserve"> for the Caribbean region (BCRC Caribbean)</w:t>
      </w:r>
      <w:r w:rsidRPr="007B2999">
        <w:rPr>
          <w:rFonts w:eastAsia="DengXian"/>
        </w:rPr>
        <w:t xml:space="preserve"> is working to develop a project proposal on the management of e-waste for the Caribbean region for the consideration of GEF. The Centre has also developed some communication materials which are expected to be launched on 5 June 2020 as it relates to POPs contained in e-waste.</w:t>
      </w:r>
    </w:p>
    <w:tbl>
      <w:tblPr>
        <w:tblW w:w="0" w:type="auto"/>
        <w:tblLook w:val="04A0" w:firstRow="1" w:lastRow="0" w:firstColumn="1" w:lastColumn="0" w:noHBand="0" w:noVBand="1"/>
      </w:tblPr>
      <w:tblGrid>
        <w:gridCol w:w="1898"/>
        <w:gridCol w:w="1899"/>
        <w:gridCol w:w="1899"/>
        <w:gridCol w:w="1900"/>
        <w:gridCol w:w="1900"/>
      </w:tblGrid>
      <w:tr w:rsidR="00F47982" w:rsidRPr="00141B6D" w:rsidTr="00B35238">
        <w:tc>
          <w:tcPr>
            <w:tcW w:w="1898" w:type="dxa"/>
            <w:shd w:val="clear" w:color="auto" w:fill="auto"/>
          </w:tcPr>
          <w:p w:rsidR="00F47982" w:rsidRPr="00141B6D" w:rsidRDefault="00F47982" w:rsidP="00B35238">
            <w:pPr>
              <w:pStyle w:val="Normal-pool"/>
              <w:spacing w:before="320"/>
              <w:jc w:val="center"/>
              <w:rPr>
                <w:sz w:val="10"/>
                <w:szCs w:val="10"/>
              </w:rPr>
            </w:pPr>
          </w:p>
        </w:tc>
        <w:tc>
          <w:tcPr>
            <w:tcW w:w="1899" w:type="dxa"/>
            <w:shd w:val="clear" w:color="auto" w:fill="auto"/>
          </w:tcPr>
          <w:p w:rsidR="00F47982" w:rsidRPr="00141B6D" w:rsidRDefault="00F47982" w:rsidP="00B35238">
            <w:pPr>
              <w:pStyle w:val="Normal-pool"/>
              <w:spacing w:before="320"/>
              <w:rPr>
                <w:sz w:val="10"/>
                <w:szCs w:val="10"/>
              </w:rPr>
            </w:pPr>
          </w:p>
        </w:tc>
        <w:tc>
          <w:tcPr>
            <w:tcW w:w="1899" w:type="dxa"/>
            <w:tcBorders>
              <w:bottom w:val="single" w:sz="4" w:space="0" w:color="auto"/>
            </w:tcBorders>
            <w:shd w:val="clear" w:color="auto" w:fill="auto"/>
          </w:tcPr>
          <w:p w:rsidR="00F47982" w:rsidRPr="00141B6D" w:rsidRDefault="00F47982" w:rsidP="00B35238">
            <w:pPr>
              <w:pStyle w:val="Normal-pool"/>
              <w:spacing w:before="320"/>
              <w:rPr>
                <w:sz w:val="10"/>
                <w:szCs w:val="10"/>
              </w:rPr>
            </w:pPr>
          </w:p>
        </w:tc>
        <w:tc>
          <w:tcPr>
            <w:tcW w:w="1900" w:type="dxa"/>
            <w:shd w:val="clear" w:color="auto" w:fill="auto"/>
          </w:tcPr>
          <w:p w:rsidR="00F47982" w:rsidRPr="00141B6D" w:rsidRDefault="00F47982" w:rsidP="00B35238">
            <w:pPr>
              <w:pStyle w:val="Normal-pool"/>
              <w:spacing w:before="320"/>
              <w:rPr>
                <w:sz w:val="10"/>
                <w:szCs w:val="10"/>
              </w:rPr>
            </w:pPr>
          </w:p>
        </w:tc>
        <w:tc>
          <w:tcPr>
            <w:tcW w:w="1900" w:type="dxa"/>
            <w:shd w:val="clear" w:color="auto" w:fill="auto"/>
          </w:tcPr>
          <w:p w:rsidR="00F47982" w:rsidRPr="00141B6D" w:rsidRDefault="00F47982" w:rsidP="00B35238">
            <w:pPr>
              <w:pStyle w:val="Normal-pool"/>
              <w:spacing w:before="320"/>
              <w:rPr>
                <w:sz w:val="10"/>
                <w:szCs w:val="10"/>
              </w:rPr>
            </w:pPr>
          </w:p>
        </w:tc>
      </w:tr>
    </w:tbl>
    <w:p w:rsidR="00F47982" w:rsidRPr="00707828" w:rsidRDefault="00F47982" w:rsidP="00F47982">
      <w:pPr>
        <w:rPr>
          <w:lang w:val="en-GB"/>
        </w:rPr>
      </w:pPr>
    </w:p>
    <w:p w:rsidR="00F47982" w:rsidRPr="00E108E9" w:rsidRDefault="00F47982" w:rsidP="00F47982">
      <w:pPr>
        <w:rPr>
          <w:lang w:val="en-GB"/>
        </w:rPr>
      </w:pPr>
    </w:p>
    <w:p w:rsidR="00A34E61" w:rsidRDefault="002E0CC8"/>
    <w:sectPr w:rsidR="00A34E61" w:rsidSect="00B75A5F">
      <w:headerReference w:type="even" r:id="rId11"/>
      <w:headerReference w:type="default" r:id="rId12"/>
      <w:footerReference w:type="even" r:id="rId13"/>
      <w:footerReference w:type="default" r:id="rId14"/>
      <w:headerReference w:type="first" r:id="rId15"/>
      <w:footnotePr>
        <w:numRestart w:val="eachSect"/>
      </w:footnotePr>
      <w:pgSz w:w="11906" w:h="16838" w:code="9"/>
      <w:pgMar w:top="907" w:right="992" w:bottom="1418" w:left="1418" w:header="539" w:footer="97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16" w:rsidRPr="003C7141" w:rsidRDefault="002E0CC8" w:rsidP="003C7141">
    <w:pPr>
      <w:pStyle w:val="Footer"/>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16" w:rsidRPr="003C7141" w:rsidRDefault="002E0CC8" w:rsidP="003C7141">
    <w:pPr>
      <w:pStyle w:val="Footer"/>
      <w:jc w:val="right"/>
      <w:rPr>
        <w:b/>
        <w:bCs/>
      </w:rPr>
    </w:pPr>
    <w:r w:rsidRPr="002833BF">
      <w:rPr>
        <w:b/>
        <w:bCs/>
      </w:rPr>
      <w:fldChar w:fldCharType="begin"/>
    </w:r>
    <w:r w:rsidRPr="002833BF">
      <w:rPr>
        <w:b/>
        <w:bCs/>
      </w:rPr>
      <w:instrText xml:space="preserve"> PAGE   \* MERGEFORMAT </w:instrText>
    </w:r>
    <w:r w:rsidRPr="002833BF">
      <w:rPr>
        <w:b/>
        <w:bCs/>
      </w:rPr>
      <w:fldChar w:fldCharType="separate"/>
    </w:r>
    <w:r>
      <w:rPr>
        <w:b/>
        <w:bCs/>
        <w:noProof/>
      </w:rPr>
      <w:t>4</w:t>
    </w:r>
    <w:r w:rsidRPr="002833BF">
      <w:rPr>
        <w:b/>
        <w:bC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16" w:rsidRDefault="002E0CC8" w:rsidP="00A074C3">
    <w:pPr>
      <w:pStyle w:val="Header"/>
    </w:pPr>
    <w:r w:rsidRPr="009A64C8">
      <w:rPr>
        <w:bCs/>
        <w:szCs w:val="18"/>
      </w:rPr>
      <w:t>UNEP/CHW</w:t>
    </w:r>
    <w:r>
      <w:t>/</w:t>
    </w:r>
    <w:r w:rsidRPr="00744DBD">
      <w:t>OEWG.12/</w:t>
    </w:r>
    <w:r>
      <w:t>INF/32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16" w:rsidRDefault="002E0CC8" w:rsidP="00A074C3">
    <w:pPr>
      <w:pStyle w:val="Header"/>
      <w:jc w:val="right"/>
    </w:pPr>
    <w:r w:rsidRPr="009A64C8">
      <w:rPr>
        <w:bCs/>
        <w:szCs w:val="18"/>
      </w:rPr>
      <w:t>UNEP/CHW</w:t>
    </w:r>
    <w:r>
      <w:t>/</w:t>
    </w:r>
    <w:r w:rsidRPr="00744DBD">
      <w:t>OEWG.12/</w:t>
    </w:r>
    <w:r>
      <w:t>INF/32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16" w:rsidRDefault="002E0CC8" w:rsidP="00C17A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46A"/>
    <w:multiLevelType w:val="hybridMultilevel"/>
    <w:tmpl w:val="B46C123E"/>
    <w:lvl w:ilvl="0" w:tplc="CD745418">
      <w:start w:val="1"/>
      <w:numFmt w:val="decimal"/>
      <w:lvlText w:val="%1."/>
      <w:lvlJc w:val="left"/>
      <w:pPr>
        <w:ind w:left="1810" w:hanging="360"/>
      </w:pPr>
      <w:rPr>
        <w:rFonts w:hint="default"/>
      </w:rPr>
    </w:lvl>
    <w:lvl w:ilvl="1" w:tplc="04090017">
      <w:start w:val="1"/>
      <w:numFmt w:val="lowerLetter"/>
      <w:lvlText w:val="%2)"/>
      <w:lvlJc w:val="left"/>
      <w:pPr>
        <w:ind w:left="2530" w:hanging="360"/>
      </w:pPr>
    </w:lvl>
    <w:lvl w:ilvl="2" w:tplc="23221FD4">
      <w:start w:val="1"/>
      <w:numFmt w:val="upperLetter"/>
      <w:lvlText w:val="%3."/>
      <w:lvlJc w:val="left"/>
      <w:pPr>
        <w:ind w:left="3430" w:hanging="360"/>
      </w:pPr>
      <w:rPr>
        <w:rFonts w:hint="default"/>
      </w:r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 w15:restartNumberingAfterBreak="0">
    <w:nsid w:val="171113A7"/>
    <w:multiLevelType w:val="multilevel"/>
    <w:tmpl w:val="17149E6C"/>
    <w:lvl w:ilvl="0">
      <w:start w:val="1"/>
      <w:numFmt w:val="decimal"/>
      <w:pStyle w:val="Normalnumber"/>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40967CD2"/>
    <w:multiLevelType w:val="hybridMultilevel"/>
    <w:tmpl w:val="08CE3B0C"/>
    <w:lvl w:ilvl="0" w:tplc="A8B496D6">
      <w:start w:val="9"/>
      <w:numFmt w:val="upperLetter"/>
      <w:lvlText w:val="%1."/>
      <w:lvlJc w:val="left"/>
      <w:pPr>
        <w:ind w:left="2577" w:hanging="360"/>
      </w:pPr>
      <w:rPr>
        <w:rFonts w:hint="default"/>
        <w:b/>
        <w:sz w:val="28"/>
      </w:r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3" w15:restartNumberingAfterBreak="0">
    <w:nsid w:val="6A825128"/>
    <w:multiLevelType w:val="hybridMultilevel"/>
    <w:tmpl w:val="B46C123E"/>
    <w:lvl w:ilvl="0" w:tplc="CD745418">
      <w:start w:val="1"/>
      <w:numFmt w:val="decimal"/>
      <w:lvlText w:val="%1."/>
      <w:lvlJc w:val="left"/>
      <w:pPr>
        <w:ind w:left="3330" w:hanging="360"/>
      </w:pPr>
      <w:rPr>
        <w:rFonts w:hint="default"/>
      </w:rPr>
    </w:lvl>
    <w:lvl w:ilvl="1" w:tplc="04090017">
      <w:start w:val="1"/>
      <w:numFmt w:val="lowerLetter"/>
      <w:lvlText w:val="%2)"/>
      <w:lvlJc w:val="left"/>
      <w:pPr>
        <w:ind w:left="2530" w:hanging="360"/>
      </w:pPr>
    </w:lvl>
    <w:lvl w:ilvl="2" w:tplc="23221FD4">
      <w:start w:val="1"/>
      <w:numFmt w:val="upperLetter"/>
      <w:lvlText w:val="%3."/>
      <w:lvlJc w:val="left"/>
      <w:pPr>
        <w:ind w:left="3430" w:hanging="360"/>
      </w:pPr>
      <w:rPr>
        <w:rFonts w:hint="default"/>
      </w:r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 w15:restartNumberingAfterBreak="0">
    <w:nsid w:val="71790FC6"/>
    <w:multiLevelType w:val="multilevel"/>
    <w:tmpl w:val="A1A84CAC"/>
    <w:lvl w:ilvl="0">
      <w:start w:val="1"/>
      <w:numFmt w:val="lowerLetter"/>
      <w:lvlText w:val="(%1)"/>
      <w:lvlJc w:val="left"/>
      <w:pPr>
        <w:ind w:left="0" w:firstLine="0"/>
      </w:pPr>
      <w:rPr>
        <w:b w:val="0"/>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DF5E20"/>
    <w:multiLevelType w:val="hybridMultilevel"/>
    <w:tmpl w:val="4F8C237E"/>
    <w:lvl w:ilvl="0" w:tplc="F870712E">
      <w:start w:val="2"/>
      <w:numFmt w:val="upperRoman"/>
      <w:lvlText w:val="%1."/>
      <w:lvlJc w:val="left"/>
      <w:pPr>
        <w:ind w:left="3102" w:hanging="720"/>
      </w:pPr>
      <w:rPr>
        <w:rFonts w:hint="default"/>
      </w:rPr>
    </w:lvl>
    <w:lvl w:ilvl="1" w:tplc="04090019" w:tentative="1">
      <w:start w:val="1"/>
      <w:numFmt w:val="lowerLetter"/>
      <w:lvlText w:val="%2."/>
      <w:lvlJc w:val="left"/>
      <w:pPr>
        <w:ind w:left="3462" w:hanging="360"/>
      </w:pPr>
    </w:lvl>
    <w:lvl w:ilvl="2" w:tplc="0409001B" w:tentative="1">
      <w:start w:val="1"/>
      <w:numFmt w:val="lowerRoman"/>
      <w:lvlText w:val="%3."/>
      <w:lvlJc w:val="right"/>
      <w:pPr>
        <w:ind w:left="4182" w:hanging="180"/>
      </w:pPr>
    </w:lvl>
    <w:lvl w:ilvl="3" w:tplc="0409000F" w:tentative="1">
      <w:start w:val="1"/>
      <w:numFmt w:val="decimal"/>
      <w:lvlText w:val="%4."/>
      <w:lvlJc w:val="left"/>
      <w:pPr>
        <w:ind w:left="4902" w:hanging="360"/>
      </w:pPr>
    </w:lvl>
    <w:lvl w:ilvl="4" w:tplc="04090019" w:tentative="1">
      <w:start w:val="1"/>
      <w:numFmt w:val="lowerLetter"/>
      <w:lvlText w:val="%5."/>
      <w:lvlJc w:val="left"/>
      <w:pPr>
        <w:ind w:left="5622" w:hanging="360"/>
      </w:pPr>
    </w:lvl>
    <w:lvl w:ilvl="5" w:tplc="0409001B" w:tentative="1">
      <w:start w:val="1"/>
      <w:numFmt w:val="lowerRoman"/>
      <w:lvlText w:val="%6."/>
      <w:lvlJc w:val="right"/>
      <w:pPr>
        <w:ind w:left="6342" w:hanging="180"/>
      </w:pPr>
    </w:lvl>
    <w:lvl w:ilvl="6" w:tplc="0409000F" w:tentative="1">
      <w:start w:val="1"/>
      <w:numFmt w:val="decimal"/>
      <w:lvlText w:val="%7."/>
      <w:lvlJc w:val="left"/>
      <w:pPr>
        <w:ind w:left="7062" w:hanging="360"/>
      </w:pPr>
    </w:lvl>
    <w:lvl w:ilvl="7" w:tplc="04090019" w:tentative="1">
      <w:start w:val="1"/>
      <w:numFmt w:val="lowerLetter"/>
      <w:lvlText w:val="%8."/>
      <w:lvlJc w:val="left"/>
      <w:pPr>
        <w:ind w:left="7782" w:hanging="360"/>
      </w:pPr>
    </w:lvl>
    <w:lvl w:ilvl="8" w:tplc="0409001B" w:tentative="1">
      <w:start w:val="1"/>
      <w:numFmt w:val="lowerRoman"/>
      <w:lvlText w:val="%9."/>
      <w:lvlJc w:val="right"/>
      <w:pPr>
        <w:ind w:left="8502"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2"/>
    <w:rsid w:val="002E0CC8"/>
    <w:rsid w:val="00342BDF"/>
    <w:rsid w:val="003470A6"/>
    <w:rsid w:val="007B2999"/>
    <w:rsid w:val="00924213"/>
    <w:rsid w:val="00967204"/>
    <w:rsid w:val="00A3328D"/>
    <w:rsid w:val="00F479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436D"/>
  <w15:chartTrackingRefBased/>
  <w15:docId w15:val="{57646D10-5E01-41FF-BBEB-5135FD0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982"/>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pool"/>
    <w:link w:val="FooterChar"/>
    <w:uiPriority w:val="99"/>
    <w:rsid w:val="00F47982"/>
    <w:pPr>
      <w:tabs>
        <w:tab w:val="center" w:pos="4320"/>
        <w:tab w:val="right" w:pos="8640"/>
      </w:tabs>
      <w:spacing w:before="60" w:after="120"/>
    </w:pPr>
    <w:rPr>
      <w:rFonts w:eastAsia="SimSun"/>
      <w:sz w:val="18"/>
    </w:rPr>
  </w:style>
  <w:style w:type="character" w:customStyle="1" w:styleId="FooterChar">
    <w:name w:val="Footer Char"/>
    <w:basedOn w:val="DefaultParagraphFont"/>
    <w:link w:val="Footer"/>
    <w:uiPriority w:val="99"/>
    <w:rsid w:val="00F47982"/>
    <w:rPr>
      <w:rFonts w:ascii="Times New Roman" w:eastAsia="SimSun" w:hAnsi="Times New Roman" w:cs="Times New Roman"/>
      <w:sz w:val="18"/>
      <w:szCs w:val="20"/>
      <w:lang w:val="en-GB" w:eastAsia="en-US"/>
    </w:rPr>
  </w:style>
  <w:style w:type="character" w:styleId="PageNumber">
    <w:name w:val="page number"/>
    <w:semiHidden/>
    <w:rsid w:val="00F47982"/>
    <w:rPr>
      <w:rFonts w:ascii="Times New Roman" w:hAnsi="Times New Roman"/>
      <w:b/>
      <w:sz w:val="18"/>
    </w:rPr>
  </w:style>
  <w:style w:type="paragraph" w:styleId="Header">
    <w:name w:val="header"/>
    <w:basedOn w:val="Normal-pool"/>
    <w:link w:val="HeaderChar"/>
    <w:rsid w:val="00F47982"/>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character" w:customStyle="1" w:styleId="HeaderChar">
    <w:name w:val="Header Char"/>
    <w:basedOn w:val="DefaultParagraphFont"/>
    <w:link w:val="Header"/>
    <w:rsid w:val="00F47982"/>
    <w:rPr>
      <w:rFonts w:ascii="Times New Roman" w:eastAsia="SimSun" w:hAnsi="Times New Roman" w:cs="Times New Roman"/>
      <w:b/>
      <w:sz w:val="18"/>
      <w:szCs w:val="20"/>
      <w:lang w:val="en-GB" w:eastAsia="en-US"/>
    </w:rPr>
  </w:style>
  <w:style w:type="paragraph" w:customStyle="1" w:styleId="Normal-pool">
    <w:name w:val="Normal-pool"/>
    <w:link w:val="Normal-poolChar"/>
    <w:qFormat/>
    <w:rsid w:val="00F4798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customStyle="1" w:styleId="Normalnumber">
    <w:name w:val="Normal_number"/>
    <w:basedOn w:val="Normal-pool"/>
    <w:link w:val="NormalnumberChar"/>
    <w:qFormat/>
    <w:rsid w:val="00F47982"/>
    <w:pPr>
      <w:numPr>
        <w:numId w:val="1"/>
      </w:numPr>
      <w:tabs>
        <w:tab w:val="clear" w:pos="567"/>
        <w:tab w:val="num" w:pos="360"/>
      </w:tabs>
      <w:spacing w:after="120"/>
      <w:ind w:left="0"/>
    </w:pPr>
  </w:style>
  <w:style w:type="paragraph" w:customStyle="1" w:styleId="CH1">
    <w:name w:val="CH1"/>
    <w:basedOn w:val="Normal-pool"/>
    <w:next w:val="Normal"/>
    <w:rsid w:val="00F47982"/>
    <w:pPr>
      <w:keepNext/>
      <w:keepLines/>
      <w:tabs>
        <w:tab w:val="right" w:pos="851"/>
      </w:tabs>
      <w:suppressAutoHyphens/>
      <w:spacing w:before="240" w:after="120"/>
      <w:ind w:left="1247" w:right="284" w:hanging="1247"/>
    </w:pPr>
    <w:rPr>
      <w:b/>
      <w:sz w:val="28"/>
      <w:szCs w:val="28"/>
    </w:rPr>
  </w:style>
  <w:style w:type="character" w:styleId="Hyperlink">
    <w:name w:val="Hyperlink"/>
    <w:uiPriority w:val="99"/>
    <w:rsid w:val="00F47982"/>
    <w:rPr>
      <w:rFonts w:ascii="Times New Roman" w:hAnsi="Times New Roman"/>
      <w:color w:val="auto"/>
      <w:sz w:val="20"/>
      <w:szCs w:val="20"/>
      <w:u w:val="none"/>
      <w:lang w:val="fr-FR"/>
    </w:rPr>
  </w:style>
  <w:style w:type="paragraph" w:customStyle="1" w:styleId="ZZAnxheader">
    <w:name w:val="ZZ_Anx_header"/>
    <w:basedOn w:val="Normal-pool"/>
    <w:rsid w:val="00F47982"/>
    <w:rPr>
      <w:b/>
      <w:bCs/>
      <w:sz w:val="28"/>
      <w:szCs w:val="22"/>
    </w:rPr>
  </w:style>
  <w:style w:type="paragraph" w:customStyle="1" w:styleId="ZZAnxtitle">
    <w:name w:val="ZZ_Anx_title"/>
    <w:basedOn w:val="Normal-pool"/>
    <w:rsid w:val="00F47982"/>
    <w:pPr>
      <w:spacing w:before="360" w:after="120"/>
      <w:ind w:left="1247"/>
    </w:pPr>
    <w:rPr>
      <w:b/>
      <w:bCs/>
      <w:sz w:val="28"/>
      <w:szCs w:val="26"/>
    </w:rPr>
  </w:style>
  <w:style w:type="character" w:customStyle="1" w:styleId="NormalnumberChar">
    <w:name w:val="Normal_number Char"/>
    <w:link w:val="Normalnumber"/>
    <w:locked/>
    <w:rsid w:val="00F47982"/>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F47982"/>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34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rc-argentina.net.ar/international-e-waste-management-network-iem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crc-argentina.net.ar/raee-ecuador-2/"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crc-argentina.net.ar/raee-argentina-2/" TargetMode="External"/><Relationship Id="rId11" Type="http://schemas.openxmlformats.org/officeDocument/2006/relationships/header" Target="header1.xml"/><Relationship Id="rId5" Type="http://schemas.openxmlformats.org/officeDocument/2006/relationships/hyperlink" Target="http://www.formation.crcbsaf.org" TargetMode="External"/><Relationship Id="rId15" Type="http://schemas.openxmlformats.org/officeDocument/2006/relationships/header" Target="header3.xml"/><Relationship Id="rId10" Type="http://schemas.openxmlformats.org/officeDocument/2006/relationships/hyperlink" Target="http://www.iep-global.org/" TargetMode="External"/><Relationship Id="rId4" Type="http://schemas.openxmlformats.org/officeDocument/2006/relationships/webSettings" Target="webSettings.xml"/><Relationship Id="rId9" Type="http://schemas.openxmlformats.org/officeDocument/2006/relationships/hyperlink" Target="https://www.epa.gov/international-cooperation/collaboration-environmental-protection-administration-taiwan-epa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Cenni</dc:creator>
  <cp:keywords/>
  <dc:description/>
  <cp:lastModifiedBy>Francesca Cenni</cp:lastModifiedBy>
  <cp:revision>3</cp:revision>
  <dcterms:created xsi:type="dcterms:W3CDTF">2020-10-07T15:06:00Z</dcterms:created>
  <dcterms:modified xsi:type="dcterms:W3CDTF">2020-10-07T15:46:00Z</dcterms:modified>
</cp:coreProperties>
</file>