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Look w:val="01E0"/>
      </w:tblPr>
      <w:tblGrid>
        <w:gridCol w:w="1651"/>
        <w:gridCol w:w="4857"/>
        <w:gridCol w:w="3205"/>
      </w:tblGrid>
      <w:tr w:rsidR="00516A20" w:rsidTr="004D478B">
        <w:trPr>
          <w:jc w:val="right"/>
        </w:trPr>
        <w:tc>
          <w:tcPr>
            <w:tcW w:w="850" w:type="pct"/>
          </w:tcPr>
          <w:p w:rsidR="00516A20" w:rsidRPr="00FA3C76" w:rsidRDefault="00516A20" w:rsidP="004D478B">
            <w:pPr>
              <w:pStyle w:val="Normal-pool"/>
              <w:spacing w:before="40"/>
              <w:rPr>
                <w:rFonts w:ascii="Arial" w:hAnsi="Arial" w:cs="Arial"/>
                <w:b/>
                <w:bCs/>
                <w:caps/>
                <w:sz w:val="27"/>
                <w:szCs w:val="27"/>
              </w:rPr>
            </w:pPr>
            <w:r w:rsidRPr="00FA3C76">
              <w:rPr>
                <w:rFonts w:ascii="Arial" w:hAnsi="Arial" w:cs="Arial"/>
                <w:b/>
                <w:bCs/>
                <w:caps/>
                <w:sz w:val="27"/>
                <w:szCs w:val="27"/>
              </w:rPr>
              <w:t>UNITED</w:t>
            </w:r>
            <w:r w:rsidRPr="00FA3C76">
              <w:rPr>
                <w:rFonts w:ascii="Arial" w:hAnsi="Arial" w:cs="Arial"/>
                <w:b/>
                <w:bCs/>
                <w:caps/>
                <w:sz w:val="27"/>
                <w:szCs w:val="27"/>
              </w:rPr>
              <w:br/>
              <w:t>NATIONS</w:t>
            </w:r>
          </w:p>
        </w:tc>
        <w:tc>
          <w:tcPr>
            <w:tcW w:w="2500" w:type="pct"/>
          </w:tcPr>
          <w:p w:rsidR="00516A20" w:rsidRPr="00FA3C76" w:rsidRDefault="003747B3" w:rsidP="004D478B">
            <w:pPr>
              <w:pStyle w:val="Normal-pool"/>
              <w:spacing w:before="40"/>
              <w:rPr>
                <w:rFonts w:ascii="Arial" w:hAnsi="Arial" w:cs="Arial"/>
                <w:b/>
                <w:bCs/>
                <w:caps/>
                <w:sz w:val="27"/>
                <w:szCs w:val="27"/>
              </w:rPr>
            </w:pPr>
            <w:r w:rsidRPr="003747B3">
              <w:rPr>
                <w:rFonts w:ascii="Arial" w:hAnsi="Arial" w:cs="Arial"/>
                <w:b/>
                <w:caps/>
                <w:noProof/>
                <w:sz w:val="27"/>
                <w:szCs w:val="27"/>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unep-un" style="width:76.5pt;height:40.5pt;visibility:visible">
                  <v:imagedata r:id="rId13" o:title="unep-un"/>
                </v:shape>
              </w:pict>
            </w:r>
          </w:p>
        </w:tc>
        <w:tc>
          <w:tcPr>
            <w:tcW w:w="1650" w:type="pct"/>
          </w:tcPr>
          <w:p w:rsidR="00516A20" w:rsidRPr="00FA3C76" w:rsidRDefault="00516A20" w:rsidP="004D478B">
            <w:pPr>
              <w:pStyle w:val="Normal-pool"/>
              <w:jc w:val="right"/>
              <w:rPr>
                <w:rFonts w:ascii="Arial" w:hAnsi="Arial" w:cs="Arial"/>
                <w:b/>
                <w:bCs/>
                <w:caps/>
                <w:sz w:val="64"/>
                <w:szCs w:val="64"/>
              </w:rPr>
            </w:pPr>
            <w:r w:rsidRPr="00FA3C76">
              <w:rPr>
                <w:rFonts w:ascii="Arial" w:hAnsi="Arial" w:cs="Arial"/>
                <w:b/>
                <w:bCs/>
                <w:caps/>
                <w:sz w:val="64"/>
                <w:szCs w:val="64"/>
              </w:rPr>
              <w:t>BC</w:t>
            </w:r>
          </w:p>
        </w:tc>
      </w:tr>
      <w:tr w:rsidR="00516A20" w:rsidTr="004D478B">
        <w:trPr>
          <w:jc w:val="right"/>
        </w:trPr>
        <w:tc>
          <w:tcPr>
            <w:tcW w:w="850" w:type="pct"/>
            <w:tcBorders>
              <w:bottom w:val="single" w:sz="4" w:space="0" w:color="auto"/>
            </w:tcBorders>
          </w:tcPr>
          <w:p w:rsidR="00516A20" w:rsidRDefault="00516A20" w:rsidP="004D478B">
            <w:pPr>
              <w:pStyle w:val="Normal-pool"/>
            </w:pPr>
          </w:p>
        </w:tc>
        <w:tc>
          <w:tcPr>
            <w:tcW w:w="2500" w:type="pct"/>
            <w:tcBorders>
              <w:bottom w:val="single" w:sz="4" w:space="0" w:color="auto"/>
            </w:tcBorders>
          </w:tcPr>
          <w:p w:rsidR="00516A20" w:rsidRDefault="00516A20" w:rsidP="004D478B">
            <w:pPr>
              <w:pStyle w:val="Normal-pool"/>
            </w:pPr>
          </w:p>
        </w:tc>
        <w:tc>
          <w:tcPr>
            <w:tcW w:w="1650" w:type="pct"/>
            <w:tcBorders>
              <w:bottom w:val="single" w:sz="4" w:space="0" w:color="auto"/>
            </w:tcBorders>
          </w:tcPr>
          <w:p w:rsidR="00516A20" w:rsidRDefault="00516A20" w:rsidP="004D478B">
            <w:pPr>
              <w:pStyle w:val="Normal-pool"/>
            </w:pPr>
            <w:r w:rsidRPr="00FA3C76">
              <w:rPr>
                <w:b/>
                <w:bCs/>
                <w:sz w:val="28"/>
                <w:szCs w:val="28"/>
              </w:rPr>
              <w:t>UNEP</w:t>
            </w:r>
            <w:r w:rsidRPr="00795341">
              <w:rPr>
                <w:sz w:val="20"/>
              </w:rPr>
              <w:t>/CHW.12/5/Add.2</w:t>
            </w:r>
            <w:r w:rsidR="00C718BE" w:rsidRPr="00795341">
              <w:rPr>
                <w:sz w:val="20"/>
                <w:szCs w:val="20"/>
              </w:rPr>
              <w:t>/Rev.1</w:t>
            </w:r>
          </w:p>
        </w:tc>
      </w:tr>
      <w:tr w:rsidR="00516A20" w:rsidTr="004D478B">
        <w:trPr>
          <w:jc w:val="right"/>
        </w:trPr>
        <w:tc>
          <w:tcPr>
            <w:tcW w:w="3350" w:type="pct"/>
            <w:gridSpan w:val="2"/>
            <w:tcBorders>
              <w:top w:val="nil"/>
              <w:left w:val="nil"/>
              <w:bottom w:val="single" w:sz="18" w:space="0" w:color="auto"/>
              <w:right w:val="nil"/>
            </w:tcBorders>
          </w:tcPr>
          <w:p w:rsidR="00516A20" w:rsidRPr="00FA3C76" w:rsidRDefault="003747B3" w:rsidP="004D478B">
            <w:pPr>
              <w:pStyle w:val="Normal-pool"/>
              <w:spacing w:before="360" w:after="1080"/>
              <w:rPr>
                <w:b/>
                <w:bCs/>
                <w:sz w:val="28"/>
                <w:szCs w:val="28"/>
              </w:rPr>
            </w:pPr>
            <w:r w:rsidRPr="003747B3">
              <w:rPr>
                <w:b/>
                <w:noProof/>
                <w:sz w:val="24"/>
                <w:szCs w:val="24"/>
                <w:lang w:val="en-US"/>
              </w:rPr>
              <w:pict>
                <v:shape id="Picture 2" o:spid="_x0000_i1026" type="#_x0000_t75" alt="Description: BC 1200 Down" style="width:91.5pt;height:40.5pt;visibility:visible">
                  <v:imagedata r:id="rId14" o:title="BC 1200 Down"/>
                </v:shape>
              </w:pict>
            </w:r>
          </w:p>
        </w:tc>
        <w:tc>
          <w:tcPr>
            <w:tcW w:w="1650" w:type="pct"/>
            <w:tcBorders>
              <w:top w:val="nil"/>
              <w:left w:val="nil"/>
              <w:bottom w:val="single" w:sz="18" w:space="0" w:color="auto"/>
              <w:right w:val="nil"/>
            </w:tcBorders>
          </w:tcPr>
          <w:p w:rsidR="00516A20" w:rsidRPr="009A64C8" w:rsidRDefault="00516A20" w:rsidP="004D478B">
            <w:pPr>
              <w:spacing w:before="120"/>
              <w:ind w:left="34"/>
            </w:pPr>
            <w:r w:rsidRPr="009066FE">
              <w:t>Distr.: General</w:t>
            </w:r>
            <w:r w:rsidRPr="009066FE">
              <w:br/>
            </w:r>
            <w:r w:rsidR="00511DAF">
              <w:t>1</w:t>
            </w:r>
            <w:r w:rsidR="00EA3D0A">
              <w:t>4</w:t>
            </w:r>
            <w:r w:rsidRPr="00A71882">
              <w:t xml:space="preserve"> </w:t>
            </w:r>
            <w:r w:rsidR="00C718BE">
              <w:t>July</w:t>
            </w:r>
            <w:r w:rsidR="00C718BE" w:rsidRPr="00A71882">
              <w:t xml:space="preserve"> </w:t>
            </w:r>
            <w:r w:rsidRPr="00A71882">
              <w:t>201</w:t>
            </w:r>
            <w:r w:rsidR="00C718BE">
              <w:t>5</w:t>
            </w:r>
          </w:p>
          <w:p w:rsidR="00516A20" w:rsidRDefault="00516A20" w:rsidP="004D478B">
            <w:pPr>
              <w:spacing w:before="120"/>
              <w:ind w:left="34"/>
            </w:pPr>
            <w:r>
              <w:t xml:space="preserve">Original: </w:t>
            </w:r>
            <w:r w:rsidRPr="009066FE">
              <w:t>English</w:t>
            </w:r>
          </w:p>
        </w:tc>
      </w:tr>
    </w:tbl>
    <w:p w:rsidR="00516A20" w:rsidRPr="002B044D" w:rsidRDefault="00516A20" w:rsidP="00516A20">
      <w:pPr>
        <w:rPr>
          <w:b/>
          <w:bCs/>
        </w:rPr>
      </w:pPr>
      <w:r w:rsidRPr="002B044D">
        <w:rPr>
          <w:b/>
          <w:bCs/>
        </w:rPr>
        <w:t>Conference of the Parties to the Basel Convention</w:t>
      </w:r>
      <w:r w:rsidRPr="002B044D">
        <w:rPr>
          <w:b/>
          <w:bCs/>
        </w:rPr>
        <w:br/>
        <w:t xml:space="preserve">on the Control of </w:t>
      </w:r>
      <w:proofErr w:type="spellStart"/>
      <w:r w:rsidRPr="002B044D">
        <w:rPr>
          <w:b/>
          <w:bCs/>
        </w:rPr>
        <w:t>Transboundary</w:t>
      </w:r>
      <w:proofErr w:type="spellEnd"/>
      <w:r w:rsidRPr="002B044D">
        <w:rPr>
          <w:b/>
          <w:bCs/>
        </w:rPr>
        <w:t xml:space="preserve"> Movements of</w:t>
      </w:r>
      <w:r w:rsidRPr="002B044D">
        <w:rPr>
          <w:b/>
          <w:bCs/>
        </w:rPr>
        <w:br/>
        <w:t>Hazardous Wastes and Their Disposal</w:t>
      </w:r>
      <w:r w:rsidRPr="002B044D">
        <w:rPr>
          <w:b/>
          <w:bCs/>
        </w:rPr>
        <w:br/>
      </w:r>
      <w:r>
        <w:rPr>
          <w:b/>
          <w:bCs/>
        </w:rPr>
        <w:t>Twelfth</w:t>
      </w:r>
      <w:r w:rsidRPr="002B044D">
        <w:rPr>
          <w:b/>
          <w:bCs/>
        </w:rPr>
        <w:t xml:space="preserve"> meeting</w:t>
      </w:r>
    </w:p>
    <w:p w:rsidR="00516A20" w:rsidRPr="002B044D" w:rsidRDefault="00516A20" w:rsidP="00516A20">
      <w:pPr>
        <w:rPr>
          <w:bCs/>
        </w:rPr>
      </w:pPr>
      <w:r>
        <w:rPr>
          <w:bCs/>
        </w:rPr>
        <w:t>Geneva</w:t>
      </w:r>
      <w:r w:rsidRPr="002B044D">
        <w:rPr>
          <w:bCs/>
        </w:rPr>
        <w:t xml:space="preserve">, </w:t>
      </w:r>
      <w:r>
        <w:rPr>
          <w:bCs/>
        </w:rPr>
        <w:t>4</w:t>
      </w:r>
      <w:r w:rsidRPr="002B044D">
        <w:rPr>
          <w:bCs/>
        </w:rPr>
        <w:t>–</w:t>
      </w:r>
      <w:r>
        <w:rPr>
          <w:bCs/>
        </w:rPr>
        <w:t>15 May</w:t>
      </w:r>
      <w:r w:rsidRPr="002B044D">
        <w:rPr>
          <w:bCs/>
        </w:rPr>
        <w:t xml:space="preserve"> 201</w:t>
      </w:r>
      <w:r>
        <w:rPr>
          <w:bCs/>
        </w:rPr>
        <w:t>5</w:t>
      </w:r>
    </w:p>
    <w:p w:rsidR="00516A20" w:rsidRPr="00EE2C91" w:rsidRDefault="00C718BE" w:rsidP="00516A20">
      <w:pPr>
        <w:pStyle w:val="AATitle"/>
        <w:keepNext w:val="0"/>
        <w:keepLines w:val="0"/>
        <w:rPr>
          <w:b w:val="0"/>
        </w:rPr>
      </w:pPr>
      <w:r>
        <w:rPr>
          <w:b w:val="0"/>
        </w:rPr>
        <w:t>Agenda i</w:t>
      </w:r>
      <w:r w:rsidR="00516A20">
        <w:rPr>
          <w:b w:val="0"/>
        </w:rPr>
        <w:t>tem 4 (b) (</w:t>
      </w:r>
      <w:proofErr w:type="spellStart"/>
      <w:r w:rsidR="00516A20">
        <w:rPr>
          <w:b w:val="0"/>
        </w:rPr>
        <w:t>i</w:t>
      </w:r>
      <w:proofErr w:type="spellEnd"/>
      <w:r w:rsidR="00516A20">
        <w:rPr>
          <w:b w:val="0"/>
        </w:rPr>
        <w:t xml:space="preserve">) </w:t>
      </w:r>
    </w:p>
    <w:p w:rsidR="00516A20" w:rsidRDefault="00516A20" w:rsidP="00516A20">
      <w:pPr>
        <w:pStyle w:val="AATitle"/>
        <w:keepNext w:val="0"/>
        <w:keepLines w:val="0"/>
        <w:spacing w:before="60"/>
      </w:pPr>
      <w:r w:rsidRPr="00464F8D">
        <w:t>Matters related to the implementation of the Convention</w:t>
      </w:r>
      <w:r>
        <w:t>:</w:t>
      </w:r>
    </w:p>
    <w:p w:rsidR="00516A20" w:rsidRDefault="00516A20" w:rsidP="00516A20">
      <w:pPr>
        <w:pStyle w:val="AATitle"/>
        <w:keepNext w:val="0"/>
        <w:keepLines w:val="0"/>
      </w:pPr>
      <w:proofErr w:type="gramStart"/>
      <w:r>
        <w:t>s</w:t>
      </w:r>
      <w:r w:rsidRPr="003973F9">
        <w:t>cientific</w:t>
      </w:r>
      <w:proofErr w:type="gramEnd"/>
      <w:r w:rsidRPr="003973F9">
        <w:t xml:space="preserve"> and technical matters:</w:t>
      </w:r>
      <w:r>
        <w:t xml:space="preserve"> technical guidelines</w:t>
      </w:r>
    </w:p>
    <w:p w:rsidR="00516A20" w:rsidRDefault="00516A20" w:rsidP="00516A20">
      <w:pPr>
        <w:tabs>
          <w:tab w:val="clear" w:pos="1247"/>
          <w:tab w:val="clear" w:pos="1814"/>
          <w:tab w:val="clear" w:pos="2381"/>
          <w:tab w:val="clear" w:pos="2948"/>
          <w:tab w:val="clear" w:pos="3515"/>
        </w:tabs>
        <w:spacing w:before="320" w:after="240"/>
        <w:ind w:left="1440"/>
        <w:rPr>
          <w:b/>
          <w:sz w:val="28"/>
          <w:szCs w:val="28"/>
          <w:lang w:eastAsia="ja-JP"/>
        </w:rPr>
      </w:pPr>
      <w:r>
        <w:rPr>
          <w:b/>
          <w:sz w:val="28"/>
          <w:szCs w:val="28"/>
          <w:lang w:eastAsia="ja-JP"/>
        </w:rPr>
        <w:t>Technical guidelines</w:t>
      </w:r>
    </w:p>
    <w:p w:rsidR="00516A20" w:rsidRDefault="00EA3D0A" w:rsidP="00516A20">
      <w:pPr>
        <w:tabs>
          <w:tab w:val="clear" w:pos="1247"/>
          <w:tab w:val="clear" w:pos="1814"/>
          <w:tab w:val="clear" w:pos="2381"/>
          <w:tab w:val="clear" w:pos="2948"/>
          <w:tab w:val="clear" w:pos="3515"/>
        </w:tabs>
        <w:spacing w:before="240" w:after="240"/>
        <w:ind w:left="1440"/>
        <w:rPr>
          <w:b/>
          <w:bCs/>
          <w:sz w:val="24"/>
          <w:szCs w:val="24"/>
        </w:rPr>
      </w:pPr>
      <w:r w:rsidRPr="00B56C99">
        <w:rPr>
          <w:b/>
          <w:sz w:val="24"/>
          <w:szCs w:val="24"/>
          <w:lang w:eastAsia="ja-JP"/>
        </w:rPr>
        <w:t>G</w:t>
      </w:r>
      <w:r w:rsidR="00516A20" w:rsidRPr="00B56C99">
        <w:rPr>
          <w:b/>
          <w:sz w:val="24"/>
          <w:szCs w:val="24"/>
          <w:lang w:eastAsia="ja-JP"/>
        </w:rPr>
        <w:t>eneral technical</w:t>
      </w:r>
      <w:r w:rsidR="00516A20" w:rsidRPr="003760F3">
        <w:rPr>
          <w:b/>
          <w:sz w:val="24"/>
          <w:szCs w:val="24"/>
          <w:lang w:eastAsia="ja-JP"/>
        </w:rPr>
        <w:t xml:space="preserve"> guidelines </w:t>
      </w:r>
      <w:r w:rsidR="000A1774">
        <w:rPr>
          <w:b/>
          <w:sz w:val="24"/>
          <w:szCs w:val="24"/>
          <w:lang w:eastAsia="ja-JP"/>
        </w:rPr>
        <w:t>on</w:t>
      </w:r>
      <w:r w:rsidR="000A1774" w:rsidRPr="003760F3">
        <w:rPr>
          <w:b/>
          <w:sz w:val="24"/>
          <w:szCs w:val="24"/>
          <w:lang w:eastAsia="ja-JP"/>
        </w:rPr>
        <w:t xml:space="preserve"> </w:t>
      </w:r>
      <w:r w:rsidR="00516A20" w:rsidRPr="003760F3">
        <w:rPr>
          <w:b/>
          <w:sz w:val="24"/>
          <w:szCs w:val="24"/>
          <w:lang w:eastAsia="ja-JP"/>
        </w:rPr>
        <w:t xml:space="preserve">the environmentally sound management of </w:t>
      </w:r>
      <w:r w:rsidR="00516A20" w:rsidRPr="003760F3">
        <w:rPr>
          <w:b/>
          <w:sz w:val="24"/>
          <w:szCs w:val="24"/>
        </w:rPr>
        <w:t xml:space="preserve">wastes </w:t>
      </w:r>
      <w:r w:rsidR="00516A20" w:rsidRPr="003760F3">
        <w:rPr>
          <w:b/>
          <w:bCs/>
          <w:sz w:val="24"/>
          <w:szCs w:val="24"/>
        </w:rPr>
        <w:t>of wastes consisting of, containing or contaminated with persistent organic pollutants</w:t>
      </w:r>
    </w:p>
    <w:p w:rsidR="00516A20" w:rsidRDefault="00516A20" w:rsidP="00516A20">
      <w:pPr>
        <w:pStyle w:val="CH2"/>
        <w:tabs>
          <w:tab w:val="clear" w:pos="1247"/>
          <w:tab w:val="clear" w:pos="1814"/>
          <w:tab w:val="clear" w:pos="2381"/>
          <w:tab w:val="clear" w:pos="2948"/>
          <w:tab w:val="clear" w:pos="3515"/>
        </w:tabs>
        <w:spacing w:before="240"/>
        <w:ind w:left="1418" w:hanging="1418"/>
      </w:pPr>
      <w:r>
        <w:tab/>
      </w:r>
      <w:r>
        <w:tab/>
      </w:r>
      <w:r w:rsidRPr="0060216D">
        <w:t>Note by the Secretariat</w:t>
      </w:r>
    </w:p>
    <w:p w:rsidR="00515F20" w:rsidRDefault="00DD5E80" w:rsidP="0063643C">
      <w:pPr>
        <w:pStyle w:val="ColorfulList-Accent11"/>
        <w:tabs>
          <w:tab w:val="clear" w:pos="1247"/>
          <w:tab w:val="clear" w:pos="1814"/>
          <w:tab w:val="clear" w:pos="2381"/>
          <w:tab w:val="clear" w:pos="2948"/>
          <w:tab w:val="clear" w:pos="3515"/>
          <w:tab w:val="left" w:pos="2127"/>
        </w:tabs>
        <w:spacing w:after="120"/>
        <w:ind w:left="1418"/>
        <w:rPr>
          <w:lang w:val="en-US"/>
        </w:rPr>
      </w:pPr>
      <w:r>
        <w:rPr>
          <w:lang w:val="en-US"/>
        </w:rPr>
        <w:tab/>
      </w:r>
      <w:r w:rsidR="000A1774" w:rsidRPr="00DD5E80">
        <w:rPr>
          <w:lang w:val="en-US"/>
        </w:rPr>
        <w:t xml:space="preserve">At </w:t>
      </w:r>
      <w:r w:rsidR="000A1774" w:rsidRPr="00893120">
        <w:rPr>
          <w:lang w:val="en-US"/>
        </w:rPr>
        <w:t xml:space="preserve">its twelfth meeting, the Conference of the Parties to the Basel Convention on the Control of </w:t>
      </w:r>
      <w:proofErr w:type="spellStart"/>
      <w:r w:rsidR="000A1774" w:rsidRPr="00893120">
        <w:rPr>
          <w:lang w:val="en-US"/>
        </w:rPr>
        <w:t>Transboundary</w:t>
      </w:r>
      <w:proofErr w:type="spellEnd"/>
      <w:r w:rsidR="000A1774" w:rsidRPr="00893120">
        <w:rPr>
          <w:lang w:val="en-US"/>
        </w:rPr>
        <w:t xml:space="preserve"> Movements of Hazardous Wastes and Their Disposal adopted, in decision BC</w:t>
      </w:r>
      <w:r w:rsidR="001763B3">
        <w:rPr>
          <w:lang w:val="en-US"/>
        </w:rPr>
        <w:noBreakHyphen/>
      </w:r>
      <w:r w:rsidR="000A1774" w:rsidRPr="00893120">
        <w:rPr>
          <w:lang w:val="en-US"/>
        </w:rPr>
        <w:t>12/</w:t>
      </w:r>
      <w:r w:rsidR="00D33C74" w:rsidRPr="00893120">
        <w:rPr>
          <w:lang w:val="en-US"/>
        </w:rPr>
        <w:t>3</w:t>
      </w:r>
      <w:r w:rsidR="008C5A32" w:rsidRPr="00893120">
        <w:rPr>
          <w:lang w:val="en-US"/>
        </w:rPr>
        <w:t xml:space="preserve"> on technical guidelines on the environmentally sound management of wastes consisting of, containing or contaminated with persistent organic pollutants</w:t>
      </w:r>
      <w:r w:rsidR="000A1774" w:rsidRPr="00893120">
        <w:rPr>
          <w:lang w:val="en-US"/>
        </w:rPr>
        <w:t xml:space="preserve">, the </w:t>
      </w:r>
      <w:r w:rsidR="00F562DC" w:rsidRPr="00893120">
        <w:rPr>
          <w:lang w:val="en-US"/>
        </w:rPr>
        <w:t>g</w:t>
      </w:r>
      <w:r w:rsidR="00D33C74" w:rsidRPr="00893120">
        <w:rPr>
          <w:lang w:val="en-US"/>
        </w:rPr>
        <w:t>eneral technical guidelines on the environmentally sound management of wastes consisting of, containing or contaminated with persistent organic pollutants</w:t>
      </w:r>
      <w:r w:rsidR="00405DFE" w:rsidRPr="008F2395">
        <w:rPr>
          <w:lang w:val="en-US"/>
        </w:rPr>
        <w:t>,</w:t>
      </w:r>
      <w:r w:rsidR="00D33C74" w:rsidRPr="00893120">
        <w:rPr>
          <w:lang w:val="en-US"/>
        </w:rPr>
        <w:t xml:space="preserve"> </w:t>
      </w:r>
      <w:r w:rsidR="008C5A32" w:rsidRPr="00893120">
        <w:rPr>
          <w:rFonts w:eastAsia="Calibri"/>
          <w:lang w:eastAsia="en-GB"/>
        </w:rPr>
        <w:t>on the basis</w:t>
      </w:r>
      <w:r w:rsidR="008C5A32" w:rsidRPr="00893120">
        <w:rPr>
          <w:rFonts w:eastAsia="Calibri"/>
        </w:rPr>
        <w:t xml:space="preserve"> of </w:t>
      </w:r>
      <w:r w:rsidR="008C5A32" w:rsidRPr="00893120">
        <w:rPr>
          <w:rFonts w:eastAsia="Calibri"/>
          <w:lang w:eastAsia="en-GB"/>
        </w:rPr>
        <w:t xml:space="preserve">the draft </w:t>
      </w:r>
      <w:r w:rsidR="008C5A32" w:rsidRPr="00893120">
        <w:rPr>
          <w:lang w:val="en-US"/>
        </w:rPr>
        <w:t>technical guidelines</w:t>
      </w:r>
      <w:r w:rsidR="008C5A32" w:rsidRPr="00893120">
        <w:rPr>
          <w:rFonts w:eastAsia="Calibri"/>
          <w:lang w:eastAsia="en-GB"/>
        </w:rPr>
        <w:t xml:space="preserve"> contained in</w:t>
      </w:r>
      <w:r w:rsidR="008C5A32" w:rsidRPr="00893120">
        <w:rPr>
          <w:lang w:val="en-US"/>
        </w:rPr>
        <w:t xml:space="preserve"> </w:t>
      </w:r>
      <w:r w:rsidR="000A1774" w:rsidRPr="00893120">
        <w:rPr>
          <w:lang w:val="en-US"/>
        </w:rPr>
        <w:t xml:space="preserve">document </w:t>
      </w:r>
      <w:r w:rsidR="00D33C74" w:rsidRPr="00893120">
        <w:rPr>
          <w:lang w:val="en-US"/>
        </w:rPr>
        <w:t>UNEP/CHW.12/5/Add.2</w:t>
      </w:r>
      <w:r w:rsidR="000A1774" w:rsidRPr="00893120">
        <w:rPr>
          <w:lang w:val="en-US"/>
        </w:rPr>
        <w:t xml:space="preserve">. The technical guidelines referred to above were prepared by </w:t>
      </w:r>
      <w:r w:rsidR="00746FF8" w:rsidRPr="00893120">
        <w:rPr>
          <w:lang w:val="en-US"/>
        </w:rPr>
        <w:t xml:space="preserve">Canada </w:t>
      </w:r>
      <w:r w:rsidR="00746FF8" w:rsidRPr="00893120">
        <w:t>as lead country for this work</w:t>
      </w:r>
      <w:r w:rsidR="004702D7" w:rsidRPr="00893120">
        <w:t>,</w:t>
      </w:r>
      <w:r w:rsidR="00746FF8" w:rsidRPr="00893120">
        <w:t xml:space="preserve"> in consultation with the small </w:t>
      </w:r>
      <w:proofErr w:type="spellStart"/>
      <w:r w:rsidR="00746FF8" w:rsidRPr="00893120">
        <w:t>intersessional</w:t>
      </w:r>
      <w:proofErr w:type="spellEnd"/>
      <w:r w:rsidR="00746FF8" w:rsidRPr="00893120">
        <w:t xml:space="preserve"> working group on the development of technical guidelines on persistent organic pollutants wastes</w:t>
      </w:r>
      <w:r w:rsidR="000A1774" w:rsidRPr="00893120">
        <w:rPr>
          <w:lang w:val="en-US"/>
        </w:rPr>
        <w:t xml:space="preserve"> and taking into account comments </w:t>
      </w:r>
      <w:r w:rsidR="00746FF8" w:rsidRPr="00893120">
        <w:rPr>
          <w:lang w:val="en-US"/>
        </w:rPr>
        <w:t xml:space="preserve">received </w:t>
      </w:r>
      <w:r w:rsidR="009371C6">
        <w:rPr>
          <w:lang w:val="en-US"/>
        </w:rPr>
        <w:t>from</w:t>
      </w:r>
      <w:r w:rsidR="00746FF8" w:rsidRPr="00893120">
        <w:rPr>
          <w:lang w:val="en-US"/>
        </w:rPr>
        <w:t xml:space="preserve"> parties and others and comments provided at the ninth meeting of t</w:t>
      </w:r>
      <w:r w:rsidR="00746FF8" w:rsidRPr="00893120">
        <w:t>he Open</w:t>
      </w:r>
      <w:r w:rsidR="00746FF8" w:rsidRPr="00893120">
        <w:noBreakHyphen/>
        <w:t>ended Working Group</w:t>
      </w:r>
      <w:r w:rsidR="00D51D6D">
        <w:t xml:space="preserve"> </w:t>
      </w:r>
      <w:r w:rsidR="00D51D6D" w:rsidRPr="00D20014">
        <w:t>of the Basel Convention</w:t>
      </w:r>
      <w:r w:rsidR="000A1774" w:rsidRPr="00893120">
        <w:rPr>
          <w:lang w:val="en-US"/>
        </w:rPr>
        <w:t xml:space="preserve">. The technical guidelines were further revised on </w:t>
      </w:r>
      <w:r w:rsidR="00A743DB" w:rsidRPr="00893120">
        <w:rPr>
          <w:lang w:val="en-US"/>
        </w:rPr>
        <w:t>10</w:t>
      </w:r>
      <w:r w:rsidR="000A1774" w:rsidRPr="00893120">
        <w:rPr>
          <w:lang w:val="en-US"/>
        </w:rPr>
        <w:t xml:space="preserve"> April 2015 taking into account comments received </w:t>
      </w:r>
      <w:r w:rsidR="0063643C">
        <w:rPr>
          <w:lang w:val="en-US"/>
        </w:rPr>
        <w:t xml:space="preserve">from </w:t>
      </w:r>
      <w:r w:rsidR="000A1774" w:rsidRPr="00893120">
        <w:rPr>
          <w:lang w:val="en-US"/>
        </w:rPr>
        <w:t xml:space="preserve">parties and others by </w:t>
      </w:r>
      <w:r w:rsidR="00A743DB" w:rsidRPr="00893120">
        <w:rPr>
          <w:lang w:eastAsia="fr-BE"/>
        </w:rPr>
        <w:t>23 January 2015</w:t>
      </w:r>
      <w:r w:rsidR="000A1774" w:rsidRPr="00893120">
        <w:rPr>
          <w:lang w:val="en-US"/>
        </w:rPr>
        <w:t xml:space="preserve">, </w:t>
      </w:r>
      <w:r w:rsidR="00A743DB" w:rsidRPr="00893120">
        <w:rPr>
          <w:lang w:eastAsia="fr-BE"/>
        </w:rPr>
        <w:t>as well as the outcome of the face-to-face meeting</w:t>
      </w:r>
      <w:r w:rsidR="00A743DB" w:rsidRPr="00893120">
        <w:t xml:space="preserve"> </w:t>
      </w:r>
      <w:r w:rsidR="00A743DB" w:rsidRPr="00893120">
        <w:rPr>
          <w:lang w:eastAsia="fr-BE"/>
        </w:rPr>
        <w:t xml:space="preserve">of the small </w:t>
      </w:r>
      <w:proofErr w:type="spellStart"/>
      <w:r w:rsidR="00A743DB" w:rsidRPr="00893120">
        <w:rPr>
          <w:lang w:eastAsia="fr-BE"/>
        </w:rPr>
        <w:t>intersessional</w:t>
      </w:r>
      <w:proofErr w:type="spellEnd"/>
      <w:r w:rsidR="00A743DB" w:rsidRPr="00893120">
        <w:rPr>
          <w:lang w:eastAsia="fr-BE"/>
        </w:rPr>
        <w:t xml:space="preserve"> working group </w:t>
      </w:r>
      <w:r w:rsidR="00A743DB" w:rsidRPr="008F2395">
        <w:t xml:space="preserve">on </w:t>
      </w:r>
      <w:r w:rsidR="00405DFE" w:rsidRPr="008F2395">
        <w:t>the development of</w:t>
      </w:r>
      <w:r w:rsidR="006E2FD5">
        <w:t xml:space="preserve"> </w:t>
      </w:r>
      <w:r w:rsidR="00A743DB" w:rsidRPr="00893120">
        <w:t xml:space="preserve">technical guidelines on persistent organic pollutants </w:t>
      </w:r>
      <w:r w:rsidR="00405DFE" w:rsidRPr="008F2395">
        <w:t>wastes</w:t>
      </w:r>
      <w:r w:rsidR="00086366">
        <w:t xml:space="preserve"> </w:t>
      </w:r>
      <w:r w:rsidR="00A743DB" w:rsidRPr="00893120">
        <w:rPr>
          <w:lang w:eastAsia="fr-BE"/>
        </w:rPr>
        <w:t>held from 17 to 19 March 2015 in Ottawa, Canada</w:t>
      </w:r>
      <w:r w:rsidR="000A1774" w:rsidRPr="00893120">
        <w:rPr>
          <w:lang w:val="en-US"/>
        </w:rPr>
        <w:t xml:space="preserve"> (see document </w:t>
      </w:r>
      <w:r w:rsidR="00A743DB" w:rsidRPr="00893120">
        <w:rPr>
          <w:lang w:val="en-US"/>
        </w:rPr>
        <w:t>UNEP/CHW.12/INF/9</w:t>
      </w:r>
      <w:r w:rsidR="000A1774" w:rsidRPr="00893120">
        <w:rPr>
          <w:lang w:val="en-US"/>
        </w:rPr>
        <w:t xml:space="preserve">). The text of the final version of </w:t>
      </w:r>
      <w:r w:rsidR="001A2749">
        <w:rPr>
          <w:lang w:val="en-US"/>
        </w:rPr>
        <w:t xml:space="preserve">the </w:t>
      </w:r>
      <w:r w:rsidR="000A1774" w:rsidRPr="00893120">
        <w:rPr>
          <w:lang w:val="en-US"/>
        </w:rPr>
        <w:t>technical guidelines, as adopted, is set out in the annex to the present note.</w:t>
      </w:r>
      <w:r w:rsidR="00696EFA">
        <w:rPr>
          <w:lang w:val="en-US"/>
        </w:rPr>
        <w:t xml:space="preserve"> </w:t>
      </w:r>
    </w:p>
    <w:p w:rsidR="00E744BE" w:rsidRPr="00516A20" w:rsidRDefault="00E744BE" w:rsidP="00E744BE">
      <w:pPr>
        <w:rPr>
          <w:lang w:val="en-US"/>
        </w:rPr>
      </w:pPr>
    </w:p>
    <w:p w:rsidR="00516A20" w:rsidRDefault="00516A20" w:rsidP="00E744BE"/>
    <w:p w:rsidR="00516A20" w:rsidRDefault="00516A20" w:rsidP="00E744BE">
      <w:bookmarkStart w:id="0" w:name="_Toc52131777"/>
      <w:bookmarkStart w:id="1" w:name="_Toc83437728"/>
      <w:bookmarkStart w:id="2" w:name="_Toc83438338"/>
      <w:bookmarkStart w:id="3" w:name="_Toc83438436"/>
      <w:bookmarkStart w:id="4" w:name="_Toc83438651"/>
    </w:p>
    <w:p w:rsidR="00516A20" w:rsidRDefault="00516A20" w:rsidP="00E744BE"/>
    <w:p w:rsidR="00516A20" w:rsidRDefault="00516A20" w:rsidP="00E744BE"/>
    <w:p w:rsidR="00516A20" w:rsidRDefault="00516A20" w:rsidP="00E744BE"/>
    <w:p w:rsidR="00516A20" w:rsidRDefault="00516A20" w:rsidP="00E744BE"/>
    <w:p w:rsidR="00516A20" w:rsidRDefault="00516A20" w:rsidP="00E744BE"/>
    <w:p w:rsidR="00516A20" w:rsidRDefault="00516A20" w:rsidP="00E744BE"/>
    <w:p w:rsidR="00516A20" w:rsidRDefault="00516A20" w:rsidP="00E744BE"/>
    <w:p w:rsidR="00516A20" w:rsidRDefault="00516A20" w:rsidP="00E744BE"/>
    <w:p w:rsidR="00516A20" w:rsidRDefault="00516A20" w:rsidP="00E744BE"/>
    <w:p w:rsidR="00516A20" w:rsidRDefault="00516A20" w:rsidP="00E744BE"/>
    <w:p w:rsidR="00E744BE" w:rsidRPr="00042642" w:rsidRDefault="00E744BE" w:rsidP="00035913">
      <w:pPr>
        <w:pStyle w:val="ZZAnxheader"/>
      </w:pPr>
      <w:r w:rsidRPr="00042642">
        <w:t>Annex</w:t>
      </w:r>
      <w:r w:rsidR="001B6BB3">
        <w:t xml:space="preserve"> </w:t>
      </w:r>
    </w:p>
    <w:bookmarkEnd w:id="0"/>
    <w:bookmarkEnd w:id="1"/>
    <w:bookmarkEnd w:id="2"/>
    <w:bookmarkEnd w:id="3"/>
    <w:bookmarkEnd w:id="4"/>
    <w:p w:rsidR="008E0D9D" w:rsidRPr="00035913" w:rsidRDefault="001B6BB3" w:rsidP="00035913">
      <w:pPr>
        <w:pStyle w:val="ZZAnxtitle"/>
      </w:pPr>
      <w:r>
        <w:t>G</w:t>
      </w:r>
      <w:r w:rsidR="00890CDD" w:rsidRPr="00035913">
        <w:t xml:space="preserve">eneral technical guidelines </w:t>
      </w:r>
      <w:r w:rsidR="00AC367E">
        <w:t>on</w:t>
      </w:r>
      <w:r w:rsidR="00890CDD" w:rsidRPr="00035913">
        <w:t xml:space="preserve"> the environmentally sound management of wastes consisting of, containing or contaminated with persistent organic pollutants</w:t>
      </w:r>
      <w:bookmarkStart w:id="5" w:name="_Toc49228095"/>
    </w:p>
    <w:p w:rsidR="00E744BE" w:rsidRPr="00F62E0B" w:rsidRDefault="001B6BB3" w:rsidP="001B6BB3">
      <w:pPr>
        <w:pStyle w:val="Normal-pool"/>
      </w:pPr>
      <w:r>
        <w:rPr>
          <w:b/>
          <w:bCs/>
          <w:sz w:val="24"/>
          <w:szCs w:val="24"/>
        </w:rPr>
        <w:tab/>
      </w:r>
      <w:r w:rsidR="00121EF3" w:rsidRPr="00121EF3">
        <w:rPr>
          <w:b/>
          <w:bCs/>
          <w:sz w:val="24"/>
          <w:szCs w:val="24"/>
        </w:rPr>
        <w:t xml:space="preserve">Revised final </w:t>
      </w:r>
      <w:r w:rsidR="00121EF3" w:rsidRPr="00B56C99">
        <w:rPr>
          <w:b/>
          <w:bCs/>
          <w:sz w:val="24"/>
          <w:szCs w:val="24"/>
        </w:rPr>
        <w:t>version (</w:t>
      </w:r>
      <w:r w:rsidR="00EA3D0A" w:rsidRPr="00B56C99">
        <w:rPr>
          <w:b/>
          <w:bCs/>
          <w:sz w:val="24"/>
          <w:szCs w:val="24"/>
        </w:rPr>
        <w:t>15</w:t>
      </w:r>
      <w:r w:rsidR="00F41F07" w:rsidRPr="00B56C99">
        <w:rPr>
          <w:b/>
          <w:bCs/>
          <w:sz w:val="24"/>
          <w:szCs w:val="24"/>
        </w:rPr>
        <w:t xml:space="preserve"> May </w:t>
      </w:r>
      <w:r w:rsidR="00B04B98" w:rsidRPr="00B56C99">
        <w:rPr>
          <w:b/>
          <w:bCs/>
          <w:sz w:val="24"/>
          <w:szCs w:val="24"/>
        </w:rPr>
        <w:t>2015</w:t>
      </w:r>
      <w:r w:rsidR="00890CDD" w:rsidRPr="00B56C99">
        <w:rPr>
          <w:b/>
          <w:bCs/>
          <w:sz w:val="24"/>
          <w:szCs w:val="24"/>
        </w:rPr>
        <w:t>)</w:t>
      </w:r>
      <w:r w:rsidR="00E744BE" w:rsidRPr="00E744BE">
        <w:t xml:space="preserve"> </w:t>
      </w:r>
    </w:p>
    <w:p w:rsidR="00890CDD" w:rsidRPr="00934BEF" w:rsidRDefault="00890CDD" w:rsidP="00AC367E">
      <w:pPr>
        <w:pStyle w:val="Normal-pool"/>
        <w:rPr>
          <w:sz w:val="24"/>
          <w:szCs w:val="24"/>
        </w:rPr>
      </w:pPr>
    </w:p>
    <w:p w:rsidR="00093BCE" w:rsidRDefault="009E27E4" w:rsidP="00CE1021">
      <w:pPr>
        <w:tabs>
          <w:tab w:val="clear" w:pos="1247"/>
          <w:tab w:val="clear" w:pos="1814"/>
          <w:tab w:val="clear" w:pos="2381"/>
          <w:tab w:val="clear" w:pos="2948"/>
          <w:tab w:val="clear" w:pos="3515"/>
        </w:tabs>
        <w:spacing w:after="240"/>
        <w:ind w:right="624" w:firstLine="567"/>
      </w:pPr>
      <w:bookmarkStart w:id="6" w:name="_Toc161804538"/>
      <w:bookmarkEnd w:id="5"/>
      <w:r>
        <w:rPr>
          <w:b/>
          <w:sz w:val="28"/>
        </w:rPr>
        <w:br w:type="page"/>
      </w:r>
      <w:r w:rsidR="00E4120D" w:rsidRPr="004F528B">
        <w:rPr>
          <w:b/>
          <w:bCs/>
          <w:sz w:val="28"/>
          <w:szCs w:val="28"/>
        </w:rPr>
        <w:lastRenderedPageBreak/>
        <w:t>C</w:t>
      </w:r>
      <w:r w:rsidR="00890CDD" w:rsidRPr="004F528B">
        <w:rPr>
          <w:b/>
          <w:bCs/>
          <w:sz w:val="28"/>
          <w:szCs w:val="28"/>
        </w:rPr>
        <w:t>ontents</w:t>
      </w:r>
      <w:bookmarkEnd w:id="6"/>
      <w:r w:rsidR="00890CDD" w:rsidRPr="004F528B">
        <w:rPr>
          <w:b/>
          <w:bCs/>
          <w:sz w:val="28"/>
          <w:szCs w:val="28"/>
        </w:rPr>
        <w:t xml:space="preserve"> </w:t>
      </w:r>
    </w:p>
    <w:bookmarkStart w:id="7" w:name="_Toc52011537"/>
    <w:bookmarkStart w:id="8" w:name="_Toc49228096"/>
    <w:bookmarkStart w:id="9" w:name="_Toc49228147"/>
    <w:bookmarkStart w:id="10" w:name="_Toc49228269"/>
    <w:bookmarkStart w:id="11" w:name="_Toc49228401"/>
    <w:bookmarkStart w:id="12" w:name="_Toc49228451"/>
    <w:p w:rsidR="00390882" w:rsidRDefault="003747B3" w:rsidP="00F306FB">
      <w:pPr>
        <w:pStyle w:val="TOC1"/>
        <w:rPr>
          <w:rFonts w:ascii="Calibri" w:hAnsi="Calibri"/>
          <w:b w:val="0"/>
          <w:bCs w:val="0"/>
          <w:sz w:val="22"/>
          <w:szCs w:val="22"/>
          <w:lang w:val="en-US"/>
        </w:rPr>
      </w:pPr>
      <w:r w:rsidRPr="003747B3">
        <w:rPr>
          <w:szCs w:val="20"/>
        </w:rPr>
        <w:fldChar w:fldCharType="begin"/>
      </w:r>
      <w:r w:rsidR="00890CDD" w:rsidRPr="00F46F2A">
        <w:rPr>
          <w:szCs w:val="20"/>
        </w:rPr>
        <w:instrText xml:space="preserve"> TOC </w:instrText>
      </w:r>
      <w:r w:rsidRPr="003747B3">
        <w:rPr>
          <w:szCs w:val="20"/>
        </w:rPr>
        <w:fldChar w:fldCharType="separate"/>
      </w:r>
      <w:r w:rsidR="00390882" w:rsidRPr="002C49BF">
        <w:t>Abbreviations and acronyms</w:t>
      </w:r>
      <w:r w:rsidR="00390882">
        <w:tab/>
      </w:r>
      <w:r w:rsidR="00F306FB">
        <w:t>5</w:t>
      </w:r>
    </w:p>
    <w:p w:rsidR="00390882" w:rsidRDefault="00390882">
      <w:pPr>
        <w:pStyle w:val="TOC1"/>
        <w:rPr>
          <w:rFonts w:ascii="Calibri" w:hAnsi="Calibri"/>
          <w:b w:val="0"/>
          <w:bCs w:val="0"/>
          <w:sz w:val="22"/>
          <w:szCs w:val="22"/>
          <w:lang w:val="en-US"/>
        </w:rPr>
      </w:pPr>
      <w:r w:rsidRPr="002C49BF">
        <w:t>Units of measurement</w:t>
      </w:r>
      <w:r>
        <w:tab/>
      </w:r>
      <w:r w:rsidR="003747B3">
        <w:fldChar w:fldCharType="begin"/>
      </w:r>
      <w:r>
        <w:instrText xml:space="preserve"> PAGEREF _Toc437340509 \h </w:instrText>
      </w:r>
      <w:r w:rsidR="003747B3">
        <w:fldChar w:fldCharType="separate"/>
      </w:r>
      <w:r w:rsidR="00B82233">
        <w:t>6</w:t>
      </w:r>
      <w:r w:rsidR="003747B3">
        <w:fldChar w:fldCharType="end"/>
      </w:r>
    </w:p>
    <w:p w:rsidR="00390882" w:rsidRDefault="00390882">
      <w:pPr>
        <w:pStyle w:val="TOC1"/>
        <w:rPr>
          <w:rFonts w:ascii="Calibri" w:hAnsi="Calibri"/>
          <w:b w:val="0"/>
          <w:bCs w:val="0"/>
          <w:sz w:val="22"/>
          <w:szCs w:val="22"/>
          <w:lang w:val="en-US"/>
        </w:rPr>
      </w:pPr>
      <w:r w:rsidRPr="002C49BF">
        <w:t>I.</w:t>
      </w:r>
      <w:r>
        <w:rPr>
          <w:rFonts w:ascii="Calibri" w:hAnsi="Calibri"/>
          <w:b w:val="0"/>
          <w:bCs w:val="0"/>
          <w:sz w:val="22"/>
          <w:szCs w:val="22"/>
          <w:lang w:val="en-US"/>
        </w:rPr>
        <w:tab/>
      </w:r>
      <w:r w:rsidRPr="002C49BF">
        <w:t>Introduction</w:t>
      </w:r>
      <w:r>
        <w:tab/>
      </w:r>
      <w:r w:rsidR="003747B3">
        <w:fldChar w:fldCharType="begin"/>
      </w:r>
      <w:r>
        <w:instrText xml:space="preserve"> PAGEREF _Toc437340510 \h </w:instrText>
      </w:r>
      <w:r w:rsidR="003747B3">
        <w:fldChar w:fldCharType="separate"/>
      </w:r>
      <w:r w:rsidR="00B82233">
        <w:t>7</w:t>
      </w:r>
      <w:r w:rsidR="003747B3">
        <w:fldChar w:fldCharType="end"/>
      </w:r>
    </w:p>
    <w:p w:rsidR="00390882" w:rsidRDefault="00390882">
      <w:pPr>
        <w:pStyle w:val="TOC2"/>
        <w:tabs>
          <w:tab w:val="left" w:pos="1418"/>
        </w:tabs>
        <w:rPr>
          <w:rFonts w:ascii="Calibri" w:hAnsi="Calibri"/>
          <w:sz w:val="22"/>
          <w:szCs w:val="22"/>
          <w:lang w:val="en-US"/>
        </w:rPr>
      </w:pPr>
      <w:r>
        <w:t>A.</w:t>
      </w:r>
      <w:r>
        <w:rPr>
          <w:rFonts w:ascii="Calibri" w:hAnsi="Calibri"/>
          <w:sz w:val="22"/>
          <w:szCs w:val="22"/>
          <w:lang w:val="en-US"/>
        </w:rPr>
        <w:tab/>
      </w:r>
      <w:r>
        <w:t>Scope</w:t>
      </w:r>
      <w:r>
        <w:tab/>
      </w:r>
      <w:r w:rsidR="003747B3">
        <w:fldChar w:fldCharType="begin"/>
      </w:r>
      <w:r>
        <w:instrText xml:space="preserve"> PAGEREF _Toc437340511 \h </w:instrText>
      </w:r>
      <w:r w:rsidR="003747B3">
        <w:fldChar w:fldCharType="separate"/>
      </w:r>
      <w:r w:rsidR="00B82233">
        <w:t>7</w:t>
      </w:r>
      <w:r w:rsidR="003747B3">
        <w:fldChar w:fldCharType="end"/>
      </w:r>
    </w:p>
    <w:p w:rsidR="00390882" w:rsidRDefault="00390882">
      <w:pPr>
        <w:pStyle w:val="TOC2"/>
        <w:tabs>
          <w:tab w:val="left" w:pos="1418"/>
        </w:tabs>
        <w:rPr>
          <w:rFonts w:ascii="Calibri" w:hAnsi="Calibri"/>
          <w:sz w:val="22"/>
          <w:szCs w:val="22"/>
          <w:lang w:val="en-US"/>
        </w:rPr>
      </w:pPr>
      <w:r>
        <w:t>B.</w:t>
      </w:r>
      <w:r>
        <w:rPr>
          <w:rFonts w:ascii="Calibri" w:hAnsi="Calibri"/>
          <w:sz w:val="22"/>
          <w:szCs w:val="22"/>
          <w:lang w:val="en-US"/>
        </w:rPr>
        <w:tab/>
      </w:r>
      <w:r>
        <w:t>About POPs</w:t>
      </w:r>
      <w:r>
        <w:tab/>
      </w:r>
      <w:r w:rsidR="003747B3">
        <w:fldChar w:fldCharType="begin"/>
      </w:r>
      <w:r>
        <w:instrText xml:space="preserve"> PAGEREF _Toc437340512 \h </w:instrText>
      </w:r>
      <w:r w:rsidR="003747B3">
        <w:fldChar w:fldCharType="separate"/>
      </w:r>
      <w:r w:rsidR="00B82233">
        <w:t>9</w:t>
      </w:r>
      <w:r w:rsidR="003747B3">
        <w:fldChar w:fldCharType="end"/>
      </w:r>
    </w:p>
    <w:p w:rsidR="00390882" w:rsidRDefault="00390882">
      <w:pPr>
        <w:pStyle w:val="TOC1"/>
        <w:rPr>
          <w:rFonts w:ascii="Calibri" w:hAnsi="Calibri"/>
          <w:b w:val="0"/>
          <w:bCs w:val="0"/>
          <w:sz w:val="22"/>
          <w:szCs w:val="22"/>
          <w:lang w:val="en-US"/>
        </w:rPr>
      </w:pPr>
      <w:r w:rsidRPr="002C49BF">
        <w:t>II.</w:t>
      </w:r>
      <w:r>
        <w:rPr>
          <w:rFonts w:ascii="Calibri" w:hAnsi="Calibri"/>
          <w:b w:val="0"/>
          <w:bCs w:val="0"/>
          <w:sz w:val="22"/>
          <w:szCs w:val="22"/>
          <w:lang w:val="en-US"/>
        </w:rPr>
        <w:tab/>
      </w:r>
      <w:r w:rsidRPr="002C49BF">
        <w:t>Relevant provisions of the Basel and Stockholm conventions</w:t>
      </w:r>
      <w:r>
        <w:tab/>
      </w:r>
      <w:r w:rsidR="003747B3">
        <w:fldChar w:fldCharType="begin"/>
      </w:r>
      <w:r>
        <w:instrText xml:space="preserve"> PAGEREF _Toc437340513 \h </w:instrText>
      </w:r>
      <w:r w:rsidR="003747B3">
        <w:fldChar w:fldCharType="separate"/>
      </w:r>
      <w:r w:rsidR="00B82233">
        <w:t>9</w:t>
      </w:r>
      <w:r w:rsidR="003747B3">
        <w:fldChar w:fldCharType="end"/>
      </w:r>
    </w:p>
    <w:p w:rsidR="00390882" w:rsidRDefault="00390882">
      <w:pPr>
        <w:pStyle w:val="TOC2"/>
        <w:tabs>
          <w:tab w:val="left" w:pos="1418"/>
        </w:tabs>
        <w:rPr>
          <w:rFonts w:ascii="Calibri" w:hAnsi="Calibri"/>
          <w:sz w:val="22"/>
          <w:szCs w:val="22"/>
          <w:lang w:val="en-US"/>
        </w:rPr>
      </w:pPr>
      <w:r>
        <w:t>A.</w:t>
      </w:r>
      <w:r>
        <w:rPr>
          <w:rFonts w:ascii="Calibri" w:hAnsi="Calibri"/>
          <w:sz w:val="22"/>
          <w:szCs w:val="22"/>
          <w:lang w:val="en-US"/>
        </w:rPr>
        <w:tab/>
      </w:r>
      <w:r>
        <w:t>Basel Convention</w:t>
      </w:r>
      <w:r>
        <w:tab/>
      </w:r>
      <w:r w:rsidR="003747B3">
        <w:fldChar w:fldCharType="begin"/>
      </w:r>
      <w:r>
        <w:instrText xml:space="preserve"> PAGEREF _Toc437340514 \h </w:instrText>
      </w:r>
      <w:r w:rsidR="003747B3">
        <w:fldChar w:fldCharType="separate"/>
      </w:r>
      <w:r w:rsidR="00B82233">
        <w:t>10</w:t>
      </w:r>
      <w:r w:rsidR="003747B3">
        <w:fldChar w:fldCharType="end"/>
      </w:r>
    </w:p>
    <w:p w:rsidR="00390882" w:rsidRDefault="00390882">
      <w:pPr>
        <w:pStyle w:val="TOC3"/>
        <w:rPr>
          <w:rFonts w:ascii="Calibri" w:hAnsi="Calibri"/>
          <w:sz w:val="22"/>
          <w:szCs w:val="22"/>
          <w:lang w:val="en-US"/>
        </w:rPr>
      </w:pPr>
      <w:r>
        <w:t>1.</w:t>
      </w:r>
      <w:r>
        <w:rPr>
          <w:rFonts w:ascii="Calibri" w:hAnsi="Calibri"/>
          <w:sz w:val="22"/>
          <w:szCs w:val="22"/>
          <w:lang w:val="en-US"/>
        </w:rPr>
        <w:tab/>
      </w:r>
      <w:r>
        <w:t>General provisions</w:t>
      </w:r>
      <w:r>
        <w:tab/>
      </w:r>
      <w:r w:rsidR="003747B3">
        <w:fldChar w:fldCharType="begin"/>
      </w:r>
      <w:r>
        <w:instrText xml:space="preserve"> PAGEREF _Toc437340515 \h </w:instrText>
      </w:r>
      <w:r w:rsidR="003747B3">
        <w:fldChar w:fldCharType="separate"/>
      </w:r>
      <w:r w:rsidR="00B82233">
        <w:t>10</w:t>
      </w:r>
      <w:r w:rsidR="003747B3">
        <w:fldChar w:fldCharType="end"/>
      </w:r>
    </w:p>
    <w:p w:rsidR="00390882" w:rsidRDefault="00390882">
      <w:pPr>
        <w:pStyle w:val="TOC3"/>
        <w:rPr>
          <w:rFonts w:ascii="Calibri" w:hAnsi="Calibri"/>
          <w:sz w:val="22"/>
          <w:szCs w:val="22"/>
          <w:lang w:val="en-US"/>
        </w:rPr>
      </w:pPr>
      <w:r>
        <w:t>2.</w:t>
      </w:r>
      <w:r>
        <w:rPr>
          <w:rFonts w:ascii="Calibri" w:hAnsi="Calibri"/>
          <w:sz w:val="22"/>
          <w:szCs w:val="22"/>
          <w:lang w:val="en-US"/>
        </w:rPr>
        <w:tab/>
      </w:r>
      <w:r>
        <w:t>POP-related provisions</w:t>
      </w:r>
      <w:r>
        <w:tab/>
      </w:r>
      <w:r w:rsidR="003747B3">
        <w:fldChar w:fldCharType="begin"/>
      </w:r>
      <w:r>
        <w:instrText xml:space="preserve"> PAGEREF _Toc437340516 \h </w:instrText>
      </w:r>
      <w:r w:rsidR="003747B3">
        <w:fldChar w:fldCharType="separate"/>
      </w:r>
      <w:r w:rsidR="00B82233">
        <w:t>11</w:t>
      </w:r>
      <w:r w:rsidR="003747B3">
        <w:fldChar w:fldCharType="end"/>
      </w:r>
    </w:p>
    <w:p w:rsidR="00390882" w:rsidRDefault="00390882">
      <w:pPr>
        <w:pStyle w:val="TOC2"/>
        <w:tabs>
          <w:tab w:val="left" w:pos="1418"/>
        </w:tabs>
        <w:rPr>
          <w:rFonts w:ascii="Calibri" w:hAnsi="Calibri"/>
          <w:sz w:val="22"/>
          <w:szCs w:val="22"/>
          <w:lang w:val="en-US"/>
        </w:rPr>
      </w:pPr>
      <w:r>
        <w:t>B.</w:t>
      </w:r>
      <w:r>
        <w:rPr>
          <w:rFonts w:ascii="Calibri" w:hAnsi="Calibri"/>
          <w:sz w:val="22"/>
          <w:szCs w:val="22"/>
          <w:lang w:val="en-US"/>
        </w:rPr>
        <w:tab/>
      </w:r>
      <w:r>
        <w:t>Stockholm Convention</w:t>
      </w:r>
      <w:r>
        <w:tab/>
      </w:r>
      <w:r w:rsidR="003747B3">
        <w:fldChar w:fldCharType="begin"/>
      </w:r>
      <w:r>
        <w:instrText xml:space="preserve"> PAGEREF _Toc437340517 \h </w:instrText>
      </w:r>
      <w:r w:rsidR="003747B3">
        <w:fldChar w:fldCharType="separate"/>
      </w:r>
      <w:r w:rsidR="00B82233">
        <w:t>11</w:t>
      </w:r>
      <w:r w:rsidR="003747B3">
        <w:fldChar w:fldCharType="end"/>
      </w:r>
    </w:p>
    <w:p w:rsidR="00390882" w:rsidRDefault="00390882">
      <w:pPr>
        <w:pStyle w:val="TOC3"/>
        <w:rPr>
          <w:rFonts w:ascii="Calibri" w:hAnsi="Calibri"/>
          <w:sz w:val="22"/>
          <w:szCs w:val="22"/>
          <w:lang w:val="en-US"/>
        </w:rPr>
      </w:pPr>
      <w:r>
        <w:t>1.</w:t>
      </w:r>
      <w:r>
        <w:rPr>
          <w:rFonts w:ascii="Calibri" w:hAnsi="Calibri"/>
          <w:sz w:val="22"/>
          <w:szCs w:val="22"/>
          <w:lang w:val="en-US"/>
        </w:rPr>
        <w:tab/>
      </w:r>
      <w:r>
        <w:t>General provisions</w:t>
      </w:r>
      <w:r>
        <w:tab/>
      </w:r>
      <w:r w:rsidR="003747B3">
        <w:fldChar w:fldCharType="begin"/>
      </w:r>
      <w:r>
        <w:instrText xml:space="preserve"> PAGEREF _Toc437340518 \h </w:instrText>
      </w:r>
      <w:r w:rsidR="003747B3">
        <w:fldChar w:fldCharType="separate"/>
      </w:r>
      <w:r w:rsidR="00B82233">
        <w:t>11</w:t>
      </w:r>
      <w:r w:rsidR="003747B3">
        <w:fldChar w:fldCharType="end"/>
      </w:r>
    </w:p>
    <w:p w:rsidR="00390882" w:rsidRDefault="00390882">
      <w:pPr>
        <w:pStyle w:val="TOC3"/>
        <w:rPr>
          <w:rFonts w:ascii="Calibri" w:hAnsi="Calibri"/>
          <w:sz w:val="22"/>
          <w:szCs w:val="22"/>
          <w:lang w:val="en-US"/>
        </w:rPr>
      </w:pPr>
      <w:r>
        <w:t>2.</w:t>
      </w:r>
      <w:r>
        <w:rPr>
          <w:rFonts w:ascii="Calibri" w:hAnsi="Calibri"/>
          <w:sz w:val="22"/>
          <w:szCs w:val="22"/>
          <w:lang w:val="en-US"/>
        </w:rPr>
        <w:tab/>
      </w:r>
      <w:r>
        <w:t>Waste-related provisions</w:t>
      </w:r>
      <w:r>
        <w:tab/>
      </w:r>
      <w:r w:rsidR="003747B3">
        <w:fldChar w:fldCharType="begin"/>
      </w:r>
      <w:r>
        <w:instrText xml:space="preserve"> PAGEREF _Toc437340519 \h </w:instrText>
      </w:r>
      <w:r w:rsidR="003747B3">
        <w:fldChar w:fldCharType="separate"/>
      </w:r>
      <w:r w:rsidR="00B82233">
        <w:t>12</w:t>
      </w:r>
      <w:r w:rsidR="003747B3">
        <w:fldChar w:fldCharType="end"/>
      </w:r>
    </w:p>
    <w:p w:rsidR="00390882" w:rsidRDefault="00390882">
      <w:pPr>
        <w:pStyle w:val="TOC1"/>
        <w:rPr>
          <w:rFonts w:ascii="Calibri" w:hAnsi="Calibri"/>
          <w:b w:val="0"/>
          <w:bCs w:val="0"/>
          <w:sz w:val="22"/>
          <w:szCs w:val="22"/>
          <w:lang w:val="en-US"/>
        </w:rPr>
      </w:pPr>
      <w:r w:rsidRPr="002C49BF">
        <w:t>III.</w:t>
      </w:r>
      <w:r>
        <w:rPr>
          <w:rFonts w:ascii="Calibri" w:hAnsi="Calibri"/>
          <w:b w:val="0"/>
          <w:bCs w:val="0"/>
          <w:sz w:val="22"/>
          <w:szCs w:val="22"/>
          <w:lang w:val="en-US"/>
        </w:rPr>
        <w:tab/>
      </w:r>
      <w:r w:rsidRPr="002C49BF">
        <w:t>Issues under the Stockholm Convention to be addressed cooperatively with the Basel Convention</w:t>
      </w:r>
      <w:r>
        <w:tab/>
      </w:r>
      <w:r w:rsidR="003747B3">
        <w:fldChar w:fldCharType="begin"/>
      </w:r>
      <w:r>
        <w:instrText xml:space="preserve"> PAGEREF _Toc437340520 \h </w:instrText>
      </w:r>
      <w:r w:rsidR="003747B3">
        <w:fldChar w:fldCharType="separate"/>
      </w:r>
      <w:r w:rsidR="00B82233">
        <w:t>13</w:t>
      </w:r>
      <w:r w:rsidR="003747B3">
        <w:fldChar w:fldCharType="end"/>
      </w:r>
    </w:p>
    <w:p w:rsidR="00390882" w:rsidRDefault="00390882">
      <w:pPr>
        <w:pStyle w:val="TOC2"/>
        <w:tabs>
          <w:tab w:val="left" w:pos="1418"/>
        </w:tabs>
        <w:rPr>
          <w:rFonts w:ascii="Calibri" w:hAnsi="Calibri"/>
          <w:sz w:val="22"/>
          <w:szCs w:val="22"/>
          <w:lang w:val="en-US"/>
        </w:rPr>
      </w:pPr>
      <w:r>
        <w:t>A.</w:t>
      </w:r>
      <w:r>
        <w:rPr>
          <w:rFonts w:ascii="Calibri" w:hAnsi="Calibri"/>
          <w:sz w:val="22"/>
          <w:szCs w:val="22"/>
          <w:lang w:val="en-US"/>
        </w:rPr>
        <w:tab/>
      </w:r>
      <w:r>
        <w:t>Low POP content</w:t>
      </w:r>
      <w:r>
        <w:tab/>
      </w:r>
      <w:r w:rsidR="003747B3">
        <w:fldChar w:fldCharType="begin"/>
      </w:r>
      <w:r>
        <w:instrText xml:space="preserve"> PAGEREF _Toc437340521 \h </w:instrText>
      </w:r>
      <w:r w:rsidR="003747B3">
        <w:fldChar w:fldCharType="separate"/>
      </w:r>
      <w:r w:rsidR="00B82233">
        <w:t>13</w:t>
      </w:r>
      <w:r w:rsidR="003747B3">
        <w:fldChar w:fldCharType="end"/>
      </w:r>
    </w:p>
    <w:p w:rsidR="00390882" w:rsidRDefault="00390882">
      <w:pPr>
        <w:pStyle w:val="TOC2"/>
        <w:tabs>
          <w:tab w:val="left" w:pos="1418"/>
        </w:tabs>
        <w:rPr>
          <w:rFonts w:ascii="Calibri" w:hAnsi="Calibri"/>
          <w:sz w:val="22"/>
          <w:szCs w:val="22"/>
          <w:lang w:val="en-US"/>
        </w:rPr>
      </w:pPr>
      <w:r w:rsidRPr="002C49BF">
        <w:rPr>
          <w:bCs/>
        </w:rPr>
        <w:t>B.</w:t>
      </w:r>
      <w:r>
        <w:rPr>
          <w:rFonts w:ascii="Calibri" w:hAnsi="Calibri"/>
          <w:sz w:val="22"/>
          <w:szCs w:val="22"/>
          <w:lang w:val="en-US"/>
        </w:rPr>
        <w:tab/>
      </w:r>
      <w:r w:rsidRPr="002C49BF">
        <w:rPr>
          <w:bCs/>
        </w:rPr>
        <w:t>Levels of destruction and irreversible transformation</w:t>
      </w:r>
      <w:r>
        <w:tab/>
      </w:r>
      <w:r w:rsidR="003747B3">
        <w:fldChar w:fldCharType="begin"/>
      </w:r>
      <w:r>
        <w:instrText xml:space="preserve"> PAGEREF _Toc437340522 \h </w:instrText>
      </w:r>
      <w:r w:rsidR="003747B3">
        <w:fldChar w:fldCharType="separate"/>
      </w:r>
      <w:r w:rsidR="00B82233">
        <w:t>15</w:t>
      </w:r>
      <w:r w:rsidR="003747B3">
        <w:fldChar w:fldCharType="end"/>
      </w:r>
    </w:p>
    <w:p w:rsidR="00390882" w:rsidRDefault="00390882">
      <w:pPr>
        <w:pStyle w:val="TOC2"/>
        <w:tabs>
          <w:tab w:val="left" w:pos="1418"/>
        </w:tabs>
        <w:rPr>
          <w:rFonts w:ascii="Calibri" w:hAnsi="Calibri"/>
          <w:sz w:val="22"/>
          <w:szCs w:val="22"/>
          <w:lang w:val="en-US"/>
        </w:rPr>
      </w:pPr>
      <w:r>
        <w:t>C.</w:t>
      </w:r>
      <w:r>
        <w:rPr>
          <w:rFonts w:ascii="Calibri" w:hAnsi="Calibri"/>
          <w:sz w:val="22"/>
          <w:szCs w:val="22"/>
          <w:lang w:val="en-US"/>
        </w:rPr>
        <w:tab/>
      </w:r>
      <w:r>
        <w:t>Methods that constitute environmentally sound disposal</w:t>
      </w:r>
      <w:r>
        <w:tab/>
      </w:r>
      <w:r w:rsidR="003747B3">
        <w:fldChar w:fldCharType="begin"/>
      </w:r>
      <w:r>
        <w:instrText xml:space="preserve"> PAGEREF _Toc437340523 \h </w:instrText>
      </w:r>
      <w:r w:rsidR="003747B3">
        <w:fldChar w:fldCharType="separate"/>
      </w:r>
      <w:r w:rsidR="00B82233">
        <w:t>16</w:t>
      </w:r>
      <w:r w:rsidR="003747B3">
        <w:fldChar w:fldCharType="end"/>
      </w:r>
    </w:p>
    <w:p w:rsidR="00390882" w:rsidRDefault="00390882">
      <w:pPr>
        <w:pStyle w:val="TOC1"/>
        <w:rPr>
          <w:rFonts w:ascii="Calibri" w:hAnsi="Calibri"/>
          <w:b w:val="0"/>
          <w:bCs w:val="0"/>
          <w:sz w:val="22"/>
          <w:szCs w:val="22"/>
          <w:lang w:val="en-US"/>
        </w:rPr>
      </w:pPr>
      <w:r w:rsidRPr="002C49BF">
        <w:t>IV.</w:t>
      </w:r>
      <w:r>
        <w:rPr>
          <w:rFonts w:ascii="Calibri" w:hAnsi="Calibri"/>
          <w:b w:val="0"/>
          <w:bCs w:val="0"/>
          <w:sz w:val="22"/>
          <w:szCs w:val="22"/>
          <w:lang w:val="en-US"/>
        </w:rPr>
        <w:tab/>
      </w:r>
      <w:r w:rsidRPr="002C49BF">
        <w:t>Guidance on environmentally sound management (ESM)</w:t>
      </w:r>
      <w:r>
        <w:tab/>
      </w:r>
      <w:r w:rsidR="003747B3">
        <w:fldChar w:fldCharType="begin"/>
      </w:r>
      <w:r>
        <w:instrText xml:space="preserve"> PAGEREF _Toc437340524 \h </w:instrText>
      </w:r>
      <w:r w:rsidR="003747B3">
        <w:fldChar w:fldCharType="separate"/>
      </w:r>
      <w:r w:rsidR="00B82233">
        <w:t>16</w:t>
      </w:r>
      <w:r w:rsidR="003747B3">
        <w:fldChar w:fldCharType="end"/>
      </w:r>
    </w:p>
    <w:p w:rsidR="00390882" w:rsidRDefault="00390882">
      <w:pPr>
        <w:pStyle w:val="TOC2"/>
        <w:tabs>
          <w:tab w:val="left" w:pos="1418"/>
        </w:tabs>
        <w:rPr>
          <w:rFonts w:ascii="Calibri" w:hAnsi="Calibri"/>
          <w:sz w:val="22"/>
          <w:szCs w:val="22"/>
          <w:lang w:val="en-US"/>
        </w:rPr>
      </w:pPr>
      <w:r>
        <w:t>A.</w:t>
      </w:r>
      <w:r>
        <w:rPr>
          <w:rFonts w:ascii="Calibri" w:hAnsi="Calibri"/>
          <w:sz w:val="22"/>
          <w:szCs w:val="22"/>
          <w:lang w:val="en-US"/>
        </w:rPr>
        <w:tab/>
      </w:r>
      <w:r>
        <w:t>General considerations</w:t>
      </w:r>
      <w:r>
        <w:tab/>
      </w:r>
      <w:r w:rsidR="003747B3">
        <w:fldChar w:fldCharType="begin"/>
      </w:r>
      <w:r>
        <w:instrText xml:space="preserve"> PAGEREF _Toc437340525 \h </w:instrText>
      </w:r>
      <w:r w:rsidR="003747B3">
        <w:fldChar w:fldCharType="separate"/>
      </w:r>
      <w:r w:rsidR="00B82233">
        <w:t>16</w:t>
      </w:r>
      <w:r w:rsidR="003747B3">
        <w:fldChar w:fldCharType="end"/>
      </w:r>
    </w:p>
    <w:p w:rsidR="00390882" w:rsidRDefault="00390882">
      <w:pPr>
        <w:pStyle w:val="TOC2"/>
        <w:tabs>
          <w:tab w:val="left" w:pos="1418"/>
        </w:tabs>
        <w:rPr>
          <w:rFonts w:ascii="Calibri" w:hAnsi="Calibri"/>
          <w:sz w:val="22"/>
          <w:szCs w:val="22"/>
          <w:lang w:val="en-US"/>
        </w:rPr>
      </w:pPr>
      <w:r>
        <w:t>B.</w:t>
      </w:r>
      <w:r>
        <w:rPr>
          <w:rFonts w:ascii="Calibri" w:hAnsi="Calibri"/>
          <w:sz w:val="22"/>
          <w:szCs w:val="22"/>
          <w:lang w:val="en-US"/>
        </w:rPr>
        <w:tab/>
      </w:r>
      <w:r>
        <w:t>Legislative and regulatory framework</w:t>
      </w:r>
      <w:r>
        <w:tab/>
      </w:r>
      <w:r w:rsidR="003747B3">
        <w:fldChar w:fldCharType="begin"/>
      </w:r>
      <w:r>
        <w:instrText xml:space="preserve"> PAGEREF _Toc437340526 \h </w:instrText>
      </w:r>
      <w:r w:rsidR="003747B3">
        <w:fldChar w:fldCharType="separate"/>
      </w:r>
      <w:r w:rsidR="00B82233">
        <w:t>17</w:t>
      </w:r>
      <w:r w:rsidR="003747B3">
        <w:fldChar w:fldCharType="end"/>
      </w:r>
    </w:p>
    <w:p w:rsidR="00390882" w:rsidRDefault="00390882">
      <w:pPr>
        <w:pStyle w:val="TOC3"/>
        <w:rPr>
          <w:rFonts w:ascii="Calibri" w:hAnsi="Calibri"/>
          <w:sz w:val="22"/>
          <w:szCs w:val="22"/>
          <w:lang w:val="en-US"/>
        </w:rPr>
      </w:pPr>
      <w:r>
        <w:t>1.</w:t>
      </w:r>
      <w:r>
        <w:rPr>
          <w:rFonts w:ascii="Calibri" w:hAnsi="Calibri"/>
          <w:sz w:val="22"/>
          <w:szCs w:val="22"/>
          <w:lang w:val="en-US"/>
        </w:rPr>
        <w:tab/>
      </w:r>
      <w:r>
        <w:t>Phase-out dates for production and use of POPs</w:t>
      </w:r>
      <w:r>
        <w:tab/>
      </w:r>
      <w:r w:rsidR="003747B3">
        <w:fldChar w:fldCharType="begin"/>
      </w:r>
      <w:r>
        <w:instrText xml:space="preserve"> PAGEREF _Toc437340527 \h </w:instrText>
      </w:r>
      <w:r w:rsidR="003747B3">
        <w:fldChar w:fldCharType="separate"/>
      </w:r>
      <w:r w:rsidR="00B82233">
        <w:t>17</w:t>
      </w:r>
      <w:r w:rsidR="003747B3">
        <w:fldChar w:fldCharType="end"/>
      </w:r>
    </w:p>
    <w:p w:rsidR="00390882" w:rsidRDefault="00390882">
      <w:pPr>
        <w:pStyle w:val="TOC3"/>
        <w:rPr>
          <w:rFonts w:ascii="Calibri" w:hAnsi="Calibri"/>
          <w:sz w:val="22"/>
          <w:szCs w:val="22"/>
          <w:lang w:val="en-US"/>
        </w:rPr>
      </w:pPr>
      <w:r>
        <w:t>2.</w:t>
      </w:r>
      <w:r>
        <w:rPr>
          <w:rFonts w:ascii="Calibri" w:hAnsi="Calibri"/>
          <w:sz w:val="22"/>
          <w:szCs w:val="22"/>
          <w:lang w:val="en-US"/>
        </w:rPr>
        <w:tab/>
      </w:r>
      <w:r>
        <w:t>Transboundary movement requirements</w:t>
      </w:r>
      <w:r>
        <w:tab/>
      </w:r>
      <w:r w:rsidR="003747B3">
        <w:fldChar w:fldCharType="begin"/>
      </w:r>
      <w:r>
        <w:instrText xml:space="preserve"> PAGEREF _Toc437340528 \h </w:instrText>
      </w:r>
      <w:r w:rsidR="003747B3">
        <w:fldChar w:fldCharType="separate"/>
      </w:r>
      <w:r w:rsidR="00B82233">
        <w:t>17</w:t>
      </w:r>
      <w:r w:rsidR="003747B3">
        <w:fldChar w:fldCharType="end"/>
      </w:r>
    </w:p>
    <w:p w:rsidR="00390882" w:rsidRDefault="00390882">
      <w:pPr>
        <w:pStyle w:val="TOC3"/>
        <w:rPr>
          <w:rFonts w:ascii="Calibri" w:hAnsi="Calibri"/>
          <w:sz w:val="22"/>
          <w:szCs w:val="22"/>
          <w:lang w:val="en-US"/>
        </w:rPr>
      </w:pPr>
      <w:r>
        <w:t>3.</w:t>
      </w:r>
      <w:r>
        <w:rPr>
          <w:rFonts w:ascii="Calibri" w:hAnsi="Calibri"/>
          <w:sz w:val="22"/>
          <w:szCs w:val="22"/>
          <w:lang w:val="en-US"/>
        </w:rPr>
        <w:tab/>
      </w:r>
      <w:r>
        <w:t>Specifications for containers, equipment, bulk containers and storage sites containing POPs</w:t>
      </w:r>
      <w:r>
        <w:tab/>
      </w:r>
      <w:r w:rsidR="003747B3">
        <w:fldChar w:fldCharType="begin"/>
      </w:r>
      <w:r>
        <w:instrText xml:space="preserve"> PAGEREF _Toc437340529 \h </w:instrText>
      </w:r>
      <w:r w:rsidR="003747B3">
        <w:fldChar w:fldCharType="separate"/>
      </w:r>
      <w:r w:rsidR="00B82233">
        <w:t>18</w:t>
      </w:r>
      <w:r w:rsidR="003747B3">
        <w:fldChar w:fldCharType="end"/>
      </w:r>
    </w:p>
    <w:p w:rsidR="00390882" w:rsidRDefault="00390882">
      <w:pPr>
        <w:pStyle w:val="TOC3"/>
        <w:rPr>
          <w:rFonts w:ascii="Calibri" w:hAnsi="Calibri"/>
          <w:sz w:val="22"/>
          <w:szCs w:val="22"/>
          <w:lang w:val="en-US"/>
        </w:rPr>
      </w:pPr>
      <w:r>
        <w:t>4.</w:t>
      </w:r>
      <w:r>
        <w:rPr>
          <w:rFonts w:ascii="Calibri" w:hAnsi="Calibri"/>
          <w:sz w:val="22"/>
          <w:szCs w:val="22"/>
          <w:lang w:val="en-US"/>
        </w:rPr>
        <w:tab/>
      </w:r>
      <w:r>
        <w:t>Health and safety</w:t>
      </w:r>
      <w:r>
        <w:tab/>
      </w:r>
      <w:r w:rsidR="003747B3">
        <w:fldChar w:fldCharType="begin"/>
      </w:r>
      <w:r>
        <w:instrText xml:space="preserve"> PAGEREF _Toc437340530 \h </w:instrText>
      </w:r>
      <w:r w:rsidR="003747B3">
        <w:fldChar w:fldCharType="separate"/>
      </w:r>
      <w:r w:rsidR="00B82233">
        <w:t>18</w:t>
      </w:r>
      <w:r w:rsidR="003747B3">
        <w:fldChar w:fldCharType="end"/>
      </w:r>
    </w:p>
    <w:p w:rsidR="00390882" w:rsidRDefault="00390882">
      <w:pPr>
        <w:pStyle w:val="TOC3"/>
        <w:rPr>
          <w:rFonts w:ascii="Calibri" w:hAnsi="Calibri"/>
          <w:sz w:val="22"/>
          <w:szCs w:val="22"/>
          <w:lang w:val="en-US"/>
        </w:rPr>
      </w:pPr>
      <w:r>
        <w:t>5.</w:t>
      </w:r>
      <w:r>
        <w:rPr>
          <w:rFonts w:ascii="Calibri" w:hAnsi="Calibri"/>
          <w:sz w:val="22"/>
          <w:szCs w:val="22"/>
          <w:lang w:val="en-US"/>
        </w:rPr>
        <w:tab/>
      </w:r>
      <w:r>
        <w:t>Specification of acceptable procedures for sampling and analysis of POPs</w:t>
      </w:r>
      <w:r>
        <w:tab/>
      </w:r>
      <w:r w:rsidR="003747B3">
        <w:fldChar w:fldCharType="begin"/>
      </w:r>
      <w:r>
        <w:instrText xml:space="preserve"> PAGEREF _Toc437340531 \h </w:instrText>
      </w:r>
      <w:r w:rsidR="003747B3">
        <w:fldChar w:fldCharType="separate"/>
      </w:r>
      <w:r w:rsidR="00B82233">
        <w:t>18</w:t>
      </w:r>
      <w:r w:rsidR="003747B3">
        <w:fldChar w:fldCharType="end"/>
      </w:r>
    </w:p>
    <w:p w:rsidR="00390882" w:rsidRDefault="00390882">
      <w:pPr>
        <w:pStyle w:val="TOC3"/>
        <w:rPr>
          <w:rFonts w:ascii="Calibri" w:hAnsi="Calibri"/>
          <w:sz w:val="22"/>
          <w:szCs w:val="22"/>
          <w:lang w:val="en-US"/>
        </w:rPr>
      </w:pPr>
      <w:r>
        <w:t>6.</w:t>
      </w:r>
      <w:r>
        <w:rPr>
          <w:rFonts w:ascii="Calibri" w:hAnsi="Calibri"/>
          <w:sz w:val="22"/>
          <w:szCs w:val="22"/>
          <w:lang w:val="en-US"/>
        </w:rPr>
        <w:tab/>
      </w:r>
      <w:r>
        <w:t>Requirements for hazardous waste treatment and disposal facilities</w:t>
      </w:r>
      <w:r>
        <w:tab/>
      </w:r>
      <w:r w:rsidR="003747B3">
        <w:fldChar w:fldCharType="begin"/>
      </w:r>
      <w:r>
        <w:instrText xml:space="preserve"> PAGEREF _Toc437340532 \h </w:instrText>
      </w:r>
      <w:r w:rsidR="003747B3">
        <w:fldChar w:fldCharType="separate"/>
      </w:r>
      <w:r w:rsidR="00B82233">
        <w:t>19</w:t>
      </w:r>
      <w:r w:rsidR="003747B3">
        <w:fldChar w:fldCharType="end"/>
      </w:r>
    </w:p>
    <w:p w:rsidR="00390882" w:rsidRDefault="00390882">
      <w:pPr>
        <w:pStyle w:val="TOC3"/>
        <w:rPr>
          <w:rFonts w:ascii="Calibri" w:hAnsi="Calibri"/>
          <w:sz w:val="22"/>
          <w:szCs w:val="22"/>
          <w:lang w:val="en-US"/>
        </w:rPr>
      </w:pPr>
      <w:r>
        <w:t>7.</w:t>
      </w:r>
      <w:r>
        <w:rPr>
          <w:rFonts w:ascii="Calibri" w:hAnsi="Calibri"/>
          <w:sz w:val="22"/>
          <w:szCs w:val="22"/>
          <w:lang w:val="en-US"/>
        </w:rPr>
        <w:tab/>
      </w:r>
      <w:r>
        <w:t>General requirement for public participation</w:t>
      </w:r>
      <w:r>
        <w:tab/>
      </w:r>
      <w:r w:rsidR="003747B3">
        <w:fldChar w:fldCharType="begin"/>
      </w:r>
      <w:r>
        <w:instrText xml:space="preserve"> PAGEREF _Toc437340533 \h </w:instrText>
      </w:r>
      <w:r w:rsidR="003747B3">
        <w:fldChar w:fldCharType="separate"/>
      </w:r>
      <w:r w:rsidR="00B82233">
        <w:t>19</w:t>
      </w:r>
      <w:r w:rsidR="003747B3">
        <w:fldChar w:fldCharType="end"/>
      </w:r>
    </w:p>
    <w:p w:rsidR="00390882" w:rsidRDefault="00390882">
      <w:pPr>
        <w:pStyle w:val="TOC3"/>
        <w:rPr>
          <w:rFonts w:ascii="Calibri" w:hAnsi="Calibri"/>
          <w:sz w:val="22"/>
          <w:szCs w:val="22"/>
          <w:lang w:val="en-US"/>
        </w:rPr>
      </w:pPr>
      <w:r>
        <w:t>8.</w:t>
      </w:r>
      <w:r>
        <w:rPr>
          <w:rFonts w:ascii="Calibri" w:hAnsi="Calibri"/>
          <w:sz w:val="22"/>
          <w:szCs w:val="22"/>
          <w:lang w:val="en-US"/>
        </w:rPr>
        <w:tab/>
      </w:r>
      <w:r>
        <w:t>Contaminated sites</w:t>
      </w:r>
      <w:r>
        <w:tab/>
      </w:r>
      <w:r w:rsidR="003747B3">
        <w:fldChar w:fldCharType="begin"/>
      </w:r>
      <w:r>
        <w:instrText xml:space="preserve"> PAGEREF _Toc437340534 \h </w:instrText>
      </w:r>
      <w:r w:rsidR="003747B3">
        <w:fldChar w:fldCharType="separate"/>
      </w:r>
      <w:r w:rsidR="00B82233">
        <w:t>19</w:t>
      </w:r>
      <w:r w:rsidR="003747B3">
        <w:fldChar w:fldCharType="end"/>
      </w:r>
    </w:p>
    <w:p w:rsidR="00390882" w:rsidRDefault="00390882">
      <w:pPr>
        <w:pStyle w:val="TOC3"/>
        <w:rPr>
          <w:rFonts w:ascii="Calibri" w:hAnsi="Calibri"/>
          <w:sz w:val="22"/>
          <w:szCs w:val="22"/>
          <w:lang w:val="en-US"/>
        </w:rPr>
      </w:pPr>
      <w:r>
        <w:t>9.</w:t>
      </w:r>
      <w:r>
        <w:rPr>
          <w:rFonts w:ascii="Calibri" w:hAnsi="Calibri"/>
          <w:sz w:val="22"/>
          <w:szCs w:val="22"/>
          <w:lang w:val="en-US"/>
        </w:rPr>
        <w:tab/>
      </w:r>
      <w:r>
        <w:t>Other legislative controls</w:t>
      </w:r>
      <w:r>
        <w:tab/>
      </w:r>
      <w:r w:rsidR="003747B3">
        <w:fldChar w:fldCharType="begin"/>
      </w:r>
      <w:r>
        <w:instrText xml:space="preserve"> PAGEREF _Toc437340535 \h </w:instrText>
      </w:r>
      <w:r w:rsidR="003747B3">
        <w:fldChar w:fldCharType="separate"/>
      </w:r>
      <w:r w:rsidR="00B82233">
        <w:t>19</w:t>
      </w:r>
      <w:r w:rsidR="003747B3">
        <w:fldChar w:fldCharType="end"/>
      </w:r>
    </w:p>
    <w:p w:rsidR="00390882" w:rsidRDefault="00390882">
      <w:pPr>
        <w:pStyle w:val="TOC2"/>
        <w:tabs>
          <w:tab w:val="left" w:pos="1418"/>
        </w:tabs>
        <w:rPr>
          <w:rFonts w:ascii="Calibri" w:hAnsi="Calibri"/>
          <w:sz w:val="22"/>
          <w:szCs w:val="22"/>
          <w:lang w:val="en-US"/>
        </w:rPr>
      </w:pPr>
      <w:r>
        <w:t>C.</w:t>
      </w:r>
      <w:r>
        <w:rPr>
          <w:rFonts w:ascii="Calibri" w:hAnsi="Calibri"/>
          <w:sz w:val="22"/>
          <w:szCs w:val="22"/>
          <w:lang w:val="en-US"/>
        </w:rPr>
        <w:tab/>
      </w:r>
      <w:r>
        <w:t>Waste prevention and minimization</w:t>
      </w:r>
      <w:r>
        <w:tab/>
      </w:r>
      <w:r w:rsidR="003747B3">
        <w:fldChar w:fldCharType="begin"/>
      </w:r>
      <w:r>
        <w:instrText xml:space="preserve"> PAGEREF _Toc437340536 \h </w:instrText>
      </w:r>
      <w:r w:rsidR="003747B3">
        <w:fldChar w:fldCharType="separate"/>
      </w:r>
      <w:r w:rsidR="00B82233">
        <w:t>19</w:t>
      </w:r>
      <w:r w:rsidR="003747B3">
        <w:fldChar w:fldCharType="end"/>
      </w:r>
    </w:p>
    <w:p w:rsidR="00390882" w:rsidRDefault="00390882">
      <w:pPr>
        <w:pStyle w:val="TOC2"/>
        <w:tabs>
          <w:tab w:val="left" w:pos="1418"/>
        </w:tabs>
        <w:rPr>
          <w:rFonts w:ascii="Calibri" w:hAnsi="Calibri"/>
          <w:sz w:val="22"/>
          <w:szCs w:val="22"/>
          <w:lang w:val="en-US"/>
        </w:rPr>
      </w:pPr>
      <w:r>
        <w:t>D.</w:t>
      </w:r>
      <w:r>
        <w:rPr>
          <w:rFonts w:ascii="Calibri" w:hAnsi="Calibri"/>
          <w:sz w:val="22"/>
          <w:szCs w:val="22"/>
          <w:lang w:val="en-US"/>
        </w:rPr>
        <w:tab/>
      </w:r>
      <w:r>
        <w:t>Identification of wastes</w:t>
      </w:r>
      <w:r>
        <w:tab/>
      </w:r>
      <w:r w:rsidR="003747B3">
        <w:fldChar w:fldCharType="begin"/>
      </w:r>
      <w:r>
        <w:instrText xml:space="preserve"> PAGEREF _Toc437340537 \h </w:instrText>
      </w:r>
      <w:r w:rsidR="003747B3">
        <w:fldChar w:fldCharType="separate"/>
      </w:r>
      <w:r w:rsidR="00B82233">
        <w:t>20</w:t>
      </w:r>
      <w:r w:rsidR="003747B3">
        <w:fldChar w:fldCharType="end"/>
      </w:r>
    </w:p>
    <w:p w:rsidR="00390882" w:rsidRDefault="00390882">
      <w:pPr>
        <w:pStyle w:val="TOC3"/>
        <w:rPr>
          <w:rFonts w:ascii="Calibri" w:hAnsi="Calibri"/>
          <w:sz w:val="22"/>
          <w:szCs w:val="22"/>
          <w:lang w:val="en-US"/>
        </w:rPr>
      </w:pPr>
      <w:r>
        <w:t xml:space="preserve">1. </w:t>
      </w:r>
      <w:r>
        <w:rPr>
          <w:rFonts w:ascii="Calibri" w:hAnsi="Calibri"/>
          <w:sz w:val="22"/>
          <w:szCs w:val="22"/>
          <w:lang w:val="en-US"/>
        </w:rPr>
        <w:tab/>
      </w:r>
      <w:r>
        <w:t>General considerations</w:t>
      </w:r>
      <w:r>
        <w:tab/>
      </w:r>
      <w:r w:rsidR="003747B3">
        <w:fldChar w:fldCharType="begin"/>
      </w:r>
      <w:r>
        <w:instrText xml:space="preserve"> PAGEREF _Toc437340538 \h </w:instrText>
      </w:r>
      <w:r w:rsidR="003747B3">
        <w:fldChar w:fldCharType="separate"/>
      </w:r>
      <w:r w:rsidR="00B82233">
        <w:t>20</w:t>
      </w:r>
      <w:r w:rsidR="003747B3">
        <w:fldChar w:fldCharType="end"/>
      </w:r>
    </w:p>
    <w:p w:rsidR="00390882" w:rsidRDefault="00390882">
      <w:pPr>
        <w:pStyle w:val="TOC3"/>
        <w:rPr>
          <w:rFonts w:ascii="Calibri" w:hAnsi="Calibri"/>
          <w:sz w:val="22"/>
          <w:szCs w:val="22"/>
          <w:lang w:val="en-US"/>
        </w:rPr>
      </w:pPr>
      <w:r>
        <w:t>2.</w:t>
      </w:r>
      <w:r>
        <w:rPr>
          <w:rFonts w:ascii="Calibri" w:hAnsi="Calibri"/>
          <w:sz w:val="22"/>
          <w:szCs w:val="22"/>
          <w:lang w:val="en-US"/>
        </w:rPr>
        <w:tab/>
      </w:r>
      <w:r>
        <w:t>Inventories</w:t>
      </w:r>
      <w:r>
        <w:tab/>
      </w:r>
      <w:r w:rsidR="003747B3">
        <w:fldChar w:fldCharType="begin"/>
      </w:r>
      <w:r>
        <w:instrText xml:space="preserve"> PAGEREF _Toc437340539 \h </w:instrText>
      </w:r>
      <w:r w:rsidR="003747B3">
        <w:fldChar w:fldCharType="separate"/>
      </w:r>
      <w:r w:rsidR="00B82233">
        <w:t>21</w:t>
      </w:r>
      <w:r w:rsidR="003747B3">
        <w:fldChar w:fldCharType="end"/>
      </w:r>
    </w:p>
    <w:p w:rsidR="00390882" w:rsidRDefault="00390882">
      <w:pPr>
        <w:pStyle w:val="TOC2"/>
        <w:tabs>
          <w:tab w:val="left" w:pos="1418"/>
        </w:tabs>
        <w:rPr>
          <w:rFonts w:ascii="Calibri" w:hAnsi="Calibri"/>
          <w:sz w:val="22"/>
          <w:szCs w:val="22"/>
          <w:lang w:val="en-US"/>
        </w:rPr>
      </w:pPr>
      <w:r>
        <w:t>E.</w:t>
      </w:r>
      <w:r>
        <w:rPr>
          <w:rFonts w:ascii="Calibri" w:hAnsi="Calibri"/>
          <w:sz w:val="22"/>
          <w:szCs w:val="22"/>
          <w:lang w:val="en-US"/>
        </w:rPr>
        <w:tab/>
      </w:r>
      <w:r>
        <w:t>Sampling, analysis and monitoring</w:t>
      </w:r>
      <w:r>
        <w:tab/>
      </w:r>
      <w:r w:rsidR="003747B3">
        <w:fldChar w:fldCharType="begin"/>
      </w:r>
      <w:r>
        <w:instrText xml:space="preserve"> PAGEREF _Toc437340540 \h </w:instrText>
      </w:r>
      <w:r w:rsidR="003747B3">
        <w:fldChar w:fldCharType="separate"/>
      </w:r>
      <w:r w:rsidR="00B82233">
        <w:t>22</w:t>
      </w:r>
      <w:r w:rsidR="003747B3">
        <w:fldChar w:fldCharType="end"/>
      </w:r>
    </w:p>
    <w:p w:rsidR="00390882" w:rsidRDefault="00390882">
      <w:pPr>
        <w:pStyle w:val="TOC3"/>
        <w:rPr>
          <w:rFonts w:ascii="Calibri" w:hAnsi="Calibri"/>
          <w:sz w:val="22"/>
          <w:szCs w:val="22"/>
          <w:lang w:val="en-US"/>
        </w:rPr>
      </w:pPr>
      <w:r>
        <w:t>1.</w:t>
      </w:r>
      <w:r>
        <w:rPr>
          <w:rFonts w:ascii="Calibri" w:hAnsi="Calibri"/>
          <w:sz w:val="22"/>
          <w:szCs w:val="22"/>
          <w:lang w:val="en-US"/>
        </w:rPr>
        <w:tab/>
      </w:r>
      <w:r>
        <w:t>Sampling</w:t>
      </w:r>
      <w:r>
        <w:tab/>
      </w:r>
      <w:r w:rsidR="003747B3">
        <w:fldChar w:fldCharType="begin"/>
      </w:r>
      <w:r>
        <w:instrText xml:space="preserve"> PAGEREF _Toc437340541 \h </w:instrText>
      </w:r>
      <w:r w:rsidR="003747B3">
        <w:fldChar w:fldCharType="separate"/>
      </w:r>
      <w:r w:rsidR="00B82233">
        <w:t>22</w:t>
      </w:r>
      <w:r w:rsidR="003747B3">
        <w:fldChar w:fldCharType="end"/>
      </w:r>
    </w:p>
    <w:p w:rsidR="00390882" w:rsidRDefault="00390882">
      <w:pPr>
        <w:pStyle w:val="TOC3"/>
        <w:rPr>
          <w:rFonts w:ascii="Calibri" w:hAnsi="Calibri"/>
          <w:sz w:val="22"/>
          <w:szCs w:val="22"/>
          <w:lang w:val="en-US"/>
        </w:rPr>
      </w:pPr>
      <w:r>
        <w:t>2.</w:t>
      </w:r>
      <w:r>
        <w:rPr>
          <w:rFonts w:ascii="Calibri" w:hAnsi="Calibri"/>
          <w:sz w:val="22"/>
          <w:szCs w:val="22"/>
          <w:lang w:val="en-US"/>
        </w:rPr>
        <w:tab/>
      </w:r>
      <w:r>
        <w:t>Analysis</w:t>
      </w:r>
      <w:r>
        <w:tab/>
      </w:r>
      <w:r w:rsidR="003747B3">
        <w:fldChar w:fldCharType="begin"/>
      </w:r>
      <w:r>
        <w:instrText xml:space="preserve"> PAGEREF _Toc437340542 \h </w:instrText>
      </w:r>
      <w:r w:rsidR="003747B3">
        <w:fldChar w:fldCharType="separate"/>
      </w:r>
      <w:r w:rsidR="00B82233">
        <w:t>23</w:t>
      </w:r>
      <w:r w:rsidR="003747B3">
        <w:fldChar w:fldCharType="end"/>
      </w:r>
    </w:p>
    <w:p w:rsidR="00390882" w:rsidRDefault="00390882">
      <w:pPr>
        <w:pStyle w:val="TOC3"/>
        <w:rPr>
          <w:rFonts w:ascii="Calibri" w:hAnsi="Calibri"/>
          <w:sz w:val="22"/>
          <w:szCs w:val="22"/>
          <w:lang w:val="en-US"/>
        </w:rPr>
      </w:pPr>
      <w:r>
        <w:t>3.</w:t>
      </w:r>
      <w:r>
        <w:rPr>
          <w:rFonts w:ascii="Calibri" w:hAnsi="Calibri"/>
          <w:sz w:val="22"/>
          <w:szCs w:val="22"/>
          <w:lang w:val="en-US"/>
        </w:rPr>
        <w:tab/>
      </w:r>
      <w:r>
        <w:t>Monitoring</w:t>
      </w:r>
      <w:r>
        <w:tab/>
      </w:r>
      <w:r w:rsidR="003747B3">
        <w:fldChar w:fldCharType="begin"/>
      </w:r>
      <w:r>
        <w:instrText xml:space="preserve"> PAGEREF _Toc437340543 \h </w:instrText>
      </w:r>
      <w:r w:rsidR="003747B3">
        <w:fldChar w:fldCharType="separate"/>
      </w:r>
      <w:r w:rsidR="00B82233">
        <w:t>25</w:t>
      </w:r>
      <w:r w:rsidR="003747B3">
        <w:fldChar w:fldCharType="end"/>
      </w:r>
    </w:p>
    <w:p w:rsidR="00390882" w:rsidRDefault="00390882">
      <w:pPr>
        <w:pStyle w:val="TOC2"/>
        <w:tabs>
          <w:tab w:val="left" w:pos="1418"/>
        </w:tabs>
        <w:rPr>
          <w:rFonts w:ascii="Calibri" w:hAnsi="Calibri"/>
          <w:sz w:val="22"/>
          <w:szCs w:val="22"/>
          <w:lang w:val="en-US"/>
        </w:rPr>
      </w:pPr>
      <w:r>
        <w:t>F.</w:t>
      </w:r>
      <w:r>
        <w:rPr>
          <w:rFonts w:ascii="Calibri" w:hAnsi="Calibri"/>
          <w:sz w:val="22"/>
          <w:szCs w:val="22"/>
          <w:lang w:val="en-US"/>
        </w:rPr>
        <w:tab/>
      </w:r>
      <w:r>
        <w:t>Handling, collection, packaging, labelling, transportation and storage</w:t>
      </w:r>
      <w:r>
        <w:tab/>
      </w:r>
      <w:r w:rsidR="003747B3">
        <w:fldChar w:fldCharType="begin"/>
      </w:r>
      <w:r>
        <w:instrText xml:space="preserve"> PAGEREF _Toc437340544 \h </w:instrText>
      </w:r>
      <w:r w:rsidR="003747B3">
        <w:fldChar w:fldCharType="separate"/>
      </w:r>
      <w:r w:rsidR="00B82233">
        <w:t>26</w:t>
      </w:r>
      <w:r w:rsidR="003747B3">
        <w:fldChar w:fldCharType="end"/>
      </w:r>
    </w:p>
    <w:p w:rsidR="00390882" w:rsidRDefault="00390882">
      <w:pPr>
        <w:pStyle w:val="TOC3"/>
        <w:rPr>
          <w:rFonts w:ascii="Calibri" w:hAnsi="Calibri"/>
          <w:sz w:val="22"/>
          <w:szCs w:val="22"/>
          <w:lang w:val="en-US"/>
        </w:rPr>
      </w:pPr>
      <w:r>
        <w:t>1.</w:t>
      </w:r>
      <w:r>
        <w:rPr>
          <w:rFonts w:ascii="Calibri" w:hAnsi="Calibri"/>
          <w:sz w:val="22"/>
          <w:szCs w:val="22"/>
          <w:lang w:val="en-US"/>
        </w:rPr>
        <w:tab/>
      </w:r>
      <w:r>
        <w:t>Handling</w:t>
      </w:r>
      <w:r>
        <w:tab/>
      </w:r>
      <w:r w:rsidR="003747B3">
        <w:fldChar w:fldCharType="begin"/>
      </w:r>
      <w:r>
        <w:instrText xml:space="preserve"> PAGEREF _Toc437340545 \h </w:instrText>
      </w:r>
      <w:r w:rsidR="003747B3">
        <w:fldChar w:fldCharType="separate"/>
      </w:r>
      <w:r w:rsidR="00B82233">
        <w:t>26</w:t>
      </w:r>
      <w:r w:rsidR="003747B3">
        <w:fldChar w:fldCharType="end"/>
      </w:r>
    </w:p>
    <w:p w:rsidR="00390882" w:rsidRDefault="00390882">
      <w:pPr>
        <w:pStyle w:val="TOC3"/>
        <w:rPr>
          <w:rFonts w:ascii="Calibri" w:hAnsi="Calibri"/>
          <w:sz w:val="22"/>
          <w:szCs w:val="22"/>
          <w:lang w:val="en-US"/>
        </w:rPr>
      </w:pPr>
      <w:r>
        <w:t xml:space="preserve">2. </w:t>
      </w:r>
      <w:r>
        <w:rPr>
          <w:rFonts w:ascii="Calibri" w:hAnsi="Calibri"/>
          <w:sz w:val="22"/>
          <w:szCs w:val="22"/>
          <w:lang w:val="en-US"/>
        </w:rPr>
        <w:tab/>
      </w:r>
      <w:r>
        <w:t>Collection</w:t>
      </w:r>
      <w:r>
        <w:tab/>
      </w:r>
      <w:r w:rsidR="003747B3">
        <w:fldChar w:fldCharType="begin"/>
      </w:r>
      <w:r>
        <w:instrText xml:space="preserve"> PAGEREF _Toc437340546 \h </w:instrText>
      </w:r>
      <w:r w:rsidR="003747B3">
        <w:fldChar w:fldCharType="separate"/>
      </w:r>
      <w:r w:rsidR="00B82233">
        <w:t>27</w:t>
      </w:r>
      <w:r w:rsidR="003747B3">
        <w:fldChar w:fldCharType="end"/>
      </w:r>
    </w:p>
    <w:p w:rsidR="00390882" w:rsidRDefault="00390882">
      <w:pPr>
        <w:pStyle w:val="TOC3"/>
        <w:rPr>
          <w:rFonts w:ascii="Calibri" w:hAnsi="Calibri"/>
          <w:sz w:val="22"/>
          <w:szCs w:val="22"/>
          <w:lang w:val="en-US"/>
        </w:rPr>
      </w:pPr>
      <w:r>
        <w:t>3.</w:t>
      </w:r>
      <w:r>
        <w:rPr>
          <w:rFonts w:ascii="Calibri" w:hAnsi="Calibri"/>
          <w:sz w:val="22"/>
          <w:szCs w:val="22"/>
          <w:lang w:val="en-US"/>
        </w:rPr>
        <w:tab/>
      </w:r>
      <w:r>
        <w:t>Packaging</w:t>
      </w:r>
      <w:r>
        <w:tab/>
      </w:r>
      <w:r w:rsidR="003747B3">
        <w:fldChar w:fldCharType="begin"/>
      </w:r>
      <w:r>
        <w:instrText xml:space="preserve"> PAGEREF _Toc437340547 \h </w:instrText>
      </w:r>
      <w:r w:rsidR="003747B3">
        <w:fldChar w:fldCharType="separate"/>
      </w:r>
      <w:r w:rsidR="00B82233">
        <w:t>27</w:t>
      </w:r>
      <w:r w:rsidR="003747B3">
        <w:fldChar w:fldCharType="end"/>
      </w:r>
    </w:p>
    <w:p w:rsidR="00390882" w:rsidRDefault="00390882">
      <w:pPr>
        <w:pStyle w:val="TOC3"/>
        <w:rPr>
          <w:rFonts w:ascii="Calibri" w:hAnsi="Calibri"/>
          <w:sz w:val="22"/>
          <w:szCs w:val="22"/>
          <w:lang w:val="en-US"/>
        </w:rPr>
      </w:pPr>
      <w:r>
        <w:t>4.</w:t>
      </w:r>
      <w:r>
        <w:rPr>
          <w:rFonts w:ascii="Calibri" w:hAnsi="Calibri"/>
          <w:sz w:val="22"/>
          <w:szCs w:val="22"/>
          <w:lang w:val="en-US"/>
        </w:rPr>
        <w:tab/>
      </w:r>
      <w:r>
        <w:t>Labelling</w:t>
      </w:r>
      <w:r>
        <w:tab/>
      </w:r>
      <w:r w:rsidR="003747B3">
        <w:fldChar w:fldCharType="begin"/>
      </w:r>
      <w:r>
        <w:instrText xml:space="preserve"> PAGEREF _Toc437340548 \h </w:instrText>
      </w:r>
      <w:r w:rsidR="003747B3">
        <w:fldChar w:fldCharType="separate"/>
      </w:r>
      <w:r w:rsidR="00B82233">
        <w:t>28</w:t>
      </w:r>
      <w:r w:rsidR="003747B3">
        <w:fldChar w:fldCharType="end"/>
      </w:r>
    </w:p>
    <w:p w:rsidR="00390882" w:rsidRDefault="00390882">
      <w:pPr>
        <w:pStyle w:val="TOC3"/>
        <w:rPr>
          <w:rFonts w:ascii="Calibri" w:hAnsi="Calibri"/>
          <w:sz w:val="22"/>
          <w:szCs w:val="22"/>
          <w:lang w:val="en-US"/>
        </w:rPr>
      </w:pPr>
      <w:r>
        <w:t>5.</w:t>
      </w:r>
      <w:r>
        <w:rPr>
          <w:rFonts w:ascii="Calibri" w:hAnsi="Calibri"/>
          <w:sz w:val="22"/>
          <w:szCs w:val="22"/>
          <w:lang w:val="en-US"/>
        </w:rPr>
        <w:tab/>
      </w:r>
      <w:r>
        <w:t>Transportation</w:t>
      </w:r>
      <w:r>
        <w:tab/>
      </w:r>
      <w:r w:rsidR="003747B3">
        <w:fldChar w:fldCharType="begin"/>
      </w:r>
      <w:r>
        <w:instrText xml:space="preserve"> PAGEREF _Toc437340549 \h </w:instrText>
      </w:r>
      <w:r w:rsidR="003747B3">
        <w:fldChar w:fldCharType="separate"/>
      </w:r>
      <w:r w:rsidR="00B82233">
        <w:t>28</w:t>
      </w:r>
      <w:r w:rsidR="003747B3">
        <w:fldChar w:fldCharType="end"/>
      </w:r>
    </w:p>
    <w:p w:rsidR="00390882" w:rsidRDefault="00390882">
      <w:pPr>
        <w:pStyle w:val="TOC3"/>
        <w:rPr>
          <w:rFonts w:ascii="Calibri" w:hAnsi="Calibri"/>
          <w:sz w:val="22"/>
          <w:szCs w:val="22"/>
          <w:lang w:val="en-US"/>
        </w:rPr>
      </w:pPr>
      <w:r>
        <w:t>6.</w:t>
      </w:r>
      <w:r>
        <w:rPr>
          <w:rFonts w:ascii="Calibri" w:hAnsi="Calibri"/>
          <w:sz w:val="22"/>
          <w:szCs w:val="22"/>
          <w:lang w:val="en-US"/>
        </w:rPr>
        <w:tab/>
      </w:r>
      <w:r>
        <w:t>Storage</w:t>
      </w:r>
      <w:r>
        <w:tab/>
      </w:r>
      <w:r w:rsidR="003747B3">
        <w:fldChar w:fldCharType="begin"/>
      </w:r>
      <w:r>
        <w:instrText xml:space="preserve"> PAGEREF _Toc437340550 \h </w:instrText>
      </w:r>
      <w:r w:rsidR="003747B3">
        <w:fldChar w:fldCharType="separate"/>
      </w:r>
      <w:r w:rsidR="00B82233">
        <w:t>28</w:t>
      </w:r>
      <w:r w:rsidR="003747B3">
        <w:fldChar w:fldCharType="end"/>
      </w:r>
    </w:p>
    <w:p w:rsidR="00390882" w:rsidRDefault="00390882">
      <w:pPr>
        <w:pStyle w:val="TOC2"/>
        <w:tabs>
          <w:tab w:val="left" w:pos="1418"/>
        </w:tabs>
        <w:rPr>
          <w:rFonts w:ascii="Calibri" w:hAnsi="Calibri"/>
          <w:sz w:val="22"/>
          <w:szCs w:val="22"/>
          <w:lang w:val="en-US"/>
        </w:rPr>
      </w:pPr>
      <w:r>
        <w:t>G.</w:t>
      </w:r>
      <w:r>
        <w:rPr>
          <w:rFonts w:ascii="Calibri" w:hAnsi="Calibri"/>
          <w:sz w:val="22"/>
          <w:szCs w:val="22"/>
          <w:lang w:val="en-US"/>
        </w:rPr>
        <w:tab/>
      </w:r>
      <w:r>
        <w:t>Environmentally sound disposal</w:t>
      </w:r>
      <w:r>
        <w:tab/>
      </w:r>
      <w:r w:rsidR="003747B3">
        <w:fldChar w:fldCharType="begin"/>
      </w:r>
      <w:r>
        <w:instrText xml:space="preserve"> PAGEREF _Toc437340551 \h </w:instrText>
      </w:r>
      <w:r w:rsidR="003747B3">
        <w:fldChar w:fldCharType="separate"/>
      </w:r>
      <w:r w:rsidR="00B82233">
        <w:t>30</w:t>
      </w:r>
      <w:r w:rsidR="003747B3">
        <w:fldChar w:fldCharType="end"/>
      </w:r>
    </w:p>
    <w:p w:rsidR="00390882" w:rsidRDefault="00390882">
      <w:pPr>
        <w:pStyle w:val="TOC3"/>
        <w:rPr>
          <w:rFonts w:ascii="Calibri" w:hAnsi="Calibri"/>
          <w:sz w:val="22"/>
          <w:szCs w:val="22"/>
          <w:lang w:val="en-US"/>
        </w:rPr>
      </w:pPr>
      <w:r>
        <w:t>1.</w:t>
      </w:r>
      <w:r>
        <w:rPr>
          <w:rFonts w:ascii="Calibri" w:hAnsi="Calibri"/>
          <w:sz w:val="22"/>
          <w:szCs w:val="22"/>
          <w:lang w:val="en-US"/>
        </w:rPr>
        <w:tab/>
      </w:r>
      <w:r>
        <w:t>Pre-treatment</w:t>
      </w:r>
      <w:r>
        <w:tab/>
      </w:r>
      <w:r w:rsidR="003747B3">
        <w:fldChar w:fldCharType="begin"/>
      </w:r>
      <w:r>
        <w:instrText xml:space="preserve"> PAGEREF _Toc437340552 \h </w:instrText>
      </w:r>
      <w:r w:rsidR="003747B3">
        <w:fldChar w:fldCharType="separate"/>
      </w:r>
      <w:r w:rsidR="00B82233">
        <w:t>30</w:t>
      </w:r>
      <w:r w:rsidR="003747B3">
        <w:fldChar w:fldCharType="end"/>
      </w:r>
    </w:p>
    <w:p w:rsidR="00390882" w:rsidRDefault="00390882">
      <w:pPr>
        <w:pStyle w:val="TOC4"/>
        <w:tabs>
          <w:tab w:val="left" w:pos="2335"/>
        </w:tabs>
        <w:rPr>
          <w:rFonts w:ascii="Calibri" w:hAnsi="Calibri"/>
          <w:sz w:val="22"/>
          <w:szCs w:val="22"/>
          <w:lang w:val="en-US"/>
        </w:rPr>
      </w:pPr>
      <w:r>
        <w:t xml:space="preserve">(a) </w:t>
      </w:r>
      <w:r>
        <w:rPr>
          <w:rFonts w:ascii="Calibri" w:hAnsi="Calibri"/>
          <w:sz w:val="22"/>
          <w:szCs w:val="22"/>
          <w:lang w:val="en-US"/>
        </w:rPr>
        <w:tab/>
      </w:r>
      <w:r>
        <w:t>Adsorption and absorption</w:t>
      </w:r>
      <w:r>
        <w:tab/>
      </w:r>
      <w:r w:rsidR="003747B3">
        <w:fldChar w:fldCharType="begin"/>
      </w:r>
      <w:r>
        <w:instrText xml:space="preserve"> PAGEREF _Toc437340553 \h </w:instrText>
      </w:r>
      <w:r w:rsidR="003747B3">
        <w:fldChar w:fldCharType="separate"/>
      </w:r>
      <w:r w:rsidR="00B82233">
        <w:t>30</w:t>
      </w:r>
      <w:r w:rsidR="003747B3">
        <w:fldChar w:fldCharType="end"/>
      </w:r>
    </w:p>
    <w:p w:rsidR="00390882" w:rsidRDefault="00390882">
      <w:pPr>
        <w:pStyle w:val="TOC4"/>
        <w:tabs>
          <w:tab w:val="left" w:pos="2296"/>
        </w:tabs>
        <w:rPr>
          <w:rFonts w:ascii="Calibri" w:hAnsi="Calibri"/>
          <w:sz w:val="22"/>
          <w:szCs w:val="22"/>
          <w:lang w:val="en-US"/>
        </w:rPr>
      </w:pPr>
      <w:r>
        <w:t>(b)</w:t>
      </w:r>
      <w:r>
        <w:rPr>
          <w:rFonts w:ascii="Calibri" w:hAnsi="Calibri"/>
          <w:sz w:val="22"/>
          <w:szCs w:val="22"/>
          <w:lang w:val="en-US"/>
        </w:rPr>
        <w:tab/>
      </w:r>
      <w:r>
        <w:t>Blending</w:t>
      </w:r>
      <w:r>
        <w:tab/>
      </w:r>
      <w:r w:rsidR="003747B3">
        <w:fldChar w:fldCharType="begin"/>
      </w:r>
      <w:r>
        <w:instrText xml:space="preserve"> PAGEREF _Toc437340554 \h </w:instrText>
      </w:r>
      <w:r w:rsidR="003747B3">
        <w:fldChar w:fldCharType="separate"/>
      </w:r>
      <w:r w:rsidR="00B82233">
        <w:t>30</w:t>
      </w:r>
      <w:r w:rsidR="003747B3">
        <w:fldChar w:fldCharType="end"/>
      </w:r>
    </w:p>
    <w:p w:rsidR="00390882" w:rsidRDefault="00390882">
      <w:pPr>
        <w:pStyle w:val="TOC4"/>
        <w:tabs>
          <w:tab w:val="left" w:pos="2285"/>
        </w:tabs>
        <w:rPr>
          <w:rFonts w:ascii="Calibri" w:hAnsi="Calibri"/>
          <w:sz w:val="22"/>
          <w:szCs w:val="22"/>
          <w:lang w:val="en-US"/>
        </w:rPr>
      </w:pPr>
      <w:r>
        <w:t>(c)</w:t>
      </w:r>
      <w:r>
        <w:rPr>
          <w:rFonts w:ascii="Calibri" w:hAnsi="Calibri"/>
          <w:sz w:val="22"/>
          <w:szCs w:val="22"/>
          <w:lang w:val="en-US"/>
        </w:rPr>
        <w:tab/>
      </w:r>
      <w:r>
        <w:t>Desorption</w:t>
      </w:r>
      <w:r>
        <w:tab/>
      </w:r>
      <w:r w:rsidR="003747B3">
        <w:fldChar w:fldCharType="begin"/>
      </w:r>
      <w:r>
        <w:instrText xml:space="preserve"> PAGEREF _Toc437340555 \h </w:instrText>
      </w:r>
      <w:r w:rsidR="003747B3">
        <w:fldChar w:fldCharType="separate"/>
      </w:r>
      <w:r w:rsidR="00B82233">
        <w:t>30</w:t>
      </w:r>
      <w:r w:rsidR="003747B3">
        <w:fldChar w:fldCharType="end"/>
      </w:r>
    </w:p>
    <w:p w:rsidR="00390882" w:rsidRDefault="00390882">
      <w:pPr>
        <w:pStyle w:val="TOC4"/>
        <w:tabs>
          <w:tab w:val="left" w:pos="2296"/>
        </w:tabs>
        <w:rPr>
          <w:rFonts w:ascii="Calibri" w:hAnsi="Calibri"/>
          <w:sz w:val="22"/>
          <w:szCs w:val="22"/>
          <w:lang w:val="en-US"/>
        </w:rPr>
      </w:pPr>
      <w:r>
        <w:t>(d)</w:t>
      </w:r>
      <w:r>
        <w:rPr>
          <w:rFonts w:ascii="Calibri" w:hAnsi="Calibri"/>
          <w:sz w:val="22"/>
          <w:szCs w:val="22"/>
          <w:lang w:val="en-US"/>
        </w:rPr>
        <w:tab/>
      </w:r>
      <w:r>
        <w:t>Dewatering</w:t>
      </w:r>
      <w:r>
        <w:tab/>
      </w:r>
      <w:r w:rsidR="003747B3">
        <w:fldChar w:fldCharType="begin"/>
      </w:r>
      <w:r>
        <w:instrText xml:space="preserve"> PAGEREF _Toc437340556 \h </w:instrText>
      </w:r>
      <w:r w:rsidR="003747B3">
        <w:fldChar w:fldCharType="separate"/>
      </w:r>
      <w:r w:rsidR="00B82233">
        <w:t>30</w:t>
      </w:r>
      <w:r w:rsidR="003747B3">
        <w:fldChar w:fldCharType="end"/>
      </w:r>
    </w:p>
    <w:p w:rsidR="00390882" w:rsidRDefault="00390882">
      <w:pPr>
        <w:pStyle w:val="TOC4"/>
        <w:tabs>
          <w:tab w:val="left" w:pos="2285"/>
        </w:tabs>
        <w:rPr>
          <w:rFonts w:ascii="Calibri" w:hAnsi="Calibri"/>
          <w:sz w:val="22"/>
          <w:szCs w:val="22"/>
          <w:lang w:val="en-US"/>
        </w:rPr>
      </w:pPr>
      <w:r>
        <w:t>(e)</w:t>
      </w:r>
      <w:r>
        <w:rPr>
          <w:rFonts w:ascii="Calibri" w:hAnsi="Calibri"/>
          <w:sz w:val="22"/>
          <w:szCs w:val="22"/>
          <w:lang w:val="en-US"/>
        </w:rPr>
        <w:tab/>
      </w:r>
      <w:r>
        <w:t>Dismantling/disassembling</w:t>
      </w:r>
      <w:r>
        <w:tab/>
      </w:r>
      <w:r w:rsidR="003747B3">
        <w:fldChar w:fldCharType="begin"/>
      </w:r>
      <w:r>
        <w:instrText xml:space="preserve"> PAGEREF _Toc437340557 \h </w:instrText>
      </w:r>
      <w:r w:rsidR="003747B3">
        <w:fldChar w:fldCharType="separate"/>
      </w:r>
      <w:r w:rsidR="00B82233">
        <w:t>30</w:t>
      </w:r>
      <w:r w:rsidR="003747B3">
        <w:fldChar w:fldCharType="end"/>
      </w:r>
    </w:p>
    <w:p w:rsidR="00390882" w:rsidRDefault="00390882">
      <w:pPr>
        <w:pStyle w:val="TOC4"/>
        <w:tabs>
          <w:tab w:val="left" w:pos="2313"/>
        </w:tabs>
        <w:rPr>
          <w:rFonts w:ascii="Calibri" w:hAnsi="Calibri"/>
          <w:sz w:val="22"/>
          <w:szCs w:val="22"/>
          <w:lang w:val="en-US"/>
        </w:rPr>
      </w:pPr>
      <w:r>
        <w:t xml:space="preserve">(f) </w:t>
      </w:r>
      <w:r>
        <w:rPr>
          <w:rFonts w:ascii="Calibri" w:hAnsi="Calibri"/>
          <w:sz w:val="22"/>
          <w:szCs w:val="22"/>
          <w:lang w:val="en-US"/>
        </w:rPr>
        <w:tab/>
      </w:r>
      <w:r>
        <w:t>Drying</w:t>
      </w:r>
      <w:r>
        <w:tab/>
      </w:r>
      <w:r w:rsidR="003747B3">
        <w:fldChar w:fldCharType="begin"/>
      </w:r>
      <w:r>
        <w:instrText xml:space="preserve"> PAGEREF _Toc437340558 \h </w:instrText>
      </w:r>
      <w:r w:rsidR="003747B3">
        <w:fldChar w:fldCharType="separate"/>
      </w:r>
      <w:r w:rsidR="00B82233">
        <w:t>31</w:t>
      </w:r>
      <w:r w:rsidR="003747B3">
        <w:fldChar w:fldCharType="end"/>
      </w:r>
    </w:p>
    <w:p w:rsidR="00390882" w:rsidRDefault="00390882">
      <w:pPr>
        <w:pStyle w:val="TOC4"/>
        <w:tabs>
          <w:tab w:val="left" w:pos="2346"/>
        </w:tabs>
        <w:rPr>
          <w:rFonts w:ascii="Calibri" w:hAnsi="Calibri"/>
          <w:sz w:val="22"/>
          <w:szCs w:val="22"/>
          <w:lang w:val="en-US"/>
        </w:rPr>
      </w:pPr>
      <w:r>
        <w:t xml:space="preserve">(g) </w:t>
      </w:r>
      <w:r>
        <w:rPr>
          <w:rFonts w:ascii="Calibri" w:hAnsi="Calibri"/>
          <w:sz w:val="22"/>
          <w:szCs w:val="22"/>
          <w:lang w:val="en-US"/>
        </w:rPr>
        <w:tab/>
      </w:r>
      <w:r>
        <w:t>Mechanical separation</w:t>
      </w:r>
      <w:r>
        <w:tab/>
      </w:r>
      <w:r w:rsidR="003747B3">
        <w:fldChar w:fldCharType="begin"/>
      </w:r>
      <w:r>
        <w:instrText xml:space="preserve"> PAGEREF _Toc437340559 \h </w:instrText>
      </w:r>
      <w:r w:rsidR="003747B3">
        <w:fldChar w:fldCharType="separate"/>
      </w:r>
      <w:r w:rsidR="00B82233">
        <w:t>31</w:t>
      </w:r>
      <w:r w:rsidR="003747B3">
        <w:fldChar w:fldCharType="end"/>
      </w:r>
    </w:p>
    <w:p w:rsidR="00390882" w:rsidRDefault="00390882">
      <w:pPr>
        <w:pStyle w:val="TOC4"/>
        <w:tabs>
          <w:tab w:val="left" w:pos="2346"/>
        </w:tabs>
        <w:rPr>
          <w:rFonts w:ascii="Calibri" w:hAnsi="Calibri"/>
          <w:sz w:val="22"/>
          <w:szCs w:val="22"/>
          <w:lang w:val="en-US"/>
        </w:rPr>
      </w:pPr>
      <w:r>
        <w:t xml:space="preserve">(h) </w:t>
      </w:r>
      <w:r>
        <w:rPr>
          <w:rFonts w:ascii="Calibri" w:hAnsi="Calibri"/>
          <w:sz w:val="22"/>
          <w:szCs w:val="22"/>
          <w:lang w:val="en-US"/>
        </w:rPr>
        <w:tab/>
      </w:r>
      <w:r>
        <w:t>Membrane filtration</w:t>
      </w:r>
      <w:r>
        <w:tab/>
      </w:r>
      <w:r w:rsidR="003747B3">
        <w:fldChar w:fldCharType="begin"/>
      </w:r>
      <w:r>
        <w:instrText xml:space="preserve"> PAGEREF _Toc437340560 \h </w:instrText>
      </w:r>
      <w:r w:rsidR="003747B3">
        <w:fldChar w:fldCharType="separate"/>
      </w:r>
      <w:r w:rsidR="00B82233">
        <w:t>31</w:t>
      </w:r>
      <w:r w:rsidR="003747B3">
        <w:fldChar w:fldCharType="end"/>
      </w:r>
    </w:p>
    <w:p w:rsidR="00390882" w:rsidRDefault="00390882">
      <w:pPr>
        <w:pStyle w:val="TOC4"/>
        <w:tabs>
          <w:tab w:val="left" w:pos="2302"/>
        </w:tabs>
        <w:rPr>
          <w:rFonts w:ascii="Calibri" w:hAnsi="Calibri"/>
          <w:sz w:val="22"/>
          <w:szCs w:val="22"/>
          <w:lang w:val="en-US"/>
        </w:rPr>
      </w:pPr>
      <w:r>
        <w:t xml:space="preserve">(i) </w:t>
      </w:r>
      <w:r>
        <w:rPr>
          <w:rFonts w:ascii="Calibri" w:hAnsi="Calibri"/>
          <w:sz w:val="22"/>
          <w:szCs w:val="22"/>
          <w:lang w:val="en-US"/>
        </w:rPr>
        <w:tab/>
      </w:r>
      <w:r>
        <w:t>Mixing</w:t>
      </w:r>
      <w:r>
        <w:tab/>
      </w:r>
      <w:r w:rsidR="003747B3">
        <w:fldChar w:fldCharType="begin"/>
      </w:r>
      <w:r>
        <w:instrText xml:space="preserve"> PAGEREF _Toc437340561 \h </w:instrText>
      </w:r>
      <w:r w:rsidR="003747B3">
        <w:fldChar w:fldCharType="separate"/>
      </w:r>
      <w:r w:rsidR="00B82233">
        <w:t>31</w:t>
      </w:r>
      <w:r w:rsidR="003747B3">
        <w:fldChar w:fldCharType="end"/>
      </w:r>
    </w:p>
    <w:p w:rsidR="00390882" w:rsidRDefault="00390882">
      <w:pPr>
        <w:pStyle w:val="TOC4"/>
        <w:tabs>
          <w:tab w:val="left" w:pos="2302"/>
        </w:tabs>
        <w:rPr>
          <w:rFonts w:ascii="Calibri" w:hAnsi="Calibri"/>
          <w:sz w:val="22"/>
          <w:szCs w:val="22"/>
          <w:lang w:val="en-US"/>
        </w:rPr>
      </w:pPr>
      <w:r>
        <w:t xml:space="preserve">(j) </w:t>
      </w:r>
      <w:r>
        <w:rPr>
          <w:rFonts w:ascii="Calibri" w:hAnsi="Calibri"/>
          <w:sz w:val="22"/>
          <w:szCs w:val="22"/>
          <w:lang w:val="en-US"/>
        </w:rPr>
        <w:tab/>
      </w:r>
      <w:r>
        <w:t>Oil-water separation</w:t>
      </w:r>
      <w:r>
        <w:tab/>
      </w:r>
      <w:r w:rsidR="003747B3">
        <w:fldChar w:fldCharType="begin"/>
      </w:r>
      <w:r>
        <w:instrText xml:space="preserve"> PAGEREF _Toc437340562 \h </w:instrText>
      </w:r>
      <w:r w:rsidR="003747B3">
        <w:fldChar w:fldCharType="separate"/>
      </w:r>
      <w:r w:rsidR="00B82233">
        <w:t>31</w:t>
      </w:r>
      <w:r w:rsidR="003747B3">
        <w:fldChar w:fldCharType="end"/>
      </w:r>
    </w:p>
    <w:p w:rsidR="00390882" w:rsidRDefault="00390882">
      <w:pPr>
        <w:pStyle w:val="TOC4"/>
        <w:tabs>
          <w:tab w:val="left" w:pos="2296"/>
        </w:tabs>
        <w:rPr>
          <w:rFonts w:ascii="Calibri" w:hAnsi="Calibri"/>
          <w:sz w:val="22"/>
          <w:szCs w:val="22"/>
          <w:lang w:val="en-US"/>
        </w:rPr>
      </w:pPr>
      <w:r>
        <w:t>(k)</w:t>
      </w:r>
      <w:r>
        <w:rPr>
          <w:rFonts w:ascii="Calibri" w:hAnsi="Calibri"/>
          <w:sz w:val="22"/>
          <w:szCs w:val="22"/>
          <w:lang w:val="en-US"/>
        </w:rPr>
        <w:tab/>
      </w:r>
      <w:r>
        <w:t>pH adjustment</w:t>
      </w:r>
      <w:r>
        <w:tab/>
      </w:r>
      <w:r w:rsidR="003747B3">
        <w:fldChar w:fldCharType="begin"/>
      </w:r>
      <w:r>
        <w:instrText xml:space="preserve"> PAGEREF _Toc437340563 \h </w:instrText>
      </w:r>
      <w:r w:rsidR="003747B3">
        <w:fldChar w:fldCharType="separate"/>
      </w:r>
      <w:r w:rsidR="00B82233">
        <w:t>31</w:t>
      </w:r>
      <w:r w:rsidR="003747B3">
        <w:fldChar w:fldCharType="end"/>
      </w:r>
    </w:p>
    <w:p w:rsidR="00390882" w:rsidRDefault="00390882">
      <w:pPr>
        <w:pStyle w:val="TOC4"/>
        <w:tabs>
          <w:tab w:val="left" w:pos="2302"/>
        </w:tabs>
        <w:rPr>
          <w:rFonts w:ascii="Calibri" w:hAnsi="Calibri"/>
          <w:sz w:val="22"/>
          <w:szCs w:val="22"/>
          <w:lang w:val="en-US"/>
        </w:rPr>
      </w:pPr>
      <w:r>
        <w:t xml:space="preserve">(l) </w:t>
      </w:r>
      <w:r>
        <w:rPr>
          <w:rFonts w:ascii="Calibri" w:hAnsi="Calibri"/>
          <w:sz w:val="22"/>
          <w:szCs w:val="22"/>
          <w:lang w:val="en-US"/>
        </w:rPr>
        <w:tab/>
      </w:r>
      <w:r>
        <w:t>Size reduction</w:t>
      </w:r>
      <w:r>
        <w:tab/>
      </w:r>
      <w:r w:rsidR="003747B3">
        <w:fldChar w:fldCharType="begin"/>
      </w:r>
      <w:r>
        <w:instrText xml:space="preserve"> PAGEREF _Toc437340564 \h </w:instrText>
      </w:r>
      <w:r w:rsidR="003747B3">
        <w:fldChar w:fldCharType="separate"/>
      </w:r>
      <w:r w:rsidR="00B82233">
        <w:t>31</w:t>
      </w:r>
      <w:r w:rsidR="003747B3">
        <w:fldChar w:fldCharType="end"/>
      </w:r>
    </w:p>
    <w:p w:rsidR="00390882" w:rsidRDefault="00390882">
      <w:pPr>
        <w:pStyle w:val="TOC4"/>
        <w:tabs>
          <w:tab w:val="left" w:pos="2402"/>
        </w:tabs>
        <w:rPr>
          <w:rFonts w:ascii="Calibri" w:hAnsi="Calibri"/>
          <w:sz w:val="22"/>
          <w:szCs w:val="22"/>
          <w:lang w:val="en-US"/>
        </w:rPr>
      </w:pPr>
      <w:r>
        <w:t xml:space="preserve">(m) </w:t>
      </w:r>
      <w:r>
        <w:rPr>
          <w:rFonts w:ascii="Calibri" w:hAnsi="Calibri"/>
          <w:sz w:val="22"/>
          <w:szCs w:val="22"/>
          <w:lang w:val="en-US"/>
        </w:rPr>
        <w:tab/>
      </w:r>
      <w:r>
        <w:t>Solvent washing</w:t>
      </w:r>
      <w:r>
        <w:tab/>
      </w:r>
      <w:r w:rsidR="003747B3">
        <w:fldChar w:fldCharType="begin"/>
      </w:r>
      <w:r>
        <w:instrText xml:space="preserve"> PAGEREF _Toc437340565 \h </w:instrText>
      </w:r>
      <w:r w:rsidR="003747B3">
        <w:fldChar w:fldCharType="separate"/>
      </w:r>
      <w:r w:rsidR="00B82233">
        <w:t>31</w:t>
      </w:r>
      <w:r w:rsidR="003747B3">
        <w:fldChar w:fldCharType="end"/>
      </w:r>
    </w:p>
    <w:p w:rsidR="00390882" w:rsidRDefault="00390882">
      <w:pPr>
        <w:pStyle w:val="TOC4"/>
        <w:tabs>
          <w:tab w:val="left" w:pos="2346"/>
        </w:tabs>
        <w:rPr>
          <w:rFonts w:ascii="Calibri" w:hAnsi="Calibri"/>
          <w:sz w:val="22"/>
          <w:szCs w:val="22"/>
          <w:lang w:val="en-US"/>
        </w:rPr>
      </w:pPr>
      <w:r>
        <w:t xml:space="preserve">(n) </w:t>
      </w:r>
      <w:r>
        <w:rPr>
          <w:rFonts w:ascii="Calibri" w:hAnsi="Calibri"/>
          <w:sz w:val="22"/>
          <w:szCs w:val="22"/>
          <w:lang w:val="en-US"/>
        </w:rPr>
        <w:tab/>
      </w:r>
      <w:r>
        <w:t>Stabilization and solidification</w:t>
      </w:r>
      <w:r>
        <w:tab/>
      </w:r>
      <w:r w:rsidR="003747B3">
        <w:fldChar w:fldCharType="begin"/>
      </w:r>
      <w:r>
        <w:instrText xml:space="preserve"> PAGEREF _Toc437340566 \h </w:instrText>
      </w:r>
      <w:r w:rsidR="003747B3">
        <w:fldChar w:fldCharType="separate"/>
      </w:r>
      <w:r w:rsidR="00B82233">
        <w:t>31</w:t>
      </w:r>
      <w:r w:rsidR="003747B3">
        <w:fldChar w:fldCharType="end"/>
      </w:r>
    </w:p>
    <w:p w:rsidR="00390882" w:rsidRDefault="00390882">
      <w:pPr>
        <w:pStyle w:val="TOC4"/>
        <w:tabs>
          <w:tab w:val="left" w:pos="2346"/>
        </w:tabs>
        <w:rPr>
          <w:rFonts w:ascii="Calibri" w:hAnsi="Calibri"/>
          <w:sz w:val="22"/>
          <w:szCs w:val="22"/>
          <w:lang w:val="en-US"/>
        </w:rPr>
      </w:pPr>
      <w:r>
        <w:t xml:space="preserve">(o) </w:t>
      </w:r>
      <w:r>
        <w:rPr>
          <w:rFonts w:ascii="Calibri" w:hAnsi="Calibri"/>
          <w:sz w:val="22"/>
          <w:szCs w:val="22"/>
          <w:lang w:val="en-US"/>
        </w:rPr>
        <w:tab/>
      </w:r>
      <w:r>
        <w:t>Vaporization</w:t>
      </w:r>
      <w:r>
        <w:tab/>
      </w:r>
      <w:r w:rsidR="003747B3">
        <w:fldChar w:fldCharType="begin"/>
      </w:r>
      <w:r>
        <w:instrText xml:space="preserve"> PAGEREF _Toc437340567 \h </w:instrText>
      </w:r>
      <w:r w:rsidR="003747B3">
        <w:fldChar w:fldCharType="separate"/>
      </w:r>
      <w:r w:rsidR="00B82233">
        <w:t>32</w:t>
      </w:r>
      <w:r w:rsidR="003747B3">
        <w:fldChar w:fldCharType="end"/>
      </w:r>
    </w:p>
    <w:p w:rsidR="00390882" w:rsidRDefault="00390882">
      <w:pPr>
        <w:pStyle w:val="TOC4"/>
        <w:tabs>
          <w:tab w:val="left" w:pos="2296"/>
        </w:tabs>
      </w:pPr>
      <w:r>
        <w:t>(p)</w:t>
      </w:r>
      <w:r>
        <w:rPr>
          <w:rFonts w:ascii="Calibri" w:hAnsi="Calibri"/>
          <w:sz w:val="22"/>
          <w:szCs w:val="22"/>
          <w:lang w:val="en-US"/>
        </w:rPr>
        <w:tab/>
      </w:r>
      <w:r>
        <w:t>Volume reduction</w:t>
      </w:r>
      <w:r>
        <w:tab/>
      </w:r>
      <w:r w:rsidR="003747B3">
        <w:fldChar w:fldCharType="begin"/>
      </w:r>
      <w:r>
        <w:instrText xml:space="preserve"> PAGEREF _Toc437340568 \h </w:instrText>
      </w:r>
      <w:r w:rsidR="003747B3">
        <w:fldChar w:fldCharType="separate"/>
      </w:r>
      <w:r w:rsidR="00B82233">
        <w:t>32</w:t>
      </w:r>
      <w:r w:rsidR="003747B3">
        <w:fldChar w:fldCharType="end"/>
      </w:r>
    </w:p>
    <w:p w:rsidR="00093BCE" w:rsidRDefault="00390882" w:rsidP="00093BCE">
      <w:pPr>
        <w:pStyle w:val="TOC3"/>
        <w:spacing w:before="120"/>
      </w:pPr>
      <w:r>
        <w:t>2.</w:t>
      </w:r>
      <w:r>
        <w:rPr>
          <w:rFonts w:ascii="Calibri" w:hAnsi="Calibri"/>
          <w:sz w:val="22"/>
          <w:szCs w:val="22"/>
          <w:lang w:val="en-US"/>
        </w:rPr>
        <w:tab/>
      </w:r>
      <w:r>
        <w:t>Destruction and irreversible transformation methods</w:t>
      </w:r>
      <w:r>
        <w:tab/>
      </w:r>
      <w:r w:rsidR="003747B3">
        <w:fldChar w:fldCharType="begin"/>
      </w:r>
      <w:r>
        <w:instrText xml:space="preserve"> PAGEREF _Toc437340569 \h </w:instrText>
      </w:r>
      <w:r w:rsidR="003747B3">
        <w:fldChar w:fldCharType="separate"/>
      </w:r>
      <w:r w:rsidR="00B82233">
        <w:t>32</w:t>
      </w:r>
      <w:r w:rsidR="003747B3">
        <w:fldChar w:fldCharType="end"/>
      </w:r>
    </w:p>
    <w:p w:rsidR="00093BCE" w:rsidRDefault="00390882" w:rsidP="00093BCE">
      <w:pPr>
        <w:pStyle w:val="TOC4"/>
        <w:tabs>
          <w:tab w:val="left" w:pos="2285"/>
        </w:tabs>
        <w:spacing w:before="120"/>
        <w:rPr>
          <w:rFonts w:ascii="Calibri" w:hAnsi="Calibri"/>
          <w:sz w:val="22"/>
          <w:szCs w:val="22"/>
          <w:lang w:val="en-US"/>
        </w:rPr>
      </w:pPr>
      <w:r>
        <w:t>(a)</w:t>
      </w:r>
      <w:r>
        <w:rPr>
          <w:rFonts w:ascii="Calibri" w:hAnsi="Calibri"/>
          <w:sz w:val="22"/>
          <w:szCs w:val="22"/>
          <w:lang w:val="en-US"/>
        </w:rPr>
        <w:tab/>
      </w:r>
      <w:r>
        <w:t>Alkali metal reduction</w:t>
      </w:r>
      <w:r>
        <w:tab/>
      </w:r>
      <w:r w:rsidR="003747B3">
        <w:fldChar w:fldCharType="begin"/>
      </w:r>
      <w:r>
        <w:instrText xml:space="preserve"> PAGEREF _Toc437340570 \h </w:instrText>
      </w:r>
      <w:r w:rsidR="003747B3">
        <w:fldChar w:fldCharType="separate"/>
      </w:r>
      <w:r w:rsidR="00B82233">
        <w:t>33</w:t>
      </w:r>
      <w:r w:rsidR="003747B3">
        <w:fldChar w:fldCharType="end"/>
      </w:r>
    </w:p>
    <w:p w:rsidR="00390882" w:rsidRDefault="00390882">
      <w:pPr>
        <w:pStyle w:val="TOC4"/>
        <w:tabs>
          <w:tab w:val="left" w:pos="2296"/>
        </w:tabs>
        <w:rPr>
          <w:rFonts w:ascii="Calibri" w:hAnsi="Calibri"/>
          <w:sz w:val="22"/>
          <w:szCs w:val="22"/>
          <w:lang w:val="en-US"/>
        </w:rPr>
      </w:pPr>
      <w:r w:rsidRPr="002C49BF">
        <w:t>(b)</w:t>
      </w:r>
      <w:r>
        <w:rPr>
          <w:rFonts w:ascii="Calibri" w:hAnsi="Calibri"/>
          <w:sz w:val="22"/>
          <w:szCs w:val="22"/>
          <w:lang w:val="en-US"/>
        </w:rPr>
        <w:tab/>
      </w:r>
      <w:r w:rsidRPr="002C49BF">
        <w:t>Advanced Solid Waste Incineration (ASWI)</w:t>
      </w:r>
      <w:r>
        <w:tab/>
      </w:r>
      <w:r w:rsidR="003747B3">
        <w:fldChar w:fldCharType="begin"/>
      </w:r>
      <w:r>
        <w:instrText xml:space="preserve"> PAGEREF _Toc437340571 \h </w:instrText>
      </w:r>
      <w:r w:rsidR="003747B3">
        <w:fldChar w:fldCharType="separate"/>
      </w:r>
      <w:r w:rsidR="00B82233">
        <w:t>34</w:t>
      </w:r>
      <w:r w:rsidR="003747B3">
        <w:fldChar w:fldCharType="end"/>
      </w:r>
    </w:p>
    <w:p w:rsidR="00390882" w:rsidRDefault="00390882">
      <w:pPr>
        <w:pStyle w:val="TOC4"/>
        <w:tabs>
          <w:tab w:val="left" w:pos="2285"/>
        </w:tabs>
        <w:rPr>
          <w:rFonts w:ascii="Calibri" w:hAnsi="Calibri"/>
          <w:sz w:val="22"/>
          <w:szCs w:val="22"/>
          <w:lang w:val="en-US"/>
        </w:rPr>
      </w:pPr>
      <w:r>
        <w:t>(c)</w:t>
      </w:r>
      <w:r>
        <w:rPr>
          <w:rFonts w:ascii="Calibri" w:hAnsi="Calibri"/>
          <w:sz w:val="22"/>
          <w:szCs w:val="22"/>
          <w:lang w:val="en-US"/>
        </w:rPr>
        <w:tab/>
      </w:r>
      <w:r>
        <w:t>Base-catalysed decomposition (BCD)</w:t>
      </w:r>
      <w:r>
        <w:tab/>
      </w:r>
      <w:r w:rsidR="003747B3">
        <w:fldChar w:fldCharType="begin"/>
      </w:r>
      <w:r>
        <w:instrText xml:space="preserve"> PAGEREF _Toc437340572 \h </w:instrText>
      </w:r>
      <w:r w:rsidR="003747B3">
        <w:fldChar w:fldCharType="separate"/>
      </w:r>
      <w:r w:rsidR="00B82233">
        <w:t>36</w:t>
      </w:r>
      <w:r w:rsidR="003747B3">
        <w:fldChar w:fldCharType="end"/>
      </w:r>
    </w:p>
    <w:p w:rsidR="00390882" w:rsidRDefault="00390882">
      <w:pPr>
        <w:pStyle w:val="TOC4"/>
        <w:tabs>
          <w:tab w:val="left" w:pos="2296"/>
        </w:tabs>
        <w:rPr>
          <w:rFonts w:ascii="Calibri" w:hAnsi="Calibri"/>
          <w:sz w:val="22"/>
          <w:szCs w:val="22"/>
          <w:lang w:val="en-US"/>
        </w:rPr>
      </w:pPr>
      <w:r>
        <w:t>(d)</w:t>
      </w:r>
      <w:r>
        <w:rPr>
          <w:rFonts w:ascii="Calibri" w:hAnsi="Calibri"/>
          <w:sz w:val="22"/>
          <w:szCs w:val="22"/>
          <w:lang w:val="en-US"/>
        </w:rPr>
        <w:tab/>
      </w:r>
      <w:r>
        <w:t>Catalytic hydrodechlorination (CHD)</w:t>
      </w:r>
      <w:r>
        <w:tab/>
      </w:r>
      <w:r w:rsidR="003747B3">
        <w:fldChar w:fldCharType="begin"/>
      </w:r>
      <w:r>
        <w:instrText xml:space="preserve"> PAGEREF _Toc437340573 \h </w:instrText>
      </w:r>
      <w:r w:rsidR="003747B3">
        <w:fldChar w:fldCharType="separate"/>
      </w:r>
      <w:r w:rsidR="00B82233">
        <w:t>38</w:t>
      </w:r>
      <w:r w:rsidR="003747B3">
        <w:fldChar w:fldCharType="end"/>
      </w:r>
    </w:p>
    <w:p w:rsidR="00390882" w:rsidRDefault="00390882">
      <w:pPr>
        <w:pStyle w:val="TOC4"/>
        <w:tabs>
          <w:tab w:val="left" w:pos="2285"/>
        </w:tabs>
        <w:rPr>
          <w:rFonts w:ascii="Calibri" w:hAnsi="Calibri"/>
          <w:sz w:val="22"/>
          <w:szCs w:val="22"/>
          <w:lang w:val="en-US"/>
        </w:rPr>
      </w:pPr>
      <w:r>
        <w:t>(e)</w:t>
      </w:r>
      <w:r>
        <w:rPr>
          <w:rFonts w:ascii="Calibri" w:hAnsi="Calibri"/>
          <w:sz w:val="22"/>
          <w:szCs w:val="22"/>
          <w:lang w:val="en-US"/>
        </w:rPr>
        <w:tab/>
      </w:r>
      <w:r>
        <w:t>Cement kiln co-incineration</w:t>
      </w:r>
      <w:r>
        <w:tab/>
      </w:r>
      <w:r w:rsidR="003747B3">
        <w:fldChar w:fldCharType="begin"/>
      </w:r>
      <w:r>
        <w:instrText xml:space="preserve"> PAGEREF _Toc437340574 \h </w:instrText>
      </w:r>
      <w:r w:rsidR="003747B3">
        <w:fldChar w:fldCharType="separate"/>
      </w:r>
      <w:r w:rsidR="00B82233">
        <w:t>39</w:t>
      </w:r>
      <w:r w:rsidR="003747B3">
        <w:fldChar w:fldCharType="end"/>
      </w:r>
    </w:p>
    <w:p w:rsidR="00390882" w:rsidRDefault="00390882">
      <w:pPr>
        <w:pStyle w:val="TOC4"/>
        <w:tabs>
          <w:tab w:val="left" w:pos="2268"/>
        </w:tabs>
        <w:rPr>
          <w:rFonts w:ascii="Calibri" w:hAnsi="Calibri"/>
          <w:sz w:val="22"/>
          <w:szCs w:val="22"/>
          <w:lang w:val="en-US"/>
        </w:rPr>
      </w:pPr>
      <w:r>
        <w:t>(f)</w:t>
      </w:r>
      <w:r>
        <w:rPr>
          <w:rFonts w:ascii="Calibri" w:hAnsi="Calibri"/>
          <w:sz w:val="22"/>
          <w:szCs w:val="22"/>
          <w:lang w:val="en-US"/>
        </w:rPr>
        <w:tab/>
      </w:r>
      <w:r>
        <w:t>Gas-phase chemical reduction (GPCR)</w:t>
      </w:r>
      <w:r>
        <w:tab/>
      </w:r>
      <w:r w:rsidR="003747B3">
        <w:fldChar w:fldCharType="begin"/>
      </w:r>
      <w:r>
        <w:instrText xml:space="preserve"> PAGEREF _Toc437340575 \h </w:instrText>
      </w:r>
      <w:r w:rsidR="003747B3">
        <w:fldChar w:fldCharType="separate"/>
      </w:r>
      <w:r w:rsidR="00B82233">
        <w:t>40</w:t>
      </w:r>
      <w:r w:rsidR="003747B3">
        <w:fldChar w:fldCharType="end"/>
      </w:r>
    </w:p>
    <w:p w:rsidR="00390882" w:rsidRDefault="00390882">
      <w:pPr>
        <w:pStyle w:val="TOC4"/>
        <w:tabs>
          <w:tab w:val="left" w:pos="2296"/>
        </w:tabs>
        <w:rPr>
          <w:rFonts w:ascii="Calibri" w:hAnsi="Calibri"/>
          <w:sz w:val="22"/>
          <w:szCs w:val="22"/>
          <w:lang w:val="en-US"/>
        </w:rPr>
      </w:pPr>
      <w:r>
        <w:t>(g)</w:t>
      </w:r>
      <w:r>
        <w:rPr>
          <w:rFonts w:ascii="Calibri" w:hAnsi="Calibri"/>
          <w:sz w:val="22"/>
          <w:szCs w:val="22"/>
          <w:lang w:val="en-US"/>
        </w:rPr>
        <w:tab/>
      </w:r>
      <w:r>
        <w:t>Hazardous waste incineration</w:t>
      </w:r>
      <w:r>
        <w:tab/>
      </w:r>
      <w:r w:rsidR="003747B3">
        <w:fldChar w:fldCharType="begin"/>
      </w:r>
      <w:r>
        <w:instrText xml:space="preserve"> PAGEREF _Toc437340576 \h </w:instrText>
      </w:r>
      <w:r w:rsidR="003747B3">
        <w:fldChar w:fldCharType="separate"/>
      </w:r>
      <w:r w:rsidR="00B82233">
        <w:t>42</w:t>
      </w:r>
      <w:r w:rsidR="003747B3">
        <w:fldChar w:fldCharType="end"/>
      </w:r>
    </w:p>
    <w:p w:rsidR="00390882" w:rsidRDefault="00390882">
      <w:pPr>
        <w:pStyle w:val="TOC4"/>
        <w:tabs>
          <w:tab w:val="left" w:pos="2296"/>
        </w:tabs>
        <w:rPr>
          <w:rFonts w:ascii="Calibri" w:hAnsi="Calibri"/>
          <w:sz w:val="22"/>
          <w:szCs w:val="22"/>
          <w:lang w:val="en-US"/>
        </w:rPr>
      </w:pPr>
      <w:r w:rsidRPr="002C49BF">
        <w:t>(h)</w:t>
      </w:r>
      <w:r>
        <w:rPr>
          <w:rFonts w:ascii="Calibri" w:hAnsi="Calibri"/>
          <w:sz w:val="22"/>
          <w:szCs w:val="22"/>
          <w:lang w:val="en-US"/>
        </w:rPr>
        <w:tab/>
      </w:r>
      <w:r>
        <w:t>Plasma Arc</w:t>
      </w:r>
      <w:r>
        <w:tab/>
      </w:r>
      <w:r w:rsidR="003747B3">
        <w:fldChar w:fldCharType="begin"/>
      </w:r>
      <w:r>
        <w:instrText xml:space="preserve"> PAGEREF _Toc437340577 \h </w:instrText>
      </w:r>
      <w:r w:rsidR="003747B3">
        <w:fldChar w:fldCharType="separate"/>
      </w:r>
      <w:r w:rsidR="00B82233">
        <w:t>43</w:t>
      </w:r>
      <w:r w:rsidR="003747B3">
        <w:fldChar w:fldCharType="end"/>
      </w:r>
    </w:p>
    <w:p w:rsidR="00390882" w:rsidRDefault="00390882">
      <w:pPr>
        <w:pStyle w:val="TOC4"/>
        <w:tabs>
          <w:tab w:val="left" w:pos="2268"/>
        </w:tabs>
        <w:rPr>
          <w:rFonts w:ascii="Calibri" w:hAnsi="Calibri"/>
          <w:sz w:val="22"/>
          <w:szCs w:val="22"/>
          <w:lang w:val="en-US"/>
        </w:rPr>
      </w:pPr>
      <w:r>
        <w:t>(i)</w:t>
      </w:r>
      <w:r>
        <w:rPr>
          <w:rFonts w:ascii="Calibri" w:hAnsi="Calibri"/>
          <w:sz w:val="22"/>
          <w:szCs w:val="22"/>
          <w:lang w:val="en-US"/>
        </w:rPr>
        <w:tab/>
      </w:r>
      <w:r>
        <w:t>Plasma</w:t>
      </w:r>
      <w:r>
        <w:rPr>
          <w:lang w:eastAsia="ja-JP"/>
        </w:rPr>
        <w:t xml:space="preserve"> Melting Decomposition Method</w:t>
      </w:r>
      <w:r>
        <w:tab/>
      </w:r>
      <w:r w:rsidR="003747B3">
        <w:fldChar w:fldCharType="begin"/>
      </w:r>
      <w:r>
        <w:instrText xml:space="preserve"> PAGEREF _Toc437340578 \h </w:instrText>
      </w:r>
      <w:r w:rsidR="003747B3">
        <w:fldChar w:fldCharType="separate"/>
      </w:r>
      <w:r w:rsidR="00B82233">
        <w:t>44</w:t>
      </w:r>
      <w:r w:rsidR="003747B3">
        <w:fldChar w:fldCharType="end"/>
      </w:r>
    </w:p>
    <w:p w:rsidR="00390882" w:rsidRDefault="00390882">
      <w:pPr>
        <w:pStyle w:val="TOC4"/>
        <w:tabs>
          <w:tab w:val="left" w:pos="2268"/>
        </w:tabs>
        <w:rPr>
          <w:rFonts w:ascii="Calibri" w:hAnsi="Calibri"/>
          <w:sz w:val="22"/>
          <w:szCs w:val="22"/>
          <w:lang w:val="en-US"/>
        </w:rPr>
      </w:pPr>
      <w:r>
        <w:t>(j)</w:t>
      </w:r>
      <w:r>
        <w:rPr>
          <w:rFonts w:ascii="Calibri" w:hAnsi="Calibri"/>
          <w:sz w:val="22"/>
          <w:szCs w:val="22"/>
          <w:lang w:val="en-US"/>
        </w:rPr>
        <w:tab/>
      </w:r>
      <w:r>
        <w:t>Supercritical water oxidation (SCWO) and subcritical water oxidation</w:t>
      </w:r>
      <w:r>
        <w:tab/>
      </w:r>
      <w:r w:rsidR="003747B3">
        <w:fldChar w:fldCharType="begin"/>
      </w:r>
      <w:r>
        <w:instrText xml:space="preserve"> PAGEREF _Toc437340579 \h </w:instrText>
      </w:r>
      <w:r w:rsidR="003747B3">
        <w:fldChar w:fldCharType="separate"/>
      </w:r>
      <w:r w:rsidR="00B82233">
        <w:t>45</w:t>
      </w:r>
      <w:r w:rsidR="003747B3">
        <w:fldChar w:fldCharType="end"/>
      </w:r>
    </w:p>
    <w:p w:rsidR="00390882" w:rsidRDefault="00390882">
      <w:pPr>
        <w:pStyle w:val="TOC4"/>
        <w:tabs>
          <w:tab w:val="left" w:pos="2296"/>
        </w:tabs>
      </w:pPr>
      <w:r>
        <w:t>(k)</w:t>
      </w:r>
      <w:r>
        <w:rPr>
          <w:rFonts w:ascii="Calibri" w:hAnsi="Calibri"/>
          <w:sz w:val="22"/>
          <w:szCs w:val="22"/>
          <w:lang w:val="en-US"/>
        </w:rPr>
        <w:tab/>
      </w:r>
      <w:r>
        <w:t>Thermal and metallurgical production of metals</w:t>
      </w:r>
      <w:r>
        <w:tab/>
      </w:r>
      <w:r w:rsidR="003747B3">
        <w:fldChar w:fldCharType="begin"/>
      </w:r>
      <w:r>
        <w:instrText xml:space="preserve"> PAGEREF _Toc437340580 \h </w:instrText>
      </w:r>
      <w:r w:rsidR="003747B3">
        <w:fldChar w:fldCharType="separate"/>
      </w:r>
      <w:r w:rsidR="00B82233">
        <w:t>47</w:t>
      </w:r>
      <w:r w:rsidR="003747B3">
        <w:fldChar w:fldCharType="end"/>
      </w:r>
    </w:p>
    <w:p w:rsidR="00093BCE" w:rsidRDefault="00390882" w:rsidP="00093BCE">
      <w:pPr>
        <w:pStyle w:val="TOC3"/>
        <w:spacing w:before="120"/>
        <w:rPr>
          <w:rFonts w:ascii="Calibri" w:hAnsi="Calibri"/>
          <w:sz w:val="22"/>
          <w:szCs w:val="22"/>
          <w:lang w:val="en-US"/>
        </w:rPr>
      </w:pPr>
      <w:r>
        <w:t>3.</w:t>
      </w:r>
      <w:r>
        <w:rPr>
          <w:rFonts w:ascii="Calibri" w:hAnsi="Calibri"/>
          <w:sz w:val="22"/>
          <w:szCs w:val="22"/>
          <w:lang w:val="en-US"/>
        </w:rPr>
        <w:tab/>
      </w:r>
      <w:r>
        <w:t>Other disposal methods when neither destruction nor irreversible transformation is the environmentally preferable option</w:t>
      </w:r>
      <w:r>
        <w:tab/>
      </w:r>
      <w:r w:rsidR="003747B3">
        <w:fldChar w:fldCharType="begin"/>
      </w:r>
      <w:r>
        <w:instrText xml:space="preserve"> PAGEREF _Toc437340581 \h </w:instrText>
      </w:r>
      <w:r w:rsidR="003747B3">
        <w:fldChar w:fldCharType="separate"/>
      </w:r>
      <w:r w:rsidR="00B82233">
        <w:t>48</w:t>
      </w:r>
      <w:r w:rsidR="003747B3">
        <w:fldChar w:fldCharType="end"/>
      </w:r>
    </w:p>
    <w:p w:rsidR="00093BCE" w:rsidRDefault="00390882" w:rsidP="00093BCE">
      <w:pPr>
        <w:pStyle w:val="TOC4"/>
        <w:tabs>
          <w:tab w:val="left" w:pos="2285"/>
        </w:tabs>
        <w:spacing w:before="120"/>
        <w:rPr>
          <w:rFonts w:ascii="Calibri" w:hAnsi="Calibri"/>
          <w:sz w:val="22"/>
          <w:szCs w:val="22"/>
          <w:lang w:val="en-US"/>
        </w:rPr>
      </w:pPr>
      <w:r>
        <w:t>(a)</w:t>
      </w:r>
      <w:r>
        <w:rPr>
          <w:rFonts w:ascii="Calibri" w:hAnsi="Calibri"/>
          <w:sz w:val="22"/>
          <w:szCs w:val="22"/>
          <w:lang w:val="en-US"/>
        </w:rPr>
        <w:tab/>
      </w:r>
      <w:r>
        <w:rPr>
          <w:lang w:eastAsia="ja-JP"/>
        </w:rPr>
        <w:t>Specially</w:t>
      </w:r>
      <w:r>
        <w:t xml:space="preserve"> engineered landfill</w:t>
      </w:r>
      <w:r>
        <w:tab/>
      </w:r>
      <w:r w:rsidR="003747B3">
        <w:fldChar w:fldCharType="begin"/>
      </w:r>
      <w:r>
        <w:instrText xml:space="preserve"> PAGEREF _Toc437340582 \h </w:instrText>
      </w:r>
      <w:r w:rsidR="003747B3">
        <w:fldChar w:fldCharType="separate"/>
      </w:r>
      <w:r w:rsidR="00B82233">
        <w:t>49</w:t>
      </w:r>
      <w:r w:rsidR="003747B3">
        <w:fldChar w:fldCharType="end"/>
      </w:r>
    </w:p>
    <w:p w:rsidR="00390882" w:rsidRDefault="00390882">
      <w:pPr>
        <w:pStyle w:val="TOC4"/>
        <w:tabs>
          <w:tab w:val="left" w:pos="2296"/>
        </w:tabs>
      </w:pPr>
      <w:r>
        <w:t>(b)</w:t>
      </w:r>
      <w:r>
        <w:rPr>
          <w:rFonts w:ascii="Calibri" w:hAnsi="Calibri"/>
          <w:sz w:val="22"/>
          <w:szCs w:val="22"/>
          <w:lang w:val="en-US"/>
        </w:rPr>
        <w:tab/>
      </w:r>
      <w:r>
        <w:t>Permanent storage in underground mines and formations</w:t>
      </w:r>
      <w:r>
        <w:tab/>
      </w:r>
      <w:r w:rsidR="003747B3">
        <w:fldChar w:fldCharType="begin"/>
      </w:r>
      <w:r>
        <w:instrText xml:space="preserve"> PAGEREF _Toc437340583 \h </w:instrText>
      </w:r>
      <w:r w:rsidR="003747B3">
        <w:fldChar w:fldCharType="separate"/>
      </w:r>
      <w:r w:rsidR="00B82233">
        <w:t>50</w:t>
      </w:r>
      <w:r w:rsidR="003747B3">
        <w:fldChar w:fldCharType="end"/>
      </w:r>
    </w:p>
    <w:p w:rsidR="00093BCE" w:rsidRDefault="00390882" w:rsidP="00093BCE">
      <w:pPr>
        <w:pStyle w:val="TOC3"/>
        <w:spacing w:before="120"/>
        <w:rPr>
          <w:rFonts w:ascii="Calibri" w:hAnsi="Calibri"/>
          <w:sz w:val="22"/>
          <w:szCs w:val="22"/>
          <w:lang w:val="en-US"/>
        </w:rPr>
      </w:pPr>
      <w:r>
        <w:t>4.</w:t>
      </w:r>
      <w:r>
        <w:rPr>
          <w:rFonts w:ascii="Calibri" w:hAnsi="Calibri"/>
          <w:sz w:val="22"/>
          <w:szCs w:val="22"/>
          <w:lang w:val="en-US"/>
        </w:rPr>
        <w:tab/>
      </w:r>
      <w:r>
        <w:t>Other disposal methods when the POP content is low</w:t>
      </w:r>
      <w:r>
        <w:tab/>
      </w:r>
      <w:r w:rsidR="003747B3">
        <w:fldChar w:fldCharType="begin"/>
      </w:r>
      <w:r>
        <w:instrText xml:space="preserve"> PAGEREF _Toc437340584 \h </w:instrText>
      </w:r>
      <w:r w:rsidR="003747B3">
        <w:fldChar w:fldCharType="separate"/>
      </w:r>
      <w:r w:rsidR="00B82233">
        <w:t>50</w:t>
      </w:r>
      <w:r w:rsidR="003747B3">
        <w:fldChar w:fldCharType="end"/>
      </w:r>
    </w:p>
    <w:p w:rsidR="00390882" w:rsidRDefault="00390882">
      <w:pPr>
        <w:pStyle w:val="TOC2"/>
        <w:tabs>
          <w:tab w:val="left" w:pos="1418"/>
        </w:tabs>
        <w:rPr>
          <w:rFonts w:ascii="Calibri" w:hAnsi="Calibri"/>
          <w:sz w:val="22"/>
          <w:szCs w:val="22"/>
          <w:lang w:val="en-US"/>
        </w:rPr>
      </w:pPr>
      <w:r>
        <w:t>H.</w:t>
      </w:r>
      <w:r>
        <w:rPr>
          <w:rFonts w:ascii="Calibri" w:hAnsi="Calibri"/>
          <w:sz w:val="22"/>
          <w:szCs w:val="22"/>
          <w:lang w:val="en-US"/>
        </w:rPr>
        <w:tab/>
      </w:r>
      <w:r>
        <w:t>Remediation of contaminated sites</w:t>
      </w:r>
      <w:r>
        <w:tab/>
      </w:r>
      <w:r w:rsidR="003747B3">
        <w:fldChar w:fldCharType="begin"/>
      </w:r>
      <w:r>
        <w:instrText xml:space="preserve"> PAGEREF _Toc437340585 \h </w:instrText>
      </w:r>
      <w:r w:rsidR="003747B3">
        <w:fldChar w:fldCharType="separate"/>
      </w:r>
      <w:r w:rsidR="00B82233">
        <w:t>50</w:t>
      </w:r>
      <w:r w:rsidR="003747B3">
        <w:fldChar w:fldCharType="end"/>
      </w:r>
    </w:p>
    <w:p w:rsidR="00390882" w:rsidRDefault="00390882">
      <w:pPr>
        <w:pStyle w:val="TOC3"/>
        <w:rPr>
          <w:rFonts w:ascii="Calibri" w:hAnsi="Calibri"/>
          <w:sz w:val="22"/>
          <w:szCs w:val="22"/>
          <w:lang w:val="en-US"/>
        </w:rPr>
      </w:pPr>
      <w:r>
        <w:t>1.</w:t>
      </w:r>
      <w:r>
        <w:rPr>
          <w:rFonts w:ascii="Calibri" w:hAnsi="Calibri"/>
          <w:sz w:val="22"/>
          <w:szCs w:val="22"/>
          <w:lang w:val="en-US"/>
        </w:rPr>
        <w:tab/>
      </w:r>
      <w:r>
        <w:t>Contaminated site identification</w:t>
      </w:r>
      <w:r>
        <w:tab/>
      </w:r>
      <w:r w:rsidR="003747B3">
        <w:fldChar w:fldCharType="begin"/>
      </w:r>
      <w:r>
        <w:instrText xml:space="preserve"> PAGEREF _Toc437340586 \h </w:instrText>
      </w:r>
      <w:r w:rsidR="003747B3">
        <w:fldChar w:fldCharType="separate"/>
      </w:r>
      <w:r w:rsidR="00B82233">
        <w:t>50</w:t>
      </w:r>
      <w:r w:rsidR="003747B3">
        <w:fldChar w:fldCharType="end"/>
      </w:r>
    </w:p>
    <w:p w:rsidR="00390882" w:rsidRDefault="00390882">
      <w:pPr>
        <w:pStyle w:val="TOC3"/>
        <w:rPr>
          <w:rFonts w:ascii="Calibri" w:hAnsi="Calibri"/>
          <w:sz w:val="22"/>
          <w:szCs w:val="22"/>
          <w:lang w:val="en-US"/>
        </w:rPr>
      </w:pPr>
      <w:r>
        <w:t>2.</w:t>
      </w:r>
      <w:r>
        <w:rPr>
          <w:rFonts w:ascii="Calibri" w:hAnsi="Calibri"/>
          <w:sz w:val="22"/>
          <w:szCs w:val="22"/>
          <w:lang w:val="en-US"/>
        </w:rPr>
        <w:tab/>
      </w:r>
      <w:r>
        <w:t>Environmentally sound remediation</w:t>
      </w:r>
      <w:r>
        <w:tab/>
      </w:r>
      <w:r w:rsidR="003747B3">
        <w:fldChar w:fldCharType="begin"/>
      </w:r>
      <w:r>
        <w:instrText xml:space="preserve"> PAGEREF _Toc437340587 \h </w:instrText>
      </w:r>
      <w:r w:rsidR="003747B3">
        <w:fldChar w:fldCharType="separate"/>
      </w:r>
      <w:r w:rsidR="00B82233">
        <w:t>51</w:t>
      </w:r>
      <w:r w:rsidR="003747B3">
        <w:fldChar w:fldCharType="end"/>
      </w:r>
    </w:p>
    <w:p w:rsidR="00390882" w:rsidRDefault="00390882">
      <w:pPr>
        <w:pStyle w:val="TOC2"/>
        <w:tabs>
          <w:tab w:val="left" w:pos="1418"/>
        </w:tabs>
        <w:rPr>
          <w:rFonts w:ascii="Calibri" w:hAnsi="Calibri"/>
          <w:sz w:val="22"/>
          <w:szCs w:val="22"/>
          <w:lang w:val="en-US"/>
        </w:rPr>
      </w:pPr>
      <w:r>
        <w:t>I.</w:t>
      </w:r>
      <w:r>
        <w:rPr>
          <w:rFonts w:ascii="Calibri" w:hAnsi="Calibri"/>
          <w:sz w:val="22"/>
          <w:szCs w:val="22"/>
          <w:lang w:val="en-US"/>
        </w:rPr>
        <w:tab/>
      </w:r>
      <w:r>
        <w:t>Health and safety</w:t>
      </w:r>
      <w:r>
        <w:tab/>
      </w:r>
      <w:r w:rsidR="003747B3">
        <w:fldChar w:fldCharType="begin"/>
      </w:r>
      <w:r>
        <w:instrText xml:space="preserve"> PAGEREF _Toc437340588 \h </w:instrText>
      </w:r>
      <w:r w:rsidR="003747B3">
        <w:fldChar w:fldCharType="separate"/>
      </w:r>
      <w:r w:rsidR="00B82233">
        <w:t>52</w:t>
      </w:r>
      <w:r w:rsidR="003747B3">
        <w:fldChar w:fldCharType="end"/>
      </w:r>
    </w:p>
    <w:p w:rsidR="00390882" w:rsidRDefault="00390882">
      <w:pPr>
        <w:pStyle w:val="TOC3"/>
        <w:rPr>
          <w:rFonts w:ascii="Calibri" w:hAnsi="Calibri"/>
          <w:sz w:val="22"/>
          <w:szCs w:val="22"/>
          <w:lang w:val="en-US"/>
        </w:rPr>
      </w:pPr>
      <w:r>
        <w:t>1.</w:t>
      </w:r>
      <w:r>
        <w:rPr>
          <w:rFonts w:ascii="Calibri" w:hAnsi="Calibri"/>
          <w:sz w:val="22"/>
          <w:szCs w:val="22"/>
          <w:lang w:val="en-US"/>
        </w:rPr>
        <w:tab/>
      </w:r>
      <w:r>
        <w:t>Higher-risk situations</w:t>
      </w:r>
      <w:r>
        <w:tab/>
      </w:r>
      <w:r w:rsidR="003747B3">
        <w:fldChar w:fldCharType="begin"/>
      </w:r>
      <w:r>
        <w:instrText xml:space="preserve"> PAGEREF _Toc437340589 \h </w:instrText>
      </w:r>
      <w:r w:rsidR="003747B3">
        <w:fldChar w:fldCharType="separate"/>
      </w:r>
      <w:r w:rsidR="00B82233">
        <w:t>52</w:t>
      </w:r>
      <w:r w:rsidR="003747B3">
        <w:fldChar w:fldCharType="end"/>
      </w:r>
    </w:p>
    <w:p w:rsidR="00390882" w:rsidRDefault="00390882">
      <w:pPr>
        <w:pStyle w:val="TOC3"/>
        <w:rPr>
          <w:rFonts w:ascii="Calibri" w:hAnsi="Calibri"/>
          <w:sz w:val="22"/>
          <w:szCs w:val="22"/>
          <w:lang w:val="en-US"/>
        </w:rPr>
      </w:pPr>
      <w:r>
        <w:t>2.</w:t>
      </w:r>
      <w:r>
        <w:rPr>
          <w:rFonts w:ascii="Calibri" w:hAnsi="Calibri"/>
          <w:sz w:val="22"/>
          <w:szCs w:val="22"/>
          <w:lang w:val="en-US"/>
        </w:rPr>
        <w:tab/>
      </w:r>
      <w:r>
        <w:t>Lower-risk situations</w:t>
      </w:r>
      <w:r>
        <w:tab/>
      </w:r>
      <w:r w:rsidR="003747B3">
        <w:fldChar w:fldCharType="begin"/>
      </w:r>
      <w:r>
        <w:instrText xml:space="preserve"> PAGEREF _Toc437340590 \h </w:instrText>
      </w:r>
      <w:r w:rsidR="003747B3">
        <w:fldChar w:fldCharType="separate"/>
      </w:r>
      <w:r w:rsidR="00B82233">
        <w:t>53</w:t>
      </w:r>
      <w:r w:rsidR="003747B3">
        <w:fldChar w:fldCharType="end"/>
      </w:r>
    </w:p>
    <w:p w:rsidR="00390882" w:rsidRDefault="00390882">
      <w:pPr>
        <w:pStyle w:val="TOC2"/>
        <w:tabs>
          <w:tab w:val="left" w:pos="1418"/>
        </w:tabs>
        <w:rPr>
          <w:rFonts w:ascii="Calibri" w:hAnsi="Calibri"/>
          <w:sz w:val="22"/>
          <w:szCs w:val="22"/>
          <w:lang w:val="en-US"/>
        </w:rPr>
      </w:pPr>
      <w:r>
        <w:t>J.</w:t>
      </w:r>
      <w:r>
        <w:rPr>
          <w:rFonts w:ascii="Calibri" w:hAnsi="Calibri"/>
          <w:sz w:val="22"/>
          <w:szCs w:val="22"/>
          <w:lang w:val="en-US"/>
        </w:rPr>
        <w:tab/>
      </w:r>
      <w:r>
        <w:t>Emergency response</w:t>
      </w:r>
      <w:r>
        <w:tab/>
      </w:r>
      <w:r w:rsidR="003747B3">
        <w:fldChar w:fldCharType="begin"/>
      </w:r>
      <w:r>
        <w:instrText xml:space="preserve"> PAGEREF _Toc437340591 \h </w:instrText>
      </w:r>
      <w:r w:rsidR="003747B3">
        <w:fldChar w:fldCharType="separate"/>
      </w:r>
      <w:r w:rsidR="00B82233">
        <w:t>53</w:t>
      </w:r>
      <w:r w:rsidR="003747B3">
        <w:fldChar w:fldCharType="end"/>
      </w:r>
    </w:p>
    <w:p w:rsidR="00390882" w:rsidRDefault="00390882">
      <w:pPr>
        <w:pStyle w:val="TOC2"/>
        <w:tabs>
          <w:tab w:val="left" w:pos="1418"/>
        </w:tabs>
        <w:rPr>
          <w:rFonts w:ascii="Calibri" w:hAnsi="Calibri"/>
          <w:sz w:val="22"/>
          <w:szCs w:val="22"/>
          <w:lang w:val="en-US"/>
        </w:rPr>
      </w:pPr>
      <w:r>
        <w:t>K.</w:t>
      </w:r>
      <w:r>
        <w:rPr>
          <w:rFonts w:ascii="Calibri" w:hAnsi="Calibri"/>
          <w:sz w:val="22"/>
          <w:szCs w:val="22"/>
          <w:lang w:val="en-US"/>
        </w:rPr>
        <w:tab/>
      </w:r>
      <w:r>
        <w:t>Public participation</w:t>
      </w:r>
      <w:r>
        <w:tab/>
      </w:r>
      <w:r w:rsidR="003747B3">
        <w:fldChar w:fldCharType="begin"/>
      </w:r>
      <w:r>
        <w:instrText xml:space="preserve"> PAGEREF _Toc437340592 \h </w:instrText>
      </w:r>
      <w:r w:rsidR="003747B3">
        <w:fldChar w:fldCharType="separate"/>
      </w:r>
      <w:r w:rsidR="00B82233">
        <w:t>54</w:t>
      </w:r>
      <w:r w:rsidR="003747B3">
        <w:fldChar w:fldCharType="end"/>
      </w:r>
    </w:p>
    <w:p w:rsidR="00390882" w:rsidRDefault="00390882">
      <w:pPr>
        <w:pStyle w:val="TOC1"/>
        <w:rPr>
          <w:rFonts w:ascii="Calibri" w:hAnsi="Calibri"/>
          <w:b w:val="0"/>
          <w:bCs w:val="0"/>
          <w:sz w:val="22"/>
          <w:szCs w:val="22"/>
          <w:lang w:val="en-US"/>
        </w:rPr>
      </w:pPr>
      <w:r w:rsidRPr="002C49BF">
        <w:t>Annex I</w:t>
      </w:r>
      <w:r w:rsidR="00197264">
        <w:t xml:space="preserve">: </w:t>
      </w:r>
      <w:r w:rsidRPr="002C49BF">
        <w:t>International instruments</w:t>
      </w:r>
      <w:r>
        <w:tab/>
      </w:r>
      <w:r w:rsidR="003747B3">
        <w:fldChar w:fldCharType="begin"/>
      </w:r>
      <w:r>
        <w:instrText xml:space="preserve"> PAGEREF _Toc437340594 \h </w:instrText>
      </w:r>
      <w:r w:rsidR="003747B3">
        <w:fldChar w:fldCharType="separate"/>
      </w:r>
      <w:r w:rsidR="00B82233">
        <w:t>56</w:t>
      </w:r>
      <w:r w:rsidR="003747B3">
        <w:fldChar w:fldCharType="end"/>
      </w:r>
    </w:p>
    <w:p w:rsidR="00390882" w:rsidRDefault="00390882">
      <w:pPr>
        <w:pStyle w:val="TOC1"/>
        <w:rPr>
          <w:rFonts w:ascii="Calibri" w:hAnsi="Calibri"/>
          <w:b w:val="0"/>
          <w:bCs w:val="0"/>
          <w:sz w:val="22"/>
          <w:szCs w:val="22"/>
          <w:lang w:val="en-US"/>
        </w:rPr>
      </w:pPr>
      <w:r w:rsidRPr="002C49BF">
        <w:t>Annex II</w:t>
      </w:r>
      <w:r w:rsidR="00197264">
        <w:t xml:space="preserve">: </w:t>
      </w:r>
      <w:r w:rsidRPr="002C49BF">
        <w:t>Examples of pertinent national legislation</w:t>
      </w:r>
      <w:r>
        <w:tab/>
      </w:r>
      <w:r w:rsidR="003747B3">
        <w:fldChar w:fldCharType="begin"/>
      </w:r>
      <w:r>
        <w:instrText xml:space="preserve"> PAGEREF _Toc437340596 \h </w:instrText>
      </w:r>
      <w:r w:rsidR="003747B3">
        <w:fldChar w:fldCharType="separate"/>
      </w:r>
      <w:r w:rsidR="00B82233">
        <w:t>57</w:t>
      </w:r>
      <w:r w:rsidR="003747B3">
        <w:fldChar w:fldCharType="end"/>
      </w:r>
    </w:p>
    <w:p w:rsidR="00390882" w:rsidRDefault="00390882">
      <w:pPr>
        <w:pStyle w:val="TOC1"/>
        <w:rPr>
          <w:rFonts w:ascii="Calibri" w:hAnsi="Calibri"/>
          <w:b w:val="0"/>
          <w:bCs w:val="0"/>
          <w:sz w:val="22"/>
          <w:szCs w:val="22"/>
          <w:lang w:val="en-US"/>
        </w:rPr>
      </w:pPr>
      <w:r w:rsidRPr="002C49BF">
        <w:rPr>
          <w:lang w:val="en-US"/>
        </w:rPr>
        <w:t>Annex III</w:t>
      </w:r>
      <w:r w:rsidR="00197264">
        <w:rPr>
          <w:lang w:val="en-US"/>
        </w:rPr>
        <w:t xml:space="preserve">: </w:t>
      </w:r>
      <w:r w:rsidRPr="002C49BF">
        <w:t>Bibliography</w:t>
      </w:r>
      <w:r>
        <w:tab/>
      </w:r>
      <w:r w:rsidR="003747B3">
        <w:fldChar w:fldCharType="begin"/>
      </w:r>
      <w:r>
        <w:instrText xml:space="preserve"> PAGEREF _Toc437340598 \h </w:instrText>
      </w:r>
      <w:r w:rsidR="003747B3">
        <w:fldChar w:fldCharType="separate"/>
      </w:r>
      <w:r w:rsidR="00B82233">
        <w:t>61</w:t>
      </w:r>
      <w:r w:rsidR="003747B3">
        <w:fldChar w:fldCharType="end"/>
      </w:r>
    </w:p>
    <w:p w:rsidR="00390882" w:rsidRDefault="003747B3" w:rsidP="00F306FB">
      <w:pPr>
        <w:rPr>
          <w:noProof/>
        </w:rPr>
      </w:pPr>
      <w:r w:rsidRPr="00F46F2A">
        <w:rPr>
          <w:noProof/>
        </w:rPr>
        <w:fldChar w:fldCharType="end"/>
      </w:r>
      <w:bookmarkStart w:id="13" w:name="_Toc52131778"/>
      <w:bookmarkStart w:id="14" w:name="_Toc161804539"/>
      <w:bookmarkStart w:id="15" w:name="_Toc405988615"/>
      <w:bookmarkStart w:id="16" w:name="_Toc437340508"/>
      <w:r w:rsidR="005C3312">
        <w:rPr>
          <w:noProof/>
        </w:rPr>
        <w:tab/>
      </w:r>
    </w:p>
    <w:p w:rsidR="00093BCE" w:rsidRDefault="00A23ECA" w:rsidP="00F306FB">
      <w:pPr>
        <w:pStyle w:val="Heading1"/>
        <w:ind w:firstLine="720"/>
        <w:rPr>
          <w:sz w:val="28"/>
          <w:szCs w:val="28"/>
        </w:rPr>
      </w:pPr>
      <w:r>
        <w:rPr>
          <w:sz w:val="28"/>
          <w:szCs w:val="28"/>
        </w:rPr>
        <w:br w:type="page"/>
      </w:r>
      <w:r w:rsidR="00890CDD" w:rsidRPr="00F306FB">
        <w:rPr>
          <w:rFonts w:ascii="Times New Roman" w:hAnsi="Times New Roman"/>
          <w:sz w:val="28"/>
          <w:szCs w:val="28"/>
        </w:rPr>
        <w:t>Abbreviations and acronyms</w:t>
      </w:r>
      <w:bookmarkEnd w:id="7"/>
      <w:bookmarkEnd w:id="13"/>
      <w:bookmarkEnd w:id="14"/>
      <w:bookmarkEnd w:id="15"/>
      <w:bookmarkEnd w:id="16"/>
    </w:p>
    <w:tbl>
      <w:tblPr>
        <w:tblW w:w="0" w:type="auto"/>
        <w:tblInd w:w="1417" w:type="dxa"/>
        <w:tblLook w:val="00A0"/>
      </w:tblPr>
      <w:tblGrid>
        <w:gridCol w:w="2014"/>
        <w:gridCol w:w="6282"/>
      </w:tblGrid>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AOAC</w:t>
            </w:r>
          </w:p>
        </w:tc>
        <w:tc>
          <w:tcPr>
            <w:tcW w:w="6282" w:type="dxa"/>
            <w:shd w:val="clear" w:color="auto" w:fill="auto"/>
          </w:tcPr>
          <w:p w:rsidR="00890CDD" w:rsidRPr="0089288F" w:rsidRDefault="00890CDD" w:rsidP="0088229A">
            <w:pPr>
              <w:rPr>
                <w:sz w:val="18"/>
                <w:szCs w:val="18"/>
              </w:rPr>
            </w:pPr>
            <w:r w:rsidRPr="0089288F">
              <w:rPr>
                <w:sz w:val="18"/>
                <w:szCs w:val="18"/>
              </w:rPr>
              <w:t>Association of Official Analytical Chemists</w:t>
            </w:r>
            <w:r w:rsidR="007219BF">
              <w:rPr>
                <w:sz w:val="18"/>
                <w:szCs w:val="18"/>
              </w:rPr>
              <w:t xml:space="preserve"> (United States of America)</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ASTM</w:t>
            </w:r>
          </w:p>
        </w:tc>
        <w:tc>
          <w:tcPr>
            <w:tcW w:w="6282" w:type="dxa"/>
            <w:shd w:val="clear" w:color="auto" w:fill="auto"/>
          </w:tcPr>
          <w:p w:rsidR="00890CDD" w:rsidRPr="0089288F" w:rsidRDefault="00890CDD" w:rsidP="0088229A">
            <w:pPr>
              <w:rPr>
                <w:sz w:val="18"/>
                <w:szCs w:val="18"/>
              </w:rPr>
            </w:pPr>
            <w:r w:rsidRPr="0089288F">
              <w:rPr>
                <w:sz w:val="18"/>
                <w:szCs w:val="18"/>
              </w:rPr>
              <w:t>American Society for Testing and Materials</w:t>
            </w:r>
          </w:p>
        </w:tc>
      </w:tr>
      <w:tr w:rsidR="00890CDD" w:rsidRPr="0089288F" w:rsidTr="00AC367E">
        <w:tc>
          <w:tcPr>
            <w:tcW w:w="2014" w:type="dxa"/>
            <w:shd w:val="clear" w:color="auto" w:fill="auto"/>
          </w:tcPr>
          <w:p w:rsidR="00890CDD" w:rsidRPr="0089288F" w:rsidRDefault="00890CDD" w:rsidP="0088229A">
            <w:pPr>
              <w:rPr>
                <w:sz w:val="18"/>
                <w:szCs w:val="18"/>
                <w:highlight w:val="green"/>
              </w:rPr>
            </w:pPr>
            <w:r w:rsidRPr="0089288F">
              <w:rPr>
                <w:sz w:val="18"/>
                <w:szCs w:val="18"/>
              </w:rPr>
              <w:t>BAT</w:t>
            </w:r>
          </w:p>
        </w:tc>
        <w:tc>
          <w:tcPr>
            <w:tcW w:w="6282" w:type="dxa"/>
            <w:shd w:val="clear" w:color="auto" w:fill="auto"/>
          </w:tcPr>
          <w:p w:rsidR="00890CDD" w:rsidRPr="0089288F" w:rsidRDefault="00890CDD" w:rsidP="0088229A">
            <w:pPr>
              <w:rPr>
                <w:sz w:val="18"/>
                <w:szCs w:val="18"/>
              </w:rPr>
            </w:pPr>
            <w:r w:rsidRPr="0089288F">
              <w:rPr>
                <w:sz w:val="18"/>
                <w:szCs w:val="18"/>
              </w:rPr>
              <w:t>best available techniques</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BCD</w:t>
            </w:r>
          </w:p>
        </w:tc>
        <w:tc>
          <w:tcPr>
            <w:tcW w:w="6282" w:type="dxa"/>
            <w:shd w:val="clear" w:color="auto" w:fill="auto"/>
          </w:tcPr>
          <w:p w:rsidR="00890CDD" w:rsidRPr="0089288F" w:rsidRDefault="00890CDD" w:rsidP="0088229A">
            <w:pPr>
              <w:rPr>
                <w:sz w:val="18"/>
                <w:szCs w:val="18"/>
              </w:rPr>
            </w:pPr>
            <w:r w:rsidRPr="0089288F">
              <w:rPr>
                <w:sz w:val="18"/>
                <w:szCs w:val="18"/>
              </w:rPr>
              <w:t>base-catalysed decomposition</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BEP</w:t>
            </w:r>
          </w:p>
        </w:tc>
        <w:tc>
          <w:tcPr>
            <w:tcW w:w="6282" w:type="dxa"/>
            <w:shd w:val="clear" w:color="auto" w:fill="auto"/>
          </w:tcPr>
          <w:p w:rsidR="00890CDD" w:rsidRPr="0089288F" w:rsidRDefault="00890CDD" w:rsidP="0088229A">
            <w:pPr>
              <w:rPr>
                <w:sz w:val="18"/>
                <w:szCs w:val="18"/>
              </w:rPr>
            </w:pPr>
            <w:r w:rsidRPr="0089288F">
              <w:rPr>
                <w:sz w:val="18"/>
                <w:szCs w:val="18"/>
              </w:rPr>
              <w:t>best environmental practices</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CEN</w:t>
            </w:r>
          </w:p>
        </w:tc>
        <w:tc>
          <w:tcPr>
            <w:tcW w:w="6282" w:type="dxa"/>
            <w:shd w:val="clear" w:color="auto" w:fill="auto"/>
          </w:tcPr>
          <w:p w:rsidR="00890CDD" w:rsidRPr="0089288F" w:rsidRDefault="00890CDD" w:rsidP="0088229A">
            <w:pPr>
              <w:rPr>
                <w:sz w:val="18"/>
                <w:szCs w:val="18"/>
              </w:rPr>
            </w:pPr>
            <w:r w:rsidRPr="0089288F">
              <w:rPr>
                <w:sz w:val="18"/>
                <w:szCs w:val="18"/>
              </w:rPr>
              <w:t>European Committee for Standardization</w:t>
            </w:r>
          </w:p>
        </w:tc>
      </w:tr>
      <w:tr w:rsidR="00890CDD" w:rsidRPr="0089288F" w:rsidTr="00AC367E">
        <w:tc>
          <w:tcPr>
            <w:tcW w:w="2014" w:type="dxa"/>
            <w:shd w:val="clear" w:color="auto" w:fill="auto"/>
          </w:tcPr>
          <w:p w:rsidR="00890CDD" w:rsidRPr="0089288F" w:rsidRDefault="00890CDD" w:rsidP="007E7B8B">
            <w:pPr>
              <w:tabs>
                <w:tab w:val="clear" w:pos="1247"/>
                <w:tab w:val="clear" w:pos="1814"/>
                <w:tab w:val="clear" w:pos="2381"/>
                <w:tab w:val="clear" w:pos="2948"/>
                <w:tab w:val="clear" w:pos="3515"/>
                <w:tab w:val="left" w:pos="810"/>
              </w:tabs>
              <w:rPr>
                <w:sz w:val="18"/>
                <w:szCs w:val="18"/>
              </w:rPr>
            </w:pPr>
            <w:r w:rsidRPr="0089288F">
              <w:rPr>
                <w:sz w:val="18"/>
                <w:szCs w:val="18"/>
              </w:rPr>
              <w:t>CFCs</w:t>
            </w:r>
          </w:p>
        </w:tc>
        <w:tc>
          <w:tcPr>
            <w:tcW w:w="6282" w:type="dxa"/>
            <w:shd w:val="clear" w:color="auto" w:fill="auto"/>
          </w:tcPr>
          <w:p w:rsidR="00890CDD" w:rsidRPr="0089288F" w:rsidRDefault="00890CDD" w:rsidP="0088229A">
            <w:pPr>
              <w:rPr>
                <w:sz w:val="18"/>
                <w:szCs w:val="18"/>
              </w:rPr>
            </w:pPr>
            <w:r w:rsidRPr="0089288F">
              <w:rPr>
                <w:sz w:val="18"/>
                <w:szCs w:val="18"/>
              </w:rPr>
              <w:t>chlorofluorocarbons</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CHD</w:t>
            </w:r>
          </w:p>
        </w:tc>
        <w:tc>
          <w:tcPr>
            <w:tcW w:w="6282" w:type="dxa"/>
            <w:shd w:val="clear" w:color="auto" w:fill="auto"/>
          </w:tcPr>
          <w:p w:rsidR="00890CDD" w:rsidRPr="0089288F" w:rsidRDefault="00890CDD" w:rsidP="0088229A">
            <w:pPr>
              <w:rPr>
                <w:sz w:val="18"/>
                <w:szCs w:val="18"/>
              </w:rPr>
            </w:pPr>
            <w:r w:rsidRPr="0089288F">
              <w:rPr>
                <w:sz w:val="18"/>
                <w:szCs w:val="18"/>
              </w:rPr>
              <w:t xml:space="preserve">catalytic </w:t>
            </w:r>
            <w:proofErr w:type="spellStart"/>
            <w:r w:rsidRPr="0089288F">
              <w:rPr>
                <w:sz w:val="18"/>
                <w:szCs w:val="18"/>
              </w:rPr>
              <w:t>hydrodechlorination</w:t>
            </w:r>
            <w:proofErr w:type="spellEnd"/>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DDT</w:t>
            </w:r>
          </w:p>
        </w:tc>
        <w:tc>
          <w:tcPr>
            <w:tcW w:w="6282" w:type="dxa"/>
            <w:shd w:val="clear" w:color="auto" w:fill="auto"/>
          </w:tcPr>
          <w:p w:rsidR="00890CDD" w:rsidRPr="0089288F" w:rsidRDefault="00890CDD" w:rsidP="0088229A">
            <w:pPr>
              <w:rPr>
                <w:sz w:val="18"/>
                <w:szCs w:val="18"/>
              </w:rPr>
            </w:pPr>
            <w:r w:rsidRPr="0089288F">
              <w:rPr>
                <w:sz w:val="18"/>
                <w:szCs w:val="18"/>
                <w:lang w:eastAsia="en-CA"/>
              </w:rPr>
              <w:t>1,1,1-trichloro-2,2-bis(4-chlorophenyl)ethane</w:t>
            </w:r>
            <w:r w:rsidRPr="0089288F">
              <w:rPr>
                <w:sz w:val="18"/>
                <w:szCs w:val="18"/>
              </w:rPr>
              <w:t xml:space="preserve"> (dichlorodiphenyltrichloroethane)</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DE</w:t>
            </w:r>
          </w:p>
        </w:tc>
        <w:tc>
          <w:tcPr>
            <w:tcW w:w="6282" w:type="dxa"/>
            <w:shd w:val="clear" w:color="auto" w:fill="auto"/>
          </w:tcPr>
          <w:p w:rsidR="00890CDD" w:rsidRPr="0089288F" w:rsidRDefault="00890CDD" w:rsidP="0088229A">
            <w:pPr>
              <w:rPr>
                <w:sz w:val="18"/>
                <w:szCs w:val="18"/>
              </w:rPr>
            </w:pPr>
            <w:r w:rsidRPr="0089288F">
              <w:rPr>
                <w:sz w:val="18"/>
                <w:szCs w:val="18"/>
              </w:rPr>
              <w:t>destruction efficiency</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DRE</w:t>
            </w:r>
          </w:p>
        </w:tc>
        <w:tc>
          <w:tcPr>
            <w:tcW w:w="6282" w:type="dxa"/>
            <w:shd w:val="clear" w:color="auto" w:fill="auto"/>
          </w:tcPr>
          <w:p w:rsidR="00890CDD" w:rsidRPr="0089288F" w:rsidRDefault="00890CDD" w:rsidP="0088229A">
            <w:pPr>
              <w:rPr>
                <w:sz w:val="18"/>
                <w:szCs w:val="18"/>
              </w:rPr>
            </w:pPr>
            <w:r w:rsidRPr="0089288F">
              <w:rPr>
                <w:sz w:val="18"/>
                <w:szCs w:val="18"/>
              </w:rPr>
              <w:t>destruction removal efficiency</w:t>
            </w:r>
          </w:p>
        </w:tc>
      </w:tr>
      <w:tr w:rsidR="00890CDD" w:rsidRPr="0089288F" w:rsidTr="00AC367E">
        <w:tc>
          <w:tcPr>
            <w:tcW w:w="2014" w:type="dxa"/>
            <w:shd w:val="clear" w:color="auto" w:fill="auto"/>
          </w:tcPr>
          <w:p w:rsidR="00890CDD" w:rsidRDefault="00890CDD" w:rsidP="0088229A">
            <w:pPr>
              <w:rPr>
                <w:sz w:val="18"/>
                <w:szCs w:val="18"/>
              </w:rPr>
            </w:pPr>
            <w:r>
              <w:rPr>
                <w:sz w:val="18"/>
                <w:szCs w:val="18"/>
              </w:rPr>
              <w:t>DRI</w:t>
            </w:r>
          </w:p>
          <w:p w:rsidR="00890CDD" w:rsidRPr="0089288F" w:rsidRDefault="00890CDD" w:rsidP="0088229A">
            <w:pPr>
              <w:rPr>
                <w:sz w:val="18"/>
                <w:szCs w:val="18"/>
              </w:rPr>
            </w:pPr>
            <w:r w:rsidRPr="0089288F">
              <w:rPr>
                <w:sz w:val="18"/>
                <w:szCs w:val="18"/>
              </w:rPr>
              <w:t>ECD</w:t>
            </w:r>
          </w:p>
        </w:tc>
        <w:tc>
          <w:tcPr>
            <w:tcW w:w="6282" w:type="dxa"/>
            <w:shd w:val="clear" w:color="auto" w:fill="auto"/>
          </w:tcPr>
          <w:p w:rsidR="00890CDD" w:rsidRDefault="00890CDD" w:rsidP="0088229A">
            <w:pPr>
              <w:rPr>
                <w:sz w:val="18"/>
                <w:szCs w:val="18"/>
              </w:rPr>
            </w:pPr>
            <w:r>
              <w:rPr>
                <w:sz w:val="18"/>
                <w:szCs w:val="18"/>
              </w:rPr>
              <w:t>direct reduced iron</w:t>
            </w:r>
          </w:p>
          <w:p w:rsidR="00890CDD" w:rsidRPr="0089288F" w:rsidRDefault="00890CDD" w:rsidP="0088229A">
            <w:pPr>
              <w:rPr>
                <w:sz w:val="18"/>
                <w:szCs w:val="18"/>
              </w:rPr>
            </w:pPr>
            <w:r w:rsidRPr="0089288F">
              <w:rPr>
                <w:sz w:val="18"/>
                <w:szCs w:val="18"/>
              </w:rPr>
              <w:t>electron capture detector</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EPA</w:t>
            </w:r>
          </w:p>
        </w:tc>
        <w:tc>
          <w:tcPr>
            <w:tcW w:w="6282" w:type="dxa"/>
            <w:shd w:val="clear" w:color="auto" w:fill="auto"/>
          </w:tcPr>
          <w:p w:rsidR="00890CDD" w:rsidRPr="0089288F" w:rsidRDefault="00890CDD" w:rsidP="0088229A">
            <w:pPr>
              <w:rPr>
                <w:sz w:val="18"/>
                <w:szCs w:val="18"/>
              </w:rPr>
            </w:pPr>
            <w:r w:rsidRPr="0089288F">
              <w:rPr>
                <w:sz w:val="18"/>
                <w:szCs w:val="18"/>
              </w:rPr>
              <w:t>Environmental Protection Agency (United States of America)</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ESM</w:t>
            </w:r>
          </w:p>
        </w:tc>
        <w:tc>
          <w:tcPr>
            <w:tcW w:w="6282" w:type="dxa"/>
            <w:shd w:val="clear" w:color="auto" w:fill="auto"/>
          </w:tcPr>
          <w:p w:rsidR="00890CDD" w:rsidRPr="0089288F" w:rsidRDefault="00890CDD" w:rsidP="0088229A">
            <w:pPr>
              <w:rPr>
                <w:sz w:val="18"/>
                <w:szCs w:val="18"/>
              </w:rPr>
            </w:pPr>
            <w:r w:rsidRPr="0089288F">
              <w:rPr>
                <w:sz w:val="18"/>
                <w:szCs w:val="18"/>
              </w:rPr>
              <w:t>environmentally sound management</w:t>
            </w:r>
          </w:p>
        </w:tc>
      </w:tr>
      <w:tr w:rsidR="00890CDD" w:rsidRPr="0089288F" w:rsidTr="00AC367E">
        <w:tc>
          <w:tcPr>
            <w:tcW w:w="2014" w:type="dxa"/>
            <w:shd w:val="clear" w:color="auto" w:fill="auto"/>
          </w:tcPr>
          <w:p w:rsidR="008A24FA" w:rsidRDefault="008A24FA" w:rsidP="0088229A">
            <w:pPr>
              <w:rPr>
                <w:sz w:val="18"/>
                <w:szCs w:val="18"/>
              </w:rPr>
            </w:pPr>
            <w:r>
              <w:rPr>
                <w:sz w:val="18"/>
                <w:szCs w:val="18"/>
              </w:rPr>
              <w:t>ESWI</w:t>
            </w:r>
          </w:p>
          <w:p w:rsidR="00890CDD" w:rsidRPr="0089288F" w:rsidRDefault="00890CDD" w:rsidP="0088229A">
            <w:pPr>
              <w:rPr>
                <w:sz w:val="18"/>
                <w:szCs w:val="18"/>
              </w:rPr>
            </w:pPr>
            <w:r w:rsidRPr="0089288F">
              <w:rPr>
                <w:sz w:val="18"/>
                <w:szCs w:val="18"/>
              </w:rPr>
              <w:t>EU</w:t>
            </w:r>
          </w:p>
        </w:tc>
        <w:tc>
          <w:tcPr>
            <w:tcW w:w="6282" w:type="dxa"/>
            <w:shd w:val="clear" w:color="auto" w:fill="auto"/>
          </w:tcPr>
          <w:p w:rsidR="008A24FA" w:rsidRDefault="007E7CE0" w:rsidP="0088229A">
            <w:pPr>
              <w:rPr>
                <w:sz w:val="18"/>
                <w:szCs w:val="18"/>
              </w:rPr>
            </w:pPr>
            <w:r>
              <w:rPr>
                <w:sz w:val="18"/>
                <w:szCs w:val="18"/>
              </w:rPr>
              <w:t>Expert Team to Support Waste Implementation</w:t>
            </w:r>
          </w:p>
          <w:p w:rsidR="00890CDD" w:rsidRPr="0089288F" w:rsidRDefault="00890CDD" w:rsidP="0088229A">
            <w:pPr>
              <w:rPr>
                <w:sz w:val="18"/>
                <w:szCs w:val="18"/>
              </w:rPr>
            </w:pPr>
            <w:r w:rsidRPr="0089288F">
              <w:rPr>
                <w:sz w:val="18"/>
                <w:szCs w:val="18"/>
              </w:rPr>
              <w:t>European Union</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FAO</w:t>
            </w:r>
          </w:p>
        </w:tc>
        <w:tc>
          <w:tcPr>
            <w:tcW w:w="6282" w:type="dxa"/>
            <w:shd w:val="clear" w:color="auto" w:fill="auto"/>
          </w:tcPr>
          <w:p w:rsidR="00890CDD" w:rsidRPr="0089288F" w:rsidRDefault="00890CDD" w:rsidP="0088229A">
            <w:pPr>
              <w:rPr>
                <w:sz w:val="18"/>
                <w:szCs w:val="18"/>
              </w:rPr>
            </w:pPr>
            <w:r w:rsidRPr="0089288F">
              <w:rPr>
                <w:sz w:val="18"/>
                <w:szCs w:val="18"/>
              </w:rPr>
              <w:t>Food and Agriculture Organization of the United Nations</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FRTR</w:t>
            </w:r>
          </w:p>
        </w:tc>
        <w:tc>
          <w:tcPr>
            <w:tcW w:w="6282" w:type="dxa"/>
            <w:shd w:val="clear" w:color="auto" w:fill="auto"/>
          </w:tcPr>
          <w:p w:rsidR="00890CDD" w:rsidRPr="0089288F" w:rsidRDefault="00890CDD" w:rsidP="0088229A">
            <w:pPr>
              <w:rPr>
                <w:sz w:val="18"/>
                <w:szCs w:val="18"/>
              </w:rPr>
            </w:pPr>
            <w:r w:rsidRPr="0089288F">
              <w:rPr>
                <w:sz w:val="18"/>
                <w:szCs w:val="18"/>
              </w:rPr>
              <w:t>Federal Remediation Technologies Roundtable (United States of America)</w:t>
            </w:r>
          </w:p>
        </w:tc>
      </w:tr>
      <w:tr w:rsidR="00890CDD" w:rsidRPr="0089288F" w:rsidTr="00AC367E">
        <w:tc>
          <w:tcPr>
            <w:tcW w:w="2014" w:type="dxa"/>
            <w:shd w:val="clear" w:color="auto" w:fill="auto"/>
          </w:tcPr>
          <w:p w:rsidR="00890CDD" w:rsidRDefault="00890CDD" w:rsidP="0088229A">
            <w:pPr>
              <w:rPr>
                <w:sz w:val="18"/>
                <w:szCs w:val="18"/>
              </w:rPr>
            </w:pPr>
            <w:r>
              <w:rPr>
                <w:sz w:val="18"/>
                <w:szCs w:val="18"/>
              </w:rPr>
              <w:t>GAC</w:t>
            </w:r>
          </w:p>
          <w:p w:rsidR="00890CDD" w:rsidRPr="0089288F" w:rsidRDefault="00890CDD" w:rsidP="0088229A">
            <w:pPr>
              <w:rPr>
                <w:sz w:val="18"/>
                <w:szCs w:val="18"/>
              </w:rPr>
            </w:pPr>
            <w:r w:rsidRPr="0089288F">
              <w:rPr>
                <w:sz w:val="18"/>
                <w:szCs w:val="18"/>
              </w:rPr>
              <w:t>GEMS</w:t>
            </w:r>
          </w:p>
        </w:tc>
        <w:tc>
          <w:tcPr>
            <w:tcW w:w="6282" w:type="dxa"/>
            <w:shd w:val="clear" w:color="auto" w:fill="auto"/>
          </w:tcPr>
          <w:p w:rsidR="00890CDD" w:rsidRDefault="00890CDD" w:rsidP="0088229A">
            <w:pPr>
              <w:rPr>
                <w:sz w:val="18"/>
                <w:szCs w:val="18"/>
              </w:rPr>
            </w:pPr>
            <w:r>
              <w:rPr>
                <w:sz w:val="18"/>
                <w:szCs w:val="18"/>
              </w:rPr>
              <w:t xml:space="preserve">granular activated carbon </w:t>
            </w:r>
          </w:p>
          <w:p w:rsidR="00890CDD" w:rsidRPr="0089288F" w:rsidRDefault="00890CDD" w:rsidP="0088229A">
            <w:pPr>
              <w:rPr>
                <w:sz w:val="18"/>
                <w:szCs w:val="18"/>
              </w:rPr>
            </w:pPr>
            <w:r w:rsidRPr="0089288F">
              <w:rPr>
                <w:sz w:val="18"/>
                <w:szCs w:val="18"/>
              </w:rPr>
              <w:t>Global Environment Monitoring System</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GEF</w:t>
            </w:r>
          </w:p>
        </w:tc>
        <w:tc>
          <w:tcPr>
            <w:tcW w:w="6282" w:type="dxa"/>
            <w:shd w:val="clear" w:color="auto" w:fill="auto"/>
          </w:tcPr>
          <w:p w:rsidR="00890CDD" w:rsidRPr="0089288F" w:rsidRDefault="00890CDD" w:rsidP="0088229A">
            <w:pPr>
              <w:rPr>
                <w:sz w:val="18"/>
                <w:szCs w:val="18"/>
              </w:rPr>
            </w:pPr>
            <w:r w:rsidRPr="0089288F">
              <w:rPr>
                <w:sz w:val="18"/>
                <w:szCs w:val="18"/>
              </w:rPr>
              <w:t>Global Environment Facility</w:t>
            </w:r>
          </w:p>
        </w:tc>
      </w:tr>
      <w:tr w:rsidR="00890CDD" w:rsidRPr="0089288F" w:rsidTr="00AC367E">
        <w:tc>
          <w:tcPr>
            <w:tcW w:w="2014" w:type="dxa"/>
            <w:shd w:val="clear" w:color="auto" w:fill="auto"/>
          </w:tcPr>
          <w:p w:rsidR="007F5A9C" w:rsidRDefault="007F5A9C" w:rsidP="0088229A">
            <w:pPr>
              <w:rPr>
                <w:sz w:val="18"/>
                <w:szCs w:val="18"/>
              </w:rPr>
            </w:pPr>
            <w:r>
              <w:rPr>
                <w:sz w:val="18"/>
                <w:szCs w:val="18"/>
              </w:rPr>
              <w:t>GHS</w:t>
            </w:r>
          </w:p>
          <w:p w:rsidR="00890CDD" w:rsidRPr="0089288F" w:rsidRDefault="00890CDD" w:rsidP="0088229A">
            <w:pPr>
              <w:rPr>
                <w:sz w:val="18"/>
                <w:szCs w:val="18"/>
              </w:rPr>
            </w:pPr>
            <w:r w:rsidRPr="0089288F">
              <w:rPr>
                <w:sz w:val="18"/>
                <w:szCs w:val="18"/>
              </w:rPr>
              <w:t>GPCR</w:t>
            </w:r>
          </w:p>
        </w:tc>
        <w:tc>
          <w:tcPr>
            <w:tcW w:w="6282" w:type="dxa"/>
            <w:shd w:val="clear" w:color="auto" w:fill="auto"/>
          </w:tcPr>
          <w:p w:rsidR="007F5A9C" w:rsidRDefault="007F5A9C" w:rsidP="0088229A">
            <w:pPr>
              <w:rPr>
                <w:sz w:val="18"/>
                <w:szCs w:val="18"/>
              </w:rPr>
            </w:pPr>
            <w:r>
              <w:rPr>
                <w:sz w:val="18"/>
                <w:szCs w:val="18"/>
              </w:rPr>
              <w:t>Global</w:t>
            </w:r>
            <w:r w:rsidR="00086DA5">
              <w:rPr>
                <w:sz w:val="18"/>
                <w:szCs w:val="18"/>
              </w:rPr>
              <w:t>ly</w:t>
            </w:r>
            <w:r>
              <w:rPr>
                <w:sz w:val="18"/>
                <w:szCs w:val="18"/>
              </w:rPr>
              <w:t xml:space="preserve"> Harmonized System </w:t>
            </w:r>
            <w:r w:rsidR="00086DA5">
              <w:rPr>
                <w:sz w:val="18"/>
                <w:szCs w:val="18"/>
              </w:rPr>
              <w:t>of Classification and Labelling of Chemicals</w:t>
            </w:r>
          </w:p>
          <w:p w:rsidR="00890CDD" w:rsidRPr="0089288F" w:rsidRDefault="00890CDD" w:rsidP="0088229A">
            <w:pPr>
              <w:rPr>
                <w:sz w:val="18"/>
                <w:szCs w:val="18"/>
              </w:rPr>
            </w:pPr>
            <w:r w:rsidRPr="0089288F">
              <w:rPr>
                <w:sz w:val="18"/>
                <w:szCs w:val="18"/>
              </w:rPr>
              <w:t>gas-phase chemical reduction</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HASP</w:t>
            </w:r>
          </w:p>
        </w:tc>
        <w:tc>
          <w:tcPr>
            <w:tcW w:w="6282" w:type="dxa"/>
            <w:shd w:val="clear" w:color="auto" w:fill="auto"/>
          </w:tcPr>
          <w:p w:rsidR="00890CDD" w:rsidRPr="0089288F" w:rsidRDefault="00890CDD" w:rsidP="0088229A">
            <w:pPr>
              <w:rPr>
                <w:sz w:val="18"/>
                <w:szCs w:val="18"/>
              </w:rPr>
            </w:pPr>
            <w:r w:rsidRPr="0089288F">
              <w:rPr>
                <w:sz w:val="18"/>
                <w:szCs w:val="18"/>
              </w:rPr>
              <w:t>health and safety plan</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HCB</w:t>
            </w:r>
          </w:p>
        </w:tc>
        <w:tc>
          <w:tcPr>
            <w:tcW w:w="6282" w:type="dxa"/>
            <w:shd w:val="clear" w:color="auto" w:fill="auto"/>
          </w:tcPr>
          <w:p w:rsidR="00890CDD" w:rsidRPr="0089288F" w:rsidRDefault="00890CDD" w:rsidP="0088229A">
            <w:pPr>
              <w:rPr>
                <w:sz w:val="18"/>
                <w:szCs w:val="18"/>
              </w:rPr>
            </w:pPr>
            <w:proofErr w:type="spellStart"/>
            <w:r w:rsidRPr="0089288F">
              <w:rPr>
                <w:sz w:val="18"/>
                <w:szCs w:val="18"/>
              </w:rPr>
              <w:t>hexachlorobenzene</w:t>
            </w:r>
            <w:proofErr w:type="spellEnd"/>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HRGC</w:t>
            </w:r>
          </w:p>
        </w:tc>
        <w:tc>
          <w:tcPr>
            <w:tcW w:w="6282" w:type="dxa"/>
            <w:shd w:val="clear" w:color="auto" w:fill="auto"/>
          </w:tcPr>
          <w:p w:rsidR="00890CDD" w:rsidRPr="0089288F" w:rsidRDefault="00890CDD" w:rsidP="0088229A">
            <w:pPr>
              <w:rPr>
                <w:sz w:val="18"/>
                <w:szCs w:val="18"/>
              </w:rPr>
            </w:pPr>
            <w:r w:rsidRPr="0089288F">
              <w:rPr>
                <w:sz w:val="18"/>
                <w:szCs w:val="18"/>
              </w:rPr>
              <w:t>high-resolution gas chromatography</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HRMS</w:t>
            </w:r>
          </w:p>
        </w:tc>
        <w:tc>
          <w:tcPr>
            <w:tcW w:w="6282" w:type="dxa"/>
            <w:shd w:val="clear" w:color="auto" w:fill="auto"/>
          </w:tcPr>
          <w:p w:rsidR="00890CDD" w:rsidRPr="0089288F" w:rsidRDefault="00890CDD" w:rsidP="0088229A">
            <w:pPr>
              <w:rPr>
                <w:sz w:val="18"/>
                <w:szCs w:val="18"/>
              </w:rPr>
            </w:pPr>
            <w:r w:rsidRPr="0089288F">
              <w:rPr>
                <w:sz w:val="18"/>
                <w:szCs w:val="18"/>
              </w:rPr>
              <w:t>high-resolution mass spectrometry</w:t>
            </w:r>
            <w:r w:rsidR="007219BF">
              <w:rPr>
                <w:sz w:val="18"/>
                <w:szCs w:val="18"/>
              </w:rPr>
              <w:t>/spectrometer</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IATA</w:t>
            </w:r>
          </w:p>
        </w:tc>
        <w:tc>
          <w:tcPr>
            <w:tcW w:w="6282" w:type="dxa"/>
            <w:shd w:val="clear" w:color="auto" w:fill="auto"/>
          </w:tcPr>
          <w:p w:rsidR="00890CDD" w:rsidRPr="0089288F" w:rsidRDefault="00890CDD" w:rsidP="0088229A">
            <w:pPr>
              <w:rPr>
                <w:sz w:val="18"/>
                <w:szCs w:val="18"/>
              </w:rPr>
            </w:pPr>
            <w:r w:rsidRPr="0089288F">
              <w:rPr>
                <w:sz w:val="18"/>
                <w:szCs w:val="18"/>
              </w:rPr>
              <w:t>International Air Transport Association</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ICAO</w:t>
            </w:r>
          </w:p>
        </w:tc>
        <w:tc>
          <w:tcPr>
            <w:tcW w:w="6282" w:type="dxa"/>
            <w:shd w:val="clear" w:color="auto" w:fill="auto"/>
          </w:tcPr>
          <w:p w:rsidR="00890CDD" w:rsidRPr="0089288F" w:rsidRDefault="00890CDD" w:rsidP="0088229A">
            <w:pPr>
              <w:rPr>
                <w:sz w:val="18"/>
                <w:szCs w:val="18"/>
              </w:rPr>
            </w:pPr>
            <w:r w:rsidRPr="0089288F">
              <w:rPr>
                <w:sz w:val="18"/>
                <w:szCs w:val="18"/>
              </w:rPr>
              <w:t>International Civil Aviation Organization</w:t>
            </w:r>
          </w:p>
        </w:tc>
      </w:tr>
      <w:tr w:rsidR="00890CDD" w:rsidRPr="0089288F" w:rsidTr="00AC367E">
        <w:tc>
          <w:tcPr>
            <w:tcW w:w="2014" w:type="dxa"/>
            <w:shd w:val="clear" w:color="auto" w:fill="auto"/>
          </w:tcPr>
          <w:p w:rsidR="00890CDD" w:rsidRDefault="00890CDD" w:rsidP="0088229A">
            <w:pPr>
              <w:rPr>
                <w:sz w:val="18"/>
                <w:szCs w:val="18"/>
              </w:rPr>
            </w:pPr>
            <w:r>
              <w:rPr>
                <w:sz w:val="18"/>
                <w:szCs w:val="18"/>
              </w:rPr>
              <w:t>ILO</w:t>
            </w:r>
          </w:p>
          <w:p w:rsidR="00890CDD" w:rsidRPr="0089288F" w:rsidRDefault="00890CDD" w:rsidP="0088229A">
            <w:pPr>
              <w:rPr>
                <w:sz w:val="18"/>
                <w:szCs w:val="18"/>
              </w:rPr>
            </w:pPr>
            <w:r w:rsidRPr="0089288F">
              <w:rPr>
                <w:sz w:val="18"/>
                <w:szCs w:val="18"/>
              </w:rPr>
              <w:t>IMO</w:t>
            </w:r>
          </w:p>
        </w:tc>
        <w:tc>
          <w:tcPr>
            <w:tcW w:w="6282" w:type="dxa"/>
            <w:shd w:val="clear" w:color="auto" w:fill="auto"/>
          </w:tcPr>
          <w:p w:rsidR="00890CDD" w:rsidRDefault="00890CDD" w:rsidP="0088229A">
            <w:pPr>
              <w:rPr>
                <w:sz w:val="18"/>
                <w:szCs w:val="18"/>
              </w:rPr>
            </w:pPr>
            <w:r>
              <w:rPr>
                <w:sz w:val="18"/>
                <w:szCs w:val="18"/>
              </w:rPr>
              <w:t xml:space="preserve">International Labour Organization </w:t>
            </w:r>
          </w:p>
          <w:p w:rsidR="00890CDD" w:rsidRPr="0089288F" w:rsidRDefault="00890CDD" w:rsidP="0088229A">
            <w:pPr>
              <w:rPr>
                <w:sz w:val="18"/>
                <w:szCs w:val="18"/>
              </w:rPr>
            </w:pPr>
            <w:r w:rsidRPr="0089288F">
              <w:rPr>
                <w:sz w:val="18"/>
                <w:szCs w:val="18"/>
              </w:rPr>
              <w:t>International Maritime Organization</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IPCS</w:t>
            </w:r>
          </w:p>
        </w:tc>
        <w:tc>
          <w:tcPr>
            <w:tcW w:w="6282" w:type="dxa"/>
            <w:shd w:val="clear" w:color="auto" w:fill="auto"/>
          </w:tcPr>
          <w:p w:rsidR="00890CDD" w:rsidRPr="0089288F" w:rsidRDefault="00890CDD" w:rsidP="0088229A">
            <w:pPr>
              <w:rPr>
                <w:sz w:val="18"/>
                <w:szCs w:val="18"/>
              </w:rPr>
            </w:pPr>
            <w:r w:rsidRPr="0089288F">
              <w:rPr>
                <w:sz w:val="18"/>
                <w:szCs w:val="18"/>
              </w:rPr>
              <w:t>International Programme on Chemical Safety</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ISO</w:t>
            </w:r>
          </w:p>
        </w:tc>
        <w:tc>
          <w:tcPr>
            <w:tcW w:w="6282" w:type="dxa"/>
            <w:shd w:val="clear" w:color="auto" w:fill="auto"/>
          </w:tcPr>
          <w:p w:rsidR="00890CDD" w:rsidRPr="0089288F" w:rsidRDefault="00890CDD" w:rsidP="0088229A">
            <w:pPr>
              <w:rPr>
                <w:sz w:val="18"/>
                <w:szCs w:val="18"/>
              </w:rPr>
            </w:pPr>
            <w:r w:rsidRPr="0089288F">
              <w:rPr>
                <w:sz w:val="18"/>
                <w:szCs w:val="18"/>
              </w:rPr>
              <w:t>International Organization for Standardization</w:t>
            </w:r>
          </w:p>
        </w:tc>
      </w:tr>
      <w:tr w:rsidR="00EE394F" w:rsidRPr="00EE394F" w:rsidTr="00AC367E">
        <w:tc>
          <w:tcPr>
            <w:tcW w:w="2014" w:type="dxa"/>
            <w:shd w:val="clear" w:color="auto" w:fill="auto"/>
          </w:tcPr>
          <w:p w:rsidR="00EE394F" w:rsidRPr="00D20014" w:rsidRDefault="00405DFE" w:rsidP="00DE5F1D">
            <w:pPr>
              <w:rPr>
                <w:sz w:val="18"/>
                <w:szCs w:val="18"/>
              </w:rPr>
            </w:pPr>
            <w:r w:rsidRPr="00405DFE">
              <w:rPr>
                <w:sz w:val="18"/>
                <w:szCs w:val="18"/>
              </w:rPr>
              <w:t>JESCO</w:t>
            </w:r>
          </w:p>
        </w:tc>
        <w:tc>
          <w:tcPr>
            <w:tcW w:w="6282" w:type="dxa"/>
            <w:shd w:val="clear" w:color="auto" w:fill="auto"/>
          </w:tcPr>
          <w:p w:rsidR="00EE394F" w:rsidRPr="00D20014" w:rsidRDefault="00405DFE" w:rsidP="00DE5F1D">
            <w:pPr>
              <w:rPr>
                <w:sz w:val="18"/>
                <w:szCs w:val="18"/>
              </w:rPr>
            </w:pPr>
            <w:r w:rsidRPr="00405DFE">
              <w:rPr>
                <w:sz w:val="18"/>
                <w:szCs w:val="18"/>
              </w:rPr>
              <w:t>Japan Environmental Storage &amp; Safety Corporation</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LRMS</w:t>
            </w:r>
          </w:p>
        </w:tc>
        <w:tc>
          <w:tcPr>
            <w:tcW w:w="6282" w:type="dxa"/>
            <w:shd w:val="clear" w:color="auto" w:fill="auto"/>
          </w:tcPr>
          <w:p w:rsidR="00890CDD" w:rsidRPr="0089288F" w:rsidRDefault="00890CDD" w:rsidP="0088229A">
            <w:pPr>
              <w:rPr>
                <w:sz w:val="18"/>
                <w:szCs w:val="18"/>
              </w:rPr>
            </w:pPr>
            <w:r w:rsidRPr="0089288F">
              <w:rPr>
                <w:sz w:val="18"/>
                <w:szCs w:val="18"/>
              </w:rPr>
              <w:t>low-resolution mass spectrometry</w:t>
            </w:r>
            <w:r w:rsidR="007219BF">
              <w:rPr>
                <w:sz w:val="18"/>
                <w:szCs w:val="18"/>
              </w:rPr>
              <w:t>/spectrometer</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LTTD</w:t>
            </w:r>
          </w:p>
        </w:tc>
        <w:tc>
          <w:tcPr>
            <w:tcW w:w="6282" w:type="dxa"/>
            <w:shd w:val="clear" w:color="auto" w:fill="auto"/>
          </w:tcPr>
          <w:p w:rsidR="00890CDD" w:rsidRPr="0089288F" w:rsidRDefault="00890CDD" w:rsidP="0088229A">
            <w:pPr>
              <w:rPr>
                <w:sz w:val="18"/>
                <w:szCs w:val="18"/>
              </w:rPr>
            </w:pPr>
            <w:r w:rsidRPr="0089288F">
              <w:rPr>
                <w:sz w:val="18"/>
                <w:szCs w:val="18"/>
              </w:rPr>
              <w:t>low-temperature thermal desorption</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LWPS</w:t>
            </w:r>
          </w:p>
        </w:tc>
        <w:tc>
          <w:tcPr>
            <w:tcW w:w="6282" w:type="dxa"/>
            <w:shd w:val="clear" w:color="auto" w:fill="auto"/>
          </w:tcPr>
          <w:p w:rsidR="00890CDD" w:rsidRPr="0089288F" w:rsidRDefault="00890CDD" w:rsidP="0088229A">
            <w:pPr>
              <w:rPr>
                <w:sz w:val="18"/>
                <w:szCs w:val="18"/>
              </w:rPr>
            </w:pPr>
            <w:r w:rsidRPr="0089288F">
              <w:rPr>
                <w:sz w:val="18"/>
                <w:szCs w:val="18"/>
              </w:rPr>
              <w:t>liquid waste pre-heater system</w:t>
            </w:r>
          </w:p>
        </w:tc>
      </w:tr>
      <w:tr w:rsidR="00890CDD" w:rsidRPr="0089288F" w:rsidTr="00AC367E">
        <w:tc>
          <w:tcPr>
            <w:tcW w:w="2014" w:type="dxa"/>
            <w:shd w:val="clear" w:color="auto" w:fill="auto"/>
          </w:tcPr>
          <w:p w:rsidR="00DD4E65" w:rsidRDefault="00DD4E65" w:rsidP="0088229A">
            <w:pPr>
              <w:rPr>
                <w:sz w:val="18"/>
                <w:szCs w:val="18"/>
              </w:rPr>
            </w:pPr>
            <w:r>
              <w:rPr>
                <w:sz w:val="18"/>
                <w:szCs w:val="18"/>
              </w:rPr>
              <w:t>MSW</w:t>
            </w:r>
          </w:p>
          <w:p w:rsidR="00890CDD" w:rsidRPr="0089288F" w:rsidRDefault="00890CDD" w:rsidP="0088229A">
            <w:pPr>
              <w:rPr>
                <w:sz w:val="18"/>
                <w:szCs w:val="18"/>
              </w:rPr>
            </w:pPr>
            <w:r w:rsidRPr="0089288F">
              <w:rPr>
                <w:sz w:val="18"/>
                <w:szCs w:val="18"/>
              </w:rPr>
              <w:t>NFM</w:t>
            </w:r>
          </w:p>
        </w:tc>
        <w:tc>
          <w:tcPr>
            <w:tcW w:w="6282" w:type="dxa"/>
            <w:shd w:val="clear" w:color="auto" w:fill="auto"/>
          </w:tcPr>
          <w:p w:rsidR="00DD4E65" w:rsidRDefault="00DD4E65" w:rsidP="0088229A">
            <w:pPr>
              <w:rPr>
                <w:sz w:val="18"/>
                <w:szCs w:val="18"/>
              </w:rPr>
            </w:pPr>
            <w:r>
              <w:rPr>
                <w:sz w:val="18"/>
                <w:szCs w:val="18"/>
              </w:rPr>
              <w:t>municipal solid waste</w:t>
            </w:r>
          </w:p>
          <w:p w:rsidR="00890CDD" w:rsidRPr="0089288F" w:rsidRDefault="00890CDD" w:rsidP="0088229A">
            <w:pPr>
              <w:rPr>
                <w:sz w:val="18"/>
                <w:szCs w:val="18"/>
              </w:rPr>
            </w:pPr>
            <w:r w:rsidRPr="0089288F">
              <w:rPr>
                <w:sz w:val="18"/>
                <w:szCs w:val="18"/>
              </w:rPr>
              <w:t>non-ferrous metal</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NIP</w:t>
            </w:r>
          </w:p>
        </w:tc>
        <w:tc>
          <w:tcPr>
            <w:tcW w:w="6282" w:type="dxa"/>
            <w:shd w:val="clear" w:color="auto" w:fill="auto"/>
          </w:tcPr>
          <w:p w:rsidR="00890CDD" w:rsidRPr="0089288F" w:rsidRDefault="00890CDD" w:rsidP="007E7B8B">
            <w:pPr>
              <w:rPr>
                <w:sz w:val="18"/>
                <w:szCs w:val="18"/>
              </w:rPr>
            </w:pPr>
            <w:r w:rsidRPr="0089288F">
              <w:rPr>
                <w:sz w:val="18"/>
                <w:szCs w:val="18"/>
              </w:rPr>
              <w:t>national implementation plan</w:t>
            </w:r>
            <w:r w:rsidR="007219BF">
              <w:rPr>
                <w:sz w:val="18"/>
                <w:szCs w:val="18"/>
              </w:rPr>
              <w:t xml:space="preserve"> (Stockholm Convention)</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OECD</w:t>
            </w:r>
          </w:p>
        </w:tc>
        <w:tc>
          <w:tcPr>
            <w:tcW w:w="6282" w:type="dxa"/>
            <w:shd w:val="clear" w:color="auto" w:fill="auto"/>
          </w:tcPr>
          <w:p w:rsidR="00890CDD" w:rsidRPr="0089288F" w:rsidRDefault="00890CDD" w:rsidP="0088229A">
            <w:pPr>
              <w:rPr>
                <w:sz w:val="18"/>
                <w:szCs w:val="18"/>
              </w:rPr>
            </w:pPr>
            <w:r w:rsidRPr="0089288F">
              <w:rPr>
                <w:sz w:val="18"/>
                <w:szCs w:val="18"/>
              </w:rPr>
              <w:t>Organisation for Economic Co-operation and Development</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OEWG</w:t>
            </w:r>
          </w:p>
        </w:tc>
        <w:tc>
          <w:tcPr>
            <w:tcW w:w="6282" w:type="dxa"/>
            <w:shd w:val="clear" w:color="auto" w:fill="auto"/>
          </w:tcPr>
          <w:p w:rsidR="00890CDD" w:rsidRPr="0089288F" w:rsidRDefault="00890CDD" w:rsidP="0088229A">
            <w:pPr>
              <w:rPr>
                <w:sz w:val="18"/>
                <w:szCs w:val="18"/>
              </w:rPr>
            </w:pPr>
            <w:r w:rsidRPr="0089288F">
              <w:rPr>
                <w:sz w:val="18"/>
                <w:szCs w:val="18"/>
              </w:rPr>
              <w:t>Open-ended Working Group of the Basel Convention</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PAH</w:t>
            </w:r>
          </w:p>
        </w:tc>
        <w:tc>
          <w:tcPr>
            <w:tcW w:w="6282" w:type="dxa"/>
            <w:shd w:val="clear" w:color="auto" w:fill="auto"/>
          </w:tcPr>
          <w:p w:rsidR="00890CDD" w:rsidRPr="0089288F" w:rsidRDefault="00890CDD" w:rsidP="0088229A">
            <w:pPr>
              <w:rPr>
                <w:sz w:val="18"/>
                <w:szCs w:val="18"/>
              </w:rPr>
            </w:pPr>
            <w:r w:rsidRPr="0089288F">
              <w:rPr>
                <w:sz w:val="18"/>
                <w:szCs w:val="18"/>
              </w:rPr>
              <w:t>polycyclic aromatic hydrocarbon</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PBB</w:t>
            </w:r>
          </w:p>
        </w:tc>
        <w:tc>
          <w:tcPr>
            <w:tcW w:w="6282" w:type="dxa"/>
            <w:shd w:val="clear" w:color="auto" w:fill="auto"/>
          </w:tcPr>
          <w:p w:rsidR="00890CDD" w:rsidRPr="0089288F" w:rsidRDefault="00890CDD" w:rsidP="0088229A">
            <w:pPr>
              <w:rPr>
                <w:sz w:val="18"/>
                <w:szCs w:val="18"/>
              </w:rPr>
            </w:pPr>
            <w:proofErr w:type="spellStart"/>
            <w:r w:rsidRPr="0089288F">
              <w:rPr>
                <w:sz w:val="18"/>
                <w:szCs w:val="18"/>
              </w:rPr>
              <w:t>polybrominated</w:t>
            </w:r>
            <w:proofErr w:type="spellEnd"/>
            <w:r w:rsidRPr="0089288F">
              <w:rPr>
                <w:sz w:val="18"/>
                <w:szCs w:val="18"/>
              </w:rPr>
              <w:t xml:space="preserve"> biphenyl</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PCB</w:t>
            </w:r>
          </w:p>
        </w:tc>
        <w:tc>
          <w:tcPr>
            <w:tcW w:w="6282" w:type="dxa"/>
            <w:shd w:val="clear" w:color="auto" w:fill="auto"/>
          </w:tcPr>
          <w:p w:rsidR="00890CDD" w:rsidRPr="0089288F" w:rsidRDefault="00890CDD" w:rsidP="009B30D6">
            <w:pPr>
              <w:rPr>
                <w:sz w:val="18"/>
                <w:szCs w:val="18"/>
              </w:rPr>
            </w:pPr>
            <w:r w:rsidRPr="0089288F">
              <w:rPr>
                <w:sz w:val="18"/>
                <w:szCs w:val="18"/>
              </w:rPr>
              <w:t>polychlorinated biphenyl</w:t>
            </w:r>
            <w:r w:rsidR="00BD0240">
              <w:rPr>
                <w:sz w:val="18"/>
                <w:szCs w:val="18"/>
              </w:rPr>
              <w:t xml:space="preserve"> </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PCDD</w:t>
            </w:r>
          </w:p>
        </w:tc>
        <w:tc>
          <w:tcPr>
            <w:tcW w:w="6282" w:type="dxa"/>
            <w:shd w:val="clear" w:color="auto" w:fill="auto"/>
          </w:tcPr>
          <w:p w:rsidR="00890CDD" w:rsidRPr="0089288F" w:rsidRDefault="00890CDD" w:rsidP="0088229A">
            <w:pPr>
              <w:rPr>
                <w:sz w:val="18"/>
                <w:szCs w:val="18"/>
              </w:rPr>
            </w:pPr>
            <w:r w:rsidRPr="0089288F">
              <w:rPr>
                <w:sz w:val="18"/>
                <w:szCs w:val="18"/>
              </w:rPr>
              <w:t xml:space="preserve">polychlorinated </w:t>
            </w:r>
            <w:proofErr w:type="spellStart"/>
            <w:r w:rsidRPr="0089288F">
              <w:rPr>
                <w:sz w:val="18"/>
                <w:szCs w:val="18"/>
              </w:rPr>
              <w:t>dibenzo</w:t>
            </w:r>
            <w:proofErr w:type="spellEnd"/>
            <w:r w:rsidRPr="0089288F">
              <w:rPr>
                <w:sz w:val="18"/>
                <w:szCs w:val="18"/>
              </w:rPr>
              <w:t>-</w:t>
            </w:r>
            <w:r w:rsidRPr="007E7B8B">
              <w:rPr>
                <w:i/>
                <w:sz w:val="18"/>
              </w:rPr>
              <w:t>p</w:t>
            </w:r>
            <w:r w:rsidRPr="0089288F">
              <w:rPr>
                <w:sz w:val="18"/>
                <w:szCs w:val="18"/>
              </w:rPr>
              <w:t>-dioxin</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PCDF</w:t>
            </w:r>
          </w:p>
        </w:tc>
        <w:tc>
          <w:tcPr>
            <w:tcW w:w="6282" w:type="dxa"/>
            <w:shd w:val="clear" w:color="auto" w:fill="auto"/>
          </w:tcPr>
          <w:p w:rsidR="00890CDD" w:rsidRPr="0089288F" w:rsidRDefault="00890CDD" w:rsidP="0088229A">
            <w:pPr>
              <w:rPr>
                <w:sz w:val="18"/>
                <w:szCs w:val="18"/>
              </w:rPr>
            </w:pPr>
            <w:r w:rsidRPr="0089288F">
              <w:rPr>
                <w:sz w:val="18"/>
                <w:szCs w:val="18"/>
              </w:rPr>
              <w:t xml:space="preserve">polychlorinated </w:t>
            </w:r>
            <w:proofErr w:type="spellStart"/>
            <w:r w:rsidRPr="0089288F">
              <w:rPr>
                <w:sz w:val="18"/>
                <w:szCs w:val="18"/>
              </w:rPr>
              <w:t>dibenzo</w:t>
            </w:r>
            <w:proofErr w:type="spellEnd"/>
            <w:r w:rsidRPr="0089288F">
              <w:rPr>
                <w:sz w:val="18"/>
                <w:szCs w:val="18"/>
              </w:rPr>
              <w:t>-furan</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PCT</w:t>
            </w:r>
          </w:p>
        </w:tc>
        <w:tc>
          <w:tcPr>
            <w:tcW w:w="6282" w:type="dxa"/>
            <w:shd w:val="clear" w:color="auto" w:fill="auto"/>
          </w:tcPr>
          <w:p w:rsidR="00890CDD" w:rsidRPr="0089288F" w:rsidRDefault="00890CDD" w:rsidP="0088229A">
            <w:pPr>
              <w:rPr>
                <w:sz w:val="18"/>
                <w:szCs w:val="18"/>
              </w:rPr>
            </w:pPr>
            <w:r w:rsidRPr="0089288F">
              <w:rPr>
                <w:sz w:val="18"/>
                <w:szCs w:val="18"/>
              </w:rPr>
              <w:t xml:space="preserve">polychlorinated </w:t>
            </w:r>
            <w:proofErr w:type="spellStart"/>
            <w:r w:rsidRPr="0089288F">
              <w:rPr>
                <w:sz w:val="18"/>
                <w:szCs w:val="18"/>
              </w:rPr>
              <w:t>terphenyl</w:t>
            </w:r>
            <w:proofErr w:type="spellEnd"/>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Pd/C</w:t>
            </w:r>
          </w:p>
        </w:tc>
        <w:tc>
          <w:tcPr>
            <w:tcW w:w="6282" w:type="dxa"/>
            <w:shd w:val="clear" w:color="auto" w:fill="auto"/>
          </w:tcPr>
          <w:p w:rsidR="00890CDD" w:rsidRPr="0089288F" w:rsidRDefault="00890CDD" w:rsidP="0088229A">
            <w:pPr>
              <w:rPr>
                <w:sz w:val="18"/>
                <w:szCs w:val="18"/>
              </w:rPr>
            </w:pPr>
            <w:r w:rsidRPr="0089288F">
              <w:rPr>
                <w:sz w:val="18"/>
                <w:szCs w:val="18"/>
              </w:rPr>
              <w:t>palladium on carbon</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POP</w:t>
            </w:r>
          </w:p>
        </w:tc>
        <w:tc>
          <w:tcPr>
            <w:tcW w:w="6282" w:type="dxa"/>
            <w:shd w:val="clear" w:color="auto" w:fill="auto"/>
          </w:tcPr>
          <w:p w:rsidR="00890CDD" w:rsidRPr="0089288F" w:rsidRDefault="00890CDD" w:rsidP="0088229A">
            <w:pPr>
              <w:rPr>
                <w:sz w:val="18"/>
                <w:szCs w:val="18"/>
              </w:rPr>
            </w:pPr>
            <w:r w:rsidRPr="0089288F">
              <w:rPr>
                <w:sz w:val="18"/>
                <w:szCs w:val="18"/>
              </w:rPr>
              <w:t>persistent organic pollutant</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QA</w:t>
            </w:r>
          </w:p>
        </w:tc>
        <w:tc>
          <w:tcPr>
            <w:tcW w:w="6282" w:type="dxa"/>
            <w:shd w:val="clear" w:color="auto" w:fill="auto"/>
          </w:tcPr>
          <w:p w:rsidR="00890CDD" w:rsidRPr="0089288F" w:rsidRDefault="00890CDD" w:rsidP="0088229A">
            <w:pPr>
              <w:rPr>
                <w:sz w:val="18"/>
                <w:szCs w:val="18"/>
              </w:rPr>
            </w:pPr>
            <w:r w:rsidRPr="0089288F">
              <w:rPr>
                <w:sz w:val="18"/>
                <w:szCs w:val="18"/>
              </w:rPr>
              <w:t>quality assurance</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QC</w:t>
            </w:r>
          </w:p>
        </w:tc>
        <w:tc>
          <w:tcPr>
            <w:tcW w:w="6282" w:type="dxa"/>
            <w:shd w:val="clear" w:color="auto" w:fill="auto"/>
          </w:tcPr>
          <w:p w:rsidR="00890CDD" w:rsidRPr="0089288F" w:rsidRDefault="00890CDD" w:rsidP="0088229A">
            <w:pPr>
              <w:rPr>
                <w:sz w:val="18"/>
                <w:szCs w:val="18"/>
              </w:rPr>
            </w:pPr>
            <w:r w:rsidRPr="0089288F">
              <w:rPr>
                <w:sz w:val="18"/>
                <w:szCs w:val="18"/>
              </w:rPr>
              <w:t>quality control</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SCWO</w:t>
            </w:r>
          </w:p>
        </w:tc>
        <w:tc>
          <w:tcPr>
            <w:tcW w:w="6282" w:type="dxa"/>
            <w:shd w:val="clear" w:color="auto" w:fill="auto"/>
          </w:tcPr>
          <w:p w:rsidR="00890CDD" w:rsidRPr="0089288F" w:rsidRDefault="00890CDD" w:rsidP="0088229A">
            <w:pPr>
              <w:rPr>
                <w:sz w:val="18"/>
                <w:szCs w:val="18"/>
              </w:rPr>
            </w:pPr>
            <w:r w:rsidRPr="0089288F">
              <w:rPr>
                <w:sz w:val="18"/>
                <w:szCs w:val="18"/>
              </w:rPr>
              <w:t>supercritical water oxidation</w:t>
            </w:r>
          </w:p>
        </w:tc>
      </w:tr>
      <w:tr w:rsidR="00890CDD" w:rsidRPr="0089288F" w:rsidTr="00AC367E">
        <w:tc>
          <w:tcPr>
            <w:tcW w:w="2014" w:type="dxa"/>
            <w:shd w:val="clear" w:color="auto" w:fill="auto"/>
          </w:tcPr>
          <w:p w:rsidR="00890CDD" w:rsidRPr="0089288F" w:rsidRDefault="00890CDD" w:rsidP="0088229A">
            <w:pPr>
              <w:rPr>
                <w:sz w:val="18"/>
                <w:szCs w:val="18"/>
              </w:rPr>
            </w:pPr>
            <w:r w:rsidRPr="0089288F">
              <w:rPr>
                <w:sz w:val="18"/>
                <w:szCs w:val="18"/>
              </w:rPr>
              <w:t>SOP</w:t>
            </w:r>
          </w:p>
        </w:tc>
        <w:tc>
          <w:tcPr>
            <w:tcW w:w="6282" w:type="dxa"/>
            <w:shd w:val="clear" w:color="auto" w:fill="auto"/>
          </w:tcPr>
          <w:p w:rsidR="00890CDD" w:rsidRPr="0089288F" w:rsidRDefault="00890CDD" w:rsidP="0088229A">
            <w:pPr>
              <w:rPr>
                <w:sz w:val="18"/>
                <w:szCs w:val="18"/>
              </w:rPr>
            </w:pPr>
            <w:r w:rsidRPr="0089288F">
              <w:rPr>
                <w:sz w:val="18"/>
                <w:szCs w:val="18"/>
              </w:rPr>
              <w:t>standard operational procedure</w:t>
            </w:r>
          </w:p>
        </w:tc>
      </w:tr>
      <w:tr w:rsidR="00890CDD" w:rsidRPr="0089288F" w:rsidTr="00AC367E">
        <w:tc>
          <w:tcPr>
            <w:tcW w:w="2014" w:type="dxa"/>
            <w:shd w:val="clear" w:color="auto" w:fill="auto"/>
          </w:tcPr>
          <w:p w:rsidR="00557442" w:rsidRDefault="00557442" w:rsidP="0088229A">
            <w:pPr>
              <w:rPr>
                <w:sz w:val="18"/>
                <w:szCs w:val="18"/>
              </w:rPr>
            </w:pPr>
            <w:r>
              <w:rPr>
                <w:sz w:val="18"/>
                <w:szCs w:val="18"/>
              </w:rPr>
              <w:t>TEAP</w:t>
            </w:r>
          </w:p>
          <w:p w:rsidR="00890CDD" w:rsidRPr="00EE394F" w:rsidRDefault="00890CDD" w:rsidP="0088229A">
            <w:pPr>
              <w:rPr>
                <w:sz w:val="18"/>
                <w:szCs w:val="18"/>
              </w:rPr>
            </w:pPr>
            <w:r w:rsidRPr="00EE394F">
              <w:rPr>
                <w:sz w:val="18"/>
                <w:szCs w:val="18"/>
              </w:rPr>
              <w:t>TEQ</w:t>
            </w:r>
          </w:p>
        </w:tc>
        <w:tc>
          <w:tcPr>
            <w:tcW w:w="6282" w:type="dxa"/>
            <w:shd w:val="clear" w:color="auto" w:fill="auto"/>
          </w:tcPr>
          <w:p w:rsidR="00557442" w:rsidRDefault="00557442" w:rsidP="0088229A">
            <w:pPr>
              <w:rPr>
                <w:sz w:val="18"/>
                <w:szCs w:val="18"/>
              </w:rPr>
            </w:pPr>
            <w:r>
              <w:rPr>
                <w:sz w:val="18"/>
                <w:szCs w:val="18"/>
              </w:rPr>
              <w:t>Technology and Economic Assessment Panel (of the Montreal Protocol)</w:t>
            </w:r>
          </w:p>
          <w:p w:rsidR="00890CDD" w:rsidRPr="00EE394F" w:rsidRDefault="00405DFE" w:rsidP="0088229A">
            <w:pPr>
              <w:rPr>
                <w:sz w:val="18"/>
                <w:szCs w:val="18"/>
              </w:rPr>
            </w:pPr>
            <w:r w:rsidRPr="008F2395">
              <w:rPr>
                <w:sz w:val="18"/>
                <w:szCs w:val="18"/>
              </w:rPr>
              <w:t>toxicity equivalence</w:t>
            </w:r>
          </w:p>
        </w:tc>
      </w:tr>
      <w:tr w:rsidR="00890CDD" w:rsidRPr="0089288F" w:rsidTr="00AC367E">
        <w:tc>
          <w:tcPr>
            <w:tcW w:w="2014" w:type="dxa"/>
            <w:shd w:val="clear" w:color="auto" w:fill="auto"/>
          </w:tcPr>
          <w:p w:rsidR="00890CDD" w:rsidRPr="00EE394F" w:rsidRDefault="00890CDD" w:rsidP="0088229A">
            <w:pPr>
              <w:rPr>
                <w:sz w:val="18"/>
                <w:szCs w:val="18"/>
              </w:rPr>
            </w:pPr>
            <w:r w:rsidRPr="00EE394F">
              <w:rPr>
                <w:sz w:val="18"/>
                <w:szCs w:val="18"/>
              </w:rPr>
              <w:t>TRBP</w:t>
            </w:r>
          </w:p>
        </w:tc>
        <w:tc>
          <w:tcPr>
            <w:tcW w:w="6282" w:type="dxa"/>
            <w:shd w:val="clear" w:color="auto" w:fill="auto"/>
          </w:tcPr>
          <w:p w:rsidR="00890CDD" w:rsidRPr="00EE394F" w:rsidRDefault="00890CDD" w:rsidP="0088229A">
            <w:pPr>
              <w:rPr>
                <w:sz w:val="18"/>
                <w:szCs w:val="18"/>
              </w:rPr>
            </w:pPr>
            <w:r w:rsidRPr="00EE394F">
              <w:rPr>
                <w:sz w:val="18"/>
                <w:szCs w:val="18"/>
              </w:rPr>
              <w:t>thermal reduction batch processor</w:t>
            </w:r>
          </w:p>
        </w:tc>
      </w:tr>
      <w:tr w:rsidR="00EE394F" w:rsidRPr="0089288F" w:rsidTr="00AC367E">
        <w:tc>
          <w:tcPr>
            <w:tcW w:w="2014" w:type="dxa"/>
            <w:shd w:val="clear" w:color="auto" w:fill="auto"/>
          </w:tcPr>
          <w:p w:rsidR="00EE394F" w:rsidRPr="00EE394F" w:rsidRDefault="00EE394F" w:rsidP="00DE5F1D">
            <w:pPr>
              <w:rPr>
                <w:sz w:val="18"/>
                <w:szCs w:val="18"/>
              </w:rPr>
            </w:pPr>
            <w:r w:rsidRPr="00EE394F">
              <w:rPr>
                <w:sz w:val="18"/>
                <w:szCs w:val="18"/>
              </w:rPr>
              <w:t>UNECE</w:t>
            </w:r>
          </w:p>
        </w:tc>
        <w:tc>
          <w:tcPr>
            <w:tcW w:w="6282" w:type="dxa"/>
            <w:shd w:val="clear" w:color="auto" w:fill="auto"/>
          </w:tcPr>
          <w:p w:rsidR="00EE394F" w:rsidRPr="00EE394F" w:rsidRDefault="00EE394F" w:rsidP="00DE5F1D">
            <w:pPr>
              <w:rPr>
                <w:sz w:val="18"/>
                <w:szCs w:val="18"/>
              </w:rPr>
            </w:pPr>
            <w:r w:rsidRPr="00EE394F">
              <w:rPr>
                <w:sz w:val="18"/>
                <w:szCs w:val="18"/>
              </w:rPr>
              <w:t xml:space="preserve">United Nations Economic Commission for Europe </w:t>
            </w:r>
          </w:p>
        </w:tc>
      </w:tr>
      <w:tr w:rsidR="00EE394F" w:rsidRPr="00EE394F" w:rsidTr="00AC367E">
        <w:tc>
          <w:tcPr>
            <w:tcW w:w="2014" w:type="dxa"/>
            <w:shd w:val="clear" w:color="auto" w:fill="auto"/>
          </w:tcPr>
          <w:p w:rsidR="00890CDD" w:rsidRPr="007657AF" w:rsidRDefault="00890CDD" w:rsidP="00EE394F">
            <w:pPr>
              <w:rPr>
                <w:sz w:val="18"/>
                <w:szCs w:val="18"/>
              </w:rPr>
            </w:pPr>
            <w:r w:rsidRPr="007657AF">
              <w:rPr>
                <w:sz w:val="18"/>
                <w:szCs w:val="18"/>
              </w:rPr>
              <w:t>UN</w:t>
            </w:r>
            <w:r w:rsidR="00EE394F" w:rsidRPr="007657AF">
              <w:rPr>
                <w:sz w:val="18"/>
                <w:szCs w:val="18"/>
              </w:rPr>
              <w:t>IDO</w:t>
            </w:r>
          </w:p>
        </w:tc>
        <w:tc>
          <w:tcPr>
            <w:tcW w:w="6282" w:type="dxa"/>
            <w:shd w:val="clear" w:color="auto" w:fill="auto"/>
          </w:tcPr>
          <w:p w:rsidR="00890CDD" w:rsidRPr="007657AF" w:rsidRDefault="00890CDD" w:rsidP="00EE394F">
            <w:pPr>
              <w:rPr>
                <w:sz w:val="18"/>
                <w:szCs w:val="18"/>
              </w:rPr>
            </w:pPr>
            <w:r w:rsidRPr="007657AF">
              <w:rPr>
                <w:sz w:val="18"/>
                <w:szCs w:val="18"/>
              </w:rPr>
              <w:t xml:space="preserve">United Nations </w:t>
            </w:r>
            <w:r w:rsidR="00EE394F" w:rsidRPr="007657AF">
              <w:rPr>
                <w:sz w:val="18"/>
                <w:szCs w:val="18"/>
              </w:rPr>
              <w:t>Industrial Development Organization</w:t>
            </w:r>
          </w:p>
        </w:tc>
      </w:tr>
      <w:tr w:rsidR="00890CDD" w:rsidRPr="0089288F" w:rsidTr="00AC367E">
        <w:tc>
          <w:tcPr>
            <w:tcW w:w="2014" w:type="dxa"/>
            <w:shd w:val="clear" w:color="auto" w:fill="auto"/>
          </w:tcPr>
          <w:p w:rsidR="00890CDD" w:rsidRPr="00EE394F" w:rsidRDefault="00890CDD" w:rsidP="0088229A">
            <w:pPr>
              <w:rPr>
                <w:sz w:val="18"/>
                <w:szCs w:val="18"/>
              </w:rPr>
            </w:pPr>
            <w:r w:rsidRPr="00EE394F">
              <w:rPr>
                <w:sz w:val="18"/>
                <w:szCs w:val="18"/>
              </w:rPr>
              <w:t>UNEP</w:t>
            </w:r>
          </w:p>
        </w:tc>
        <w:tc>
          <w:tcPr>
            <w:tcW w:w="6282" w:type="dxa"/>
            <w:shd w:val="clear" w:color="auto" w:fill="auto"/>
          </w:tcPr>
          <w:p w:rsidR="00890CDD" w:rsidRPr="00EE394F" w:rsidRDefault="00890CDD" w:rsidP="0088229A">
            <w:pPr>
              <w:rPr>
                <w:sz w:val="18"/>
                <w:szCs w:val="18"/>
              </w:rPr>
            </w:pPr>
            <w:r w:rsidRPr="00EE394F">
              <w:rPr>
                <w:sz w:val="18"/>
                <w:szCs w:val="18"/>
              </w:rPr>
              <w:t>United Nations Environment Programme</w:t>
            </w:r>
          </w:p>
        </w:tc>
      </w:tr>
      <w:tr w:rsidR="00890CDD" w:rsidRPr="0089288F" w:rsidTr="00AC367E">
        <w:tc>
          <w:tcPr>
            <w:tcW w:w="2014" w:type="dxa"/>
            <w:shd w:val="clear" w:color="auto" w:fill="auto"/>
          </w:tcPr>
          <w:p w:rsidR="00890CDD" w:rsidRPr="007657AF" w:rsidRDefault="00890CDD" w:rsidP="0088229A">
            <w:pPr>
              <w:rPr>
                <w:sz w:val="18"/>
                <w:szCs w:val="18"/>
              </w:rPr>
            </w:pPr>
            <w:r w:rsidRPr="007657AF">
              <w:rPr>
                <w:sz w:val="18"/>
                <w:szCs w:val="18"/>
              </w:rPr>
              <w:t>WHO</w:t>
            </w:r>
          </w:p>
        </w:tc>
        <w:tc>
          <w:tcPr>
            <w:tcW w:w="6282" w:type="dxa"/>
            <w:shd w:val="clear" w:color="auto" w:fill="auto"/>
          </w:tcPr>
          <w:p w:rsidR="00890CDD" w:rsidRPr="007657AF" w:rsidRDefault="00EE394F" w:rsidP="0088229A">
            <w:pPr>
              <w:rPr>
                <w:sz w:val="18"/>
                <w:szCs w:val="18"/>
              </w:rPr>
            </w:pPr>
            <w:r w:rsidRPr="007657AF">
              <w:rPr>
                <w:sz w:val="18"/>
                <w:szCs w:val="18"/>
              </w:rPr>
              <w:t>World Health Organization</w:t>
            </w:r>
          </w:p>
          <w:p w:rsidR="00890CDD" w:rsidRPr="007657AF" w:rsidRDefault="00890CDD" w:rsidP="0088229A">
            <w:pPr>
              <w:rPr>
                <w:sz w:val="18"/>
                <w:szCs w:val="18"/>
              </w:rPr>
            </w:pPr>
          </w:p>
        </w:tc>
      </w:tr>
    </w:tbl>
    <w:p w:rsidR="00890CDD" w:rsidRDefault="00890CDD">
      <w:pPr>
        <w:rPr>
          <w:sz w:val="18"/>
        </w:rPr>
      </w:pPr>
    </w:p>
    <w:p w:rsidR="00890CDD" w:rsidRPr="00E93F37" w:rsidRDefault="00890CDD" w:rsidP="00E264B9">
      <w:pPr>
        <w:pStyle w:val="Heading1"/>
        <w:ind w:firstLine="720"/>
        <w:rPr>
          <w:rFonts w:ascii="Times New Roman" w:hAnsi="Times New Roman"/>
          <w:sz w:val="28"/>
          <w:szCs w:val="28"/>
        </w:rPr>
      </w:pPr>
      <w:bookmarkStart w:id="17" w:name="_Toc52011538"/>
      <w:bookmarkStart w:id="18" w:name="_Toc52131779"/>
      <w:bookmarkStart w:id="19" w:name="_Toc161804540"/>
      <w:bookmarkStart w:id="20" w:name="_Toc405988616"/>
      <w:bookmarkStart w:id="21" w:name="_Toc437340509"/>
      <w:r w:rsidRPr="00E93F37">
        <w:rPr>
          <w:rFonts w:ascii="Times New Roman" w:hAnsi="Times New Roman"/>
          <w:sz w:val="28"/>
          <w:szCs w:val="28"/>
        </w:rPr>
        <w:t xml:space="preserve">Units of </w:t>
      </w:r>
      <w:bookmarkEnd w:id="17"/>
      <w:bookmarkEnd w:id="18"/>
      <w:r w:rsidRPr="00E93F37">
        <w:rPr>
          <w:rFonts w:ascii="Times New Roman" w:hAnsi="Times New Roman"/>
          <w:sz w:val="28"/>
          <w:szCs w:val="28"/>
        </w:rPr>
        <w:t>measurement</w:t>
      </w:r>
      <w:bookmarkEnd w:id="19"/>
      <w:bookmarkEnd w:id="20"/>
      <w:bookmarkEnd w:id="21"/>
      <w:r w:rsidR="00D20EBE">
        <w:rPr>
          <w:rFonts w:ascii="Times New Roman" w:hAnsi="Times New Roman"/>
          <w:sz w:val="28"/>
          <w:szCs w:val="28"/>
        </w:rPr>
        <w:t xml:space="preserve"> </w:t>
      </w:r>
    </w:p>
    <w:tbl>
      <w:tblPr>
        <w:tblW w:w="8509" w:type="dxa"/>
        <w:tblInd w:w="1428" w:type="dxa"/>
        <w:tblLayout w:type="fixed"/>
        <w:tblLook w:val="00A0"/>
      </w:tblPr>
      <w:tblGrid>
        <w:gridCol w:w="2040"/>
        <w:gridCol w:w="6469"/>
      </w:tblGrid>
      <w:tr w:rsidR="00890CDD" w:rsidRPr="0089288F" w:rsidTr="0088229A">
        <w:tc>
          <w:tcPr>
            <w:tcW w:w="2040" w:type="dxa"/>
            <w:shd w:val="clear" w:color="auto" w:fill="auto"/>
          </w:tcPr>
          <w:p w:rsidR="00890CDD" w:rsidRPr="0089288F" w:rsidRDefault="00890CDD" w:rsidP="009E7180">
            <w:pPr>
              <w:keepNext/>
              <w:keepLines/>
              <w:autoSpaceDE w:val="0"/>
              <w:autoSpaceDN w:val="0"/>
              <w:adjustRightInd w:val="0"/>
              <w:rPr>
                <w:sz w:val="18"/>
                <w:szCs w:val="18"/>
              </w:rPr>
            </w:pPr>
            <w:proofErr w:type="spellStart"/>
            <w:r w:rsidRPr="0089288F">
              <w:rPr>
                <w:sz w:val="18"/>
                <w:szCs w:val="18"/>
              </w:rPr>
              <w:t>μg</w:t>
            </w:r>
            <w:proofErr w:type="spellEnd"/>
            <w:r w:rsidRPr="0089288F">
              <w:rPr>
                <w:sz w:val="18"/>
                <w:szCs w:val="18"/>
              </w:rPr>
              <w:t xml:space="preserve">/kg </w:t>
            </w:r>
          </w:p>
        </w:tc>
        <w:tc>
          <w:tcPr>
            <w:tcW w:w="6469" w:type="dxa"/>
            <w:shd w:val="clear" w:color="auto" w:fill="auto"/>
          </w:tcPr>
          <w:p w:rsidR="00890CDD" w:rsidRPr="0089288F" w:rsidRDefault="00890CDD" w:rsidP="009E7180">
            <w:pPr>
              <w:keepNext/>
              <w:keepLines/>
              <w:autoSpaceDE w:val="0"/>
              <w:autoSpaceDN w:val="0"/>
              <w:adjustRightInd w:val="0"/>
              <w:rPr>
                <w:sz w:val="18"/>
                <w:szCs w:val="18"/>
              </w:rPr>
            </w:pPr>
            <w:proofErr w:type="gramStart"/>
            <w:r w:rsidRPr="0089288F">
              <w:rPr>
                <w:sz w:val="18"/>
                <w:szCs w:val="18"/>
              </w:rPr>
              <w:t>microgram(s)</w:t>
            </w:r>
            <w:proofErr w:type="gramEnd"/>
            <w:r w:rsidRPr="0089288F">
              <w:rPr>
                <w:sz w:val="18"/>
                <w:szCs w:val="18"/>
              </w:rPr>
              <w:t xml:space="preserve"> per kilogram. Corresponds to parts per billion (ppb) by mass.</w:t>
            </w:r>
          </w:p>
        </w:tc>
      </w:tr>
      <w:tr w:rsidR="00890CDD" w:rsidRPr="0089288F" w:rsidTr="0088229A">
        <w:tc>
          <w:tcPr>
            <w:tcW w:w="2040" w:type="dxa"/>
            <w:shd w:val="clear" w:color="auto" w:fill="auto"/>
          </w:tcPr>
          <w:p w:rsidR="00D20EBE" w:rsidRDefault="00D20EBE" w:rsidP="009E7180">
            <w:pPr>
              <w:keepNext/>
              <w:keepLines/>
              <w:autoSpaceDE w:val="0"/>
              <w:autoSpaceDN w:val="0"/>
              <w:adjustRightInd w:val="0"/>
              <w:rPr>
                <w:sz w:val="18"/>
                <w:szCs w:val="18"/>
              </w:rPr>
            </w:pPr>
            <w:r>
              <w:rPr>
                <w:sz w:val="18"/>
                <w:szCs w:val="18"/>
              </w:rPr>
              <w:t>kg</w:t>
            </w:r>
          </w:p>
          <w:p w:rsidR="00D20EBE" w:rsidRDefault="00D20EBE" w:rsidP="009E7180">
            <w:pPr>
              <w:keepNext/>
              <w:keepLines/>
              <w:autoSpaceDE w:val="0"/>
              <w:autoSpaceDN w:val="0"/>
              <w:adjustRightInd w:val="0"/>
              <w:rPr>
                <w:sz w:val="18"/>
                <w:szCs w:val="18"/>
              </w:rPr>
            </w:pPr>
            <w:r>
              <w:rPr>
                <w:sz w:val="18"/>
                <w:szCs w:val="18"/>
              </w:rPr>
              <w:t>kW</w:t>
            </w:r>
          </w:p>
          <w:p w:rsidR="00D20EBE" w:rsidRDefault="00D20EBE" w:rsidP="009E7180">
            <w:pPr>
              <w:keepNext/>
              <w:keepLines/>
              <w:autoSpaceDE w:val="0"/>
              <w:autoSpaceDN w:val="0"/>
              <w:adjustRightInd w:val="0"/>
              <w:rPr>
                <w:sz w:val="18"/>
                <w:szCs w:val="18"/>
              </w:rPr>
            </w:pPr>
            <w:r>
              <w:rPr>
                <w:sz w:val="18"/>
                <w:szCs w:val="18"/>
              </w:rPr>
              <w:t>kWh</w:t>
            </w:r>
          </w:p>
          <w:p w:rsidR="00D20EBE" w:rsidRDefault="00D20EBE" w:rsidP="009E7180">
            <w:pPr>
              <w:keepNext/>
              <w:keepLines/>
              <w:autoSpaceDE w:val="0"/>
              <w:autoSpaceDN w:val="0"/>
              <w:adjustRightInd w:val="0"/>
              <w:rPr>
                <w:sz w:val="18"/>
                <w:szCs w:val="18"/>
              </w:rPr>
            </w:pPr>
            <w:r>
              <w:rPr>
                <w:sz w:val="18"/>
                <w:szCs w:val="18"/>
              </w:rPr>
              <w:t>mg</w:t>
            </w:r>
          </w:p>
          <w:p w:rsidR="00890CDD" w:rsidRPr="0089288F" w:rsidRDefault="00890CDD" w:rsidP="009E7180">
            <w:pPr>
              <w:keepNext/>
              <w:keepLines/>
              <w:autoSpaceDE w:val="0"/>
              <w:autoSpaceDN w:val="0"/>
              <w:adjustRightInd w:val="0"/>
              <w:rPr>
                <w:sz w:val="18"/>
                <w:szCs w:val="18"/>
              </w:rPr>
            </w:pPr>
            <w:r w:rsidRPr="0089288F">
              <w:rPr>
                <w:sz w:val="18"/>
                <w:szCs w:val="18"/>
              </w:rPr>
              <w:t xml:space="preserve">mg/kg </w:t>
            </w:r>
          </w:p>
        </w:tc>
        <w:tc>
          <w:tcPr>
            <w:tcW w:w="6469" w:type="dxa"/>
            <w:shd w:val="clear" w:color="auto" w:fill="auto"/>
          </w:tcPr>
          <w:p w:rsidR="00D20EBE" w:rsidRDefault="00D20EBE" w:rsidP="009E7180">
            <w:pPr>
              <w:keepNext/>
              <w:keepLines/>
              <w:autoSpaceDE w:val="0"/>
              <w:autoSpaceDN w:val="0"/>
              <w:adjustRightInd w:val="0"/>
              <w:rPr>
                <w:sz w:val="18"/>
                <w:szCs w:val="18"/>
              </w:rPr>
            </w:pPr>
            <w:r>
              <w:rPr>
                <w:sz w:val="18"/>
                <w:szCs w:val="18"/>
              </w:rPr>
              <w:t>kilogram</w:t>
            </w:r>
          </w:p>
          <w:p w:rsidR="00D20EBE" w:rsidRDefault="00D20EBE" w:rsidP="009E7180">
            <w:pPr>
              <w:keepNext/>
              <w:keepLines/>
              <w:autoSpaceDE w:val="0"/>
              <w:autoSpaceDN w:val="0"/>
              <w:adjustRightInd w:val="0"/>
              <w:rPr>
                <w:sz w:val="18"/>
                <w:szCs w:val="18"/>
              </w:rPr>
            </w:pPr>
            <w:r>
              <w:rPr>
                <w:sz w:val="18"/>
                <w:szCs w:val="18"/>
              </w:rPr>
              <w:t>kilowatt</w:t>
            </w:r>
          </w:p>
          <w:p w:rsidR="00D20EBE" w:rsidRDefault="00D20EBE" w:rsidP="009E7180">
            <w:pPr>
              <w:keepNext/>
              <w:keepLines/>
              <w:autoSpaceDE w:val="0"/>
              <w:autoSpaceDN w:val="0"/>
              <w:adjustRightInd w:val="0"/>
              <w:rPr>
                <w:sz w:val="18"/>
                <w:szCs w:val="18"/>
              </w:rPr>
            </w:pPr>
            <w:r>
              <w:rPr>
                <w:sz w:val="18"/>
                <w:szCs w:val="18"/>
              </w:rPr>
              <w:t>kilowatt-hour</w:t>
            </w:r>
          </w:p>
          <w:p w:rsidR="00D20EBE" w:rsidRDefault="00D20EBE" w:rsidP="009E7180">
            <w:pPr>
              <w:keepNext/>
              <w:keepLines/>
              <w:autoSpaceDE w:val="0"/>
              <w:autoSpaceDN w:val="0"/>
              <w:adjustRightInd w:val="0"/>
              <w:rPr>
                <w:sz w:val="18"/>
                <w:szCs w:val="18"/>
              </w:rPr>
            </w:pPr>
            <w:r>
              <w:rPr>
                <w:sz w:val="18"/>
                <w:szCs w:val="18"/>
              </w:rPr>
              <w:t>milligram</w:t>
            </w:r>
          </w:p>
          <w:p w:rsidR="00890CDD" w:rsidRPr="0089288F" w:rsidRDefault="00890CDD" w:rsidP="009E7180">
            <w:pPr>
              <w:keepNext/>
              <w:keepLines/>
              <w:autoSpaceDE w:val="0"/>
              <w:autoSpaceDN w:val="0"/>
              <w:adjustRightInd w:val="0"/>
              <w:rPr>
                <w:sz w:val="18"/>
                <w:szCs w:val="18"/>
              </w:rPr>
            </w:pPr>
            <w:proofErr w:type="gramStart"/>
            <w:r w:rsidRPr="0089288F">
              <w:rPr>
                <w:sz w:val="18"/>
                <w:szCs w:val="18"/>
              </w:rPr>
              <w:t>milligram(s)</w:t>
            </w:r>
            <w:proofErr w:type="gramEnd"/>
            <w:r w:rsidRPr="0089288F">
              <w:rPr>
                <w:sz w:val="18"/>
                <w:szCs w:val="18"/>
              </w:rPr>
              <w:t xml:space="preserve"> per kilogram. Corresponds to parts per million (</w:t>
            </w:r>
            <w:proofErr w:type="spellStart"/>
            <w:r w:rsidRPr="0089288F">
              <w:rPr>
                <w:sz w:val="18"/>
                <w:szCs w:val="18"/>
              </w:rPr>
              <w:t>ppm</w:t>
            </w:r>
            <w:proofErr w:type="spellEnd"/>
            <w:r w:rsidRPr="0089288F">
              <w:rPr>
                <w:sz w:val="18"/>
                <w:szCs w:val="18"/>
              </w:rPr>
              <w:t>) by mass.</w:t>
            </w:r>
          </w:p>
        </w:tc>
      </w:tr>
      <w:tr w:rsidR="00890CDD" w:rsidRPr="0089288F" w:rsidTr="0088229A">
        <w:tc>
          <w:tcPr>
            <w:tcW w:w="2040" w:type="dxa"/>
            <w:shd w:val="clear" w:color="auto" w:fill="auto"/>
          </w:tcPr>
          <w:p w:rsidR="00D20EBE" w:rsidRDefault="00D20EBE" w:rsidP="009E7180">
            <w:pPr>
              <w:keepNext/>
              <w:keepLines/>
              <w:rPr>
                <w:sz w:val="18"/>
                <w:szCs w:val="18"/>
              </w:rPr>
            </w:pPr>
            <w:r>
              <w:rPr>
                <w:sz w:val="18"/>
                <w:szCs w:val="18"/>
              </w:rPr>
              <w:t>MJ</w:t>
            </w:r>
          </w:p>
          <w:p w:rsidR="00D20EBE" w:rsidRDefault="00D20EBE" w:rsidP="009E7180">
            <w:pPr>
              <w:keepNext/>
              <w:keepLines/>
              <w:rPr>
                <w:sz w:val="18"/>
                <w:szCs w:val="18"/>
              </w:rPr>
            </w:pPr>
            <w:r>
              <w:rPr>
                <w:sz w:val="18"/>
                <w:szCs w:val="18"/>
              </w:rPr>
              <w:t>ms</w:t>
            </w:r>
          </w:p>
          <w:p w:rsidR="00890CDD" w:rsidRPr="0089288F" w:rsidRDefault="00890CDD" w:rsidP="009E7180">
            <w:pPr>
              <w:keepNext/>
              <w:keepLines/>
              <w:rPr>
                <w:sz w:val="18"/>
                <w:szCs w:val="18"/>
              </w:rPr>
            </w:pPr>
            <w:proofErr w:type="spellStart"/>
            <w:r w:rsidRPr="0089288F">
              <w:rPr>
                <w:sz w:val="18"/>
                <w:szCs w:val="18"/>
              </w:rPr>
              <w:t>ng</w:t>
            </w:r>
            <w:proofErr w:type="spellEnd"/>
            <w:r w:rsidRPr="0089288F">
              <w:rPr>
                <w:sz w:val="18"/>
                <w:szCs w:val="18"/>
              </w:rPr>
              <w:t xml:space="preserve"> </w:t>
            </w:r>
          </w:p>
        </w:tc>
        <w:tc>
          <w:tcPr>
            <w:tcW w:w="6469" w:type="dxa"/>
            <w:shd w:val="clear" w:color="auto" w:fill="auto"/>
          </w:tcPr>
          <w:p w:rsidR="00D20EBE" w:rsidRDefault="00D20EBE" w:rsidP="009E7180">
            <w:pPr>
              <w:keepNext/>
              <w:keepLines/>
              <w:rPr>
                <w:sz w:val="18"/>
                <w:szCs w:val="18"/>
              </w:rPr>
            </w:pPr>
            <w:proofErr w:type="spellStart"/>
            <w:r>
              <w:rPr>
                <w:sz w:val="18"/>
                <w:szCs w:val="18"/>
              </w:rPr>
              <w:t>megajoule</w:t>
            </w:r>
            <w:proofErr w:type="spellEnd"/>
          </w:p>
          <w:p w:rsidR="00D20EBE" w:rsidRDefault="00D20EBE" w:rsidP="009E7180">
            <w:pPr>
              <w:keepNext/>
              <w:keepLines/>
              <w:rPr>
                <w:sz w:val="18"/>
                <w:szCs w:val="18"/>
              </w:rPr>
            </w:pPr>
            <w:r>
              <w:rPr>
                <w:sz w:val="18"/>
                <w:szCs w:val="18"/>
              </w:rPr>
              <w:t>millisecond</w:t>
            </w:r>
          </w:p>
          <w:p w:rsidR="00890CDD" w:rsidRPr="0089288F" w:rsidRDefault="00890CDD" w:rsidP="009E7180">
            <w:pPr>
              <w:keepNext/>
              <w:keepLines/>
              <w:rPr>
                <w:sz w:val="18"/>
                <w:szCs w:val="18"/>
              </w:rPr>
            </w:pPr>
            <w:proofErr w:type="spellStart"/>
            <w:r w:rsidRPr="0089288F">
              <w:rPr>
                <w:sz w:val="18"/>
                <w:szCs w:val="18"/>
              </w:rPr>
              <w:t>nanogram</w:t>
            </w:r>
            <w:proofErr w:type="spellEnd"/>
          </w:p>
        </w:tc>
      </w:tr>
      <w:tr w:rsidR="00890CDD" w:rsidRPr="0089288F" w:rsidTr="0088229A">
        <w:tc>
          <w:tcPr>
            <w:tcW w:w="2040" w:type="dxa"/>
            <w:shd w:val="clear" w:color="auto" w:fill="auto"/>
          </w:tcPr>
          <w:p w:rsidR="00890CDD" w:rsidRPr="0089288F" w:rsidRDefault="00890CDD" w:rsidP="009E7180">
            <w:pPr>
              <w:keepNext/>
              <w:keepLines/>
              <w:rPr>
                <w:sz w:val="18"/>
                <w:szCs w:val="18"/>
              </w:rPr>
            </w:pPr>
            <w:r w:rsidRPr="0089288F">
              <w:rPr>
                <w:sz w:val="18"/>
                <w:szCs w:val="18"/>
              </w:rPr>
              <w:t>Mg</w:t>
            </w:r>
          </w:p>
        </w:tc>
        <w:tc>
          <w:tcPr>
            <w:tcW w:w="6469" w:type="dxa"/>
            <w:shd w:val="clear" w:color="auto" w:fill="auto"/>
          </w:tcPr>
          <w:p w:rsidR="00890CDD" w:rsidRPr="0089288F" w:rsidRDefault="00890CDD" w:rsidP="009E7180">
            <w:pPr>
              <w:keepNext/>
              <w:keepLines/>
              <w:rPr>
                <w:sz w:val="18"/>
                <w:szCs w:val="18"/>
              </w:rPr>
            </w:pPr>
            <w:proofErr w:type="spellStart"/>
            <w:r w:rsidRPr="0089288F">
              <w:rPr>
                <w:sz w:val="18"/>
                <w:szCs w:val="18"/>
              </w:rPr>
              <w:t>megagram</w:t>
            </w:r>
            <w:proofErr w:type="spellEnd"/>
            <w:r w:rsidRPr="0089288F">
              <w:rPr>
                <w:sz w:val="18"/>
                <w:szCs w:val="18"/>
              </w:rPr>
              <w:t xml:space="preserve"> (1,000 kg or </w:t>
            </w:r>
            <w:r w:rsidRPr="0064724F">
              <w:rPr>
                <w:sz w:val="18"/>
                <w:szCs w:val="18"/>
              </w:rPr>
              <w:t>1 tonne)</w:t>
            </w:r>
          </w:p>
        </w:tc>
      </w:tr>
      <w:tr w:rsidR="00890CDD" w:rsidRPr="0089288F" w:rsidTr="0088229A">
        <w:tc>
          <w:tcPr>
            <w:tcW w:w="2040" w:type="dxa"/>
            <w:shd w:val="clear" w:color="auto" w:fill="auto"/>
          </w:tcPr>
          <w:p w:rsidR="00890CDD" w:rsidRPr="0089288F" w:rsidRDefault="00890CDD" w:rsidP="0088229A">
            <w:pPr>
              <w:rPr>
                <w:sz w:val="18"/>
                <w:szCs w:val="18"/>
              </w:rPr>
            </w:pPr>
            <w:r w:rsidRPr="0089288F">
              <w:rPr>
                <w:sz w:val="18"/>
              </w:rPr>
              <w:t>Nm</w:t>
            </w:r>
            <w:r w:rsidRPr="0089288F">
              <w:rPr>
                <w:sz w:val="18"/>
                <w:vertAlign w:val="superscript"/>
              </w:rPr>
              <w:t>3</w:t>
            </w:r>
            <w:r w:rsidRPr="0089288F">
              <w:rPr>
                <w:sz w:val="18"/>
              </w:rPr>
              <w:t xml:space="preserve"> </w:t>
            </w:r>
          </w:p>
        </w:tc>
        <w:tc>
          <w:tcPr>
            <w:tcW w:w="6469" w:type="dxa"/>
            <w:shd w:val="clear" w:color="auto" w:fill="auto"/>
          </w:tcPr>
          <w:p w:rsidR="00890CDD" w:rsidRPr="0089288F" w:rsidRDefault="00890CDD" w:rsidP="0088229A">
            <w:pPr>
              <w:rPr>
                <w:sz w:val="18"/>
                <w:szCs w:val="18"/>
              </w:rPr>
            </w:pPr>
            <w:r w:rsidRPr="0089288F">
              <w:rPr>
                <w:sz w:val="18"/>
              </w:rPr>
              <w:t xml:space="preserve">normal cubic metre; refers to dry gas, 101.3 </w:t>
            </w:r>
            <w:proofErr w:type="spellStart"/>
            <w:r w:rsidRPr="0089288F">
              <w:rPr>
                <w:sz w:val="18"/>
              </w:rPr>
              <w:t>kPa</w:t>
            </w:r>
            <w:proofErr w:type="spellEnd"/>
            <w:r w:rsidRPr="0089288F">
              <w:rPr>
                <w:sz w:val="18"/>
              </w:rPr>
              <w:t xml:space="preserve"> and 273.15 K</w:t>
            </w:r>
          </w:p>
        </w:tc>
      </w:tr>
    </w:tbl>
    <w:p w:rsidR="00E8028C" w:rsidRDefault="00890CDD">
      <w:pPr>
        <w:pStyle w:val="Heading1"/>
        <w:tabs>
          <w:tab w:val="left" w:pos="1134"/>
        </w:tabs>
        <w:spacing w:before="240"/>
        <w:ind w:left="652" w:firstLine="0"/>
        <w:rPr>
          <w:rFonts w:ascii="Times New Roman" w:hAnsi="Times New Roman"/>
          <w:sz w:val="28"/>
          <w:szCs w:val="28"/>
        </w:rPr>
      </w:pPr>
      <w:bookmarkStart w:id="22" w:name="_Toc52011539"/>
      <w:bookmarkStart w:id="23" w:name="_Toc52131780"/>
      <w:bookmarkStart w:id="24" w:name="_Toc52175453"/>
      <w:bookmarkStart w:id="25" w:name="_Toc52509356"/>
      <w:bookmarkStart w:id="26" w:name="_Toc52523995"/>
      <w:bookmarkStart w:id="27" w:name="_Toc58997079"/>
      <w:bookmarkStart w:id="28" w:name="_Toc58999155"/>
      <w:bookmarkStart w:id="29" w:name="_Toc58999227"/>
      <w:bookmarkStart w:id="30" w:name="_Toc59943329"/>
      <w:bookmarkStart w:id="31" w:name="_Toc59943494"/>
      <w:bookmarkStart w:id="32" w:name="_Toc59943552"/>
      <w:bookmarkStart w:id="33" w:name="_Toc59943645"/>
      <w:bookmarkStart w:id="34" w:name="_Toc61327994"/>
      <w:bookmarkStart w:id="35" w:name="_Toc61681639"/>
      <w:bookmarkStart w:id="36" w:name="_Toc61681721"/>
      <w:bookmarkStart w:id="37" w:name="_Toc61687429"/>
      <w:r>
        <w:br w:type="page"/>
      </w:r>
      <w:bookmarkStart w:id="38" w:name="_Toc161804541"/>
      <w:bookmarkStart w:id="39" w:name="_Toc405988617"/>
      <w:bookmarkStart w:id="40" w:name="_Toc437340510"/>
      <w:bookmarkEnd w:id="8"/>
      <w:bookmarkEnd w:id="9"/>
      <w:bookmarkEnd w:id="10"/>
      <w:bookmarkEnd w:id="11"/>
      <w:bookmarkEnd w:id="1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E93F37">
        <w:rPr>
          <w:rFonts w:ascii="Times New Roman" w:hAnsi="Times New Roman"/>
          <w:sz w:val="28"/>
          <w:szCs w:val="28"/>
        </w:rPr>
        <w:t>I.</w:t>
      </w:r>
      <w:r w:rsidRPr="00E93F37">
        <w:rPr>
          <w:rFonts w:ascii="Times New Roman" w:hAnsi="Times New Roman"/>
          <w:sz w:val="28"/>
          <w:szCs w:val="28"/>
        </w:rPr>
        <w:tab/>
        <w:t>Introduction</w:t>
      </w:r>
      <w:bookmarkEnd w:id="38"/>
      <w:bookmarkEnd w:id="39"/>
      <w:bookmarkEnd w:id="40"/>
    </w:p>
    <w:p w:rsidR="00E8028C" w:rsidRDefault="00890CDD">
      <w:pPr>
        <w:pStyle w:val="Heading2"/>
        <w:spacing w:before="240" w:after="120"/>
        <w:ind w:left="1134" w:hanging="510"/>
      </w:pPr>
      <w:bookmarkStart w:id="41" w:name="_Toc48036515"/>
      <w:bookmarkStart w:id="42" w:name="_Toc48038779"/>
      <w:bookmarkStart w:id="43" w:name="_Toc49228097"/>
      <w:bookmarkStart w:id="44" w:name="_Toc49228148"/>
      <w:bookmarkStart w:id="45" w:name="_Toc49228270"/>
      <w:bookmarkStart w:id="46" w:name="_Toc49228402"/>
      <w:bookmarkStart w:id="47" w:name="_Toc49228452"/>
      <w:bookmarkStart w:id="48" w:name="_Toc52011540"/>
      <w:bookmarkStart w:id="49" w:name="_Toc52131781"/>
      <w:bookmarkStart w:id="50" w:name="_Toc52175454"/>
      <w:bookmarkStart w:id="51" w:name="_Toc52509357"/>
      <w:bookmarkStart w:id="52" w:name="_Toc52523996"/>
      <w:bookmarkStart w:id="53" w:name="_Toc58997080"/>
      <w:bookmarkStart w:id="54" w:name="_Toc58999156"/>
      <w:bookmarkStart w:id="55" w:name="_Toc58999228"/>
      <w:bookmarkStart w:id="56" w:name="_Toc59943330"/>
      <w:bookmarkStart w:id="57" w:name="_Toc59943495"/>
      <w:bookmarkStart w:id="58" w:name="_Toc59943553"/>
      <w:bookmarkStart w:id="59" w:name="_Toc59943646"/>
      <w:bookmarkStart w:id="60" w:name="_Toc61327995"/>
      <w:bookmarkStart w:id="61" w:name="_Toc61681640"/>
      <w:bookmarkStart w:id="62" w:name="_Toc61681722"/>
      <w:bookmarkStart w:id="63" w:name="_Toc61687430"/>
      <w:bookmarkStart w:id="64" w:name="_Toc161804542"/>
      <w:bookmarkStart w:id="65" w:name="_Toc405988618"/>
      <w:bookmarkStart w:id="66" w:name="_Toc437340511"/>
      <w:r>
        <w:t>A.</w:t>
      </w:r>
      <w:r>
        <w:tab/>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t>Scope</w:t>
      </w:r>
      <w:bookmarkEnd w:id="56"/>
      <w:bookmarkEnd w:id="57"/>
      <w:bookmarkEnd w:id="58"/>
      <w:bookmarkEnd w:id="59"/>
      <w:bookmarkEnd w:id="60"/>
      <w:bookmarkEnd w:id="61"/>
      <w:bookmarkEnd w:id="62"/>
      <w:bookmarkEnd w:id="63"/>
      <w:bookmarkEnd w:id="64"/>
      <w:bookmarkEnd w:id="65"/>
      <w:bookmarkEnd w:id="66"/>
    </w:p>
    <w:p w:rsidR="00890CDD" w:rsidRDefault="00890CDD" w:rsidP="007421CF">
      <w:pPr>
        <w:pStyle w:val="Paralevel1"/>
        <w:tabs>
          <w:tab w:val="clear" w:pos="1843"/>
          <w:tab w:val="left" w:pos="1701"/>
        </w:tabs>
        <w:ind w:left="1134" w:firstLine="0"/>
      </w:pPr>
      <w:r>
        <w:t xml:space="preserve">The present general technical guidelines provide guidance </w:t>
      </w:r>
      <w:r w:rsidR="00D6474C">
        <w:t xml:space="preserve">on </w:t>
      </w:r>
      <w:r>
        <w:t xml:space="preserve">the environmentally sound management (ESM) of wastes consisting of, containing or contaminated with persistent organic pollutants (hereinafter referred to as </w:t>
      </w:r>
      <w:r w:rsidR="0070420E">
        <w:t>“</w:t>
      </w:r>
      <w:r w:rsidRPr="00C319DB">
        <w:t>POP wastes</w:t>
      </w:r>
      <w:r w:rsidR="0070420E">
        <w:t>”</w:t>
      </w:r>
      <w:r>
        <w:t xml:space="preserve">), pursuant to several </w:t>
      </w:r>
      <w:r w:rsidR="00862F26">
        <w:rPr>
          <w:lang w:val="en-GB"/>
        </w:rPr>
        <w:t xml:space="preserve">decisions </w:t>
      </w:r>
      <w:r w:rsidR="00862F26" w:rsidRPr="00DB619C">
        <w:rPr>
          <w:lang w:val="en-GB"/>
        </w:rPr>
        <w:t xml:space="preserve">of </w:t>
      </w:r>
      <w:r>
        <w:t>multilateral environmental agreement</w:t>
      </w:r>
      <w:r w:rsidR="001675DC">
        <w:t>s</w:t>
      </w:r>
      <w:r>
        <w:t xml:space="preserve"> </w:t>
      </w:r>
      <w:r w:rsidR="00862F26">
        <w:t>on chemicals and wastes</w:t>
      </w:r>
      <w:r>
        <w:t>.</w:t>
      </w:r>
      <w:r w:rsidR="00E4120D">
        <w:rPr>
          <w:rStyle w:val="FootnoteReference"/>
        </w:rPr>
        <w:footnoteReference w:customMarkFollows="1" w:id="1"/>
        <w:t>1</w:t>
      </w:r>
      <w:r>
        <w:t xml:space="preserve"> This document supersedes the </w:t>
      </w:r>
      <w:r w:rsidRPr="000C0582">
        <w:rPr>
          <w:i/>
        </w:rPr>
        <w:t xml:space="preserve">Updated general technical guidelines for the environmentally sound management of wastes consisting of, containing or contaminated with persistent organic pollutants (POPs) </w:t>
      </w:r>
      <w:r>
        <w:t xml:space="preserve">of June 2007. </w:t>
      </w:r>
    </w:p>
    <w:p w:rsidR="000E79E2" w:rsidRDefault="00890CDD" w:rsidP="00980527">
      <w:pPr>
        <w:pStyle w:val="Paralevel1"/>
        <w:tabs>
          <w:tab w:val="clear" w:pos="1843"/>
          <w:tab w:val="left" w:pos="1701"/>
        </w:tabs>
        <w:ind w:left="1134" w:firstLine="0"/>
      </w:pPr>
      <w:r>
        <w:t xml:space="preserve">These technical guidelines serves as an </w:t>
      </w:r>
      <w:r w:rsidR="001B62E9">
        <w:t>“</w:t>
      </w:r>
      <w:r>
        <w:t>umbrella</w:t>
      </w:r>
      <w:r w:rsidR="001B62E9">
        <w:t>”</w:t>
      </w:r>
      <w:r>
        <w:t xml:space="preserve"> document and should be used in conjunction with specific technical guidelines on wastes consisting of, containing or contaminated with </w:t>
      </w:r>
      <w:r w:rsidR="00F67632">
        <w:t xml:space="preserve">the following </w:t>
      </w:r>
      <w:r>
        <w:t xml:space="preserve">POPs: </w:t>
      </w:r>
    </w:p>
    <w:p w:rsidR="00890CDD" w:rsidRDefault="00890CDD" w:rsidP="00980527">
      <w:pPr>
        <w:tabs>
          <w:tab w:val="clear" w:pos="1247"/>
          <w:tab w:val="clear" w:pos="1814"/>
          <w:tab w:val="clear" w:pos="2381"/>
          <w:tab w:val="left" w:pos="2268"/>
        </w:tabs>
        <w:spacing w:after="120"/>
        <w:ind w:left="1134" w:firstLine="567"/>
      </w:pPr>
      <w:r w:rsidRPr="00752009">
        <w:t>(a)</w:t>
      </w:r>
      <w:r w:rsidRPr="00752009">
        <w:tab/>
      </w:r>
      <w:r w:rsidR="002F4E7C" w:rsidRPr="00752009">
        <w:t>Polychlorinated biphenyls (PCBs)</w:t>
      </w:r>
      <w:r w:rsidR="002F4E7C" w:rsidRPr="007221C2">
        <w:t xml:space="preserve"> </w:t>
      </w:r>
      <w:r w:rsidR="002F4E7C" w:rsidRPr="00752009">
        <w:t xml:space="preserve">and </w:t>
      </w:r>
      <w:proofErr w:type="spellStart"/>
      <w:r w:rsidR="002F4E7C" w:rsidRPr="00752009">
        <w:t>hexabromobiphenyl</w:t>
      </w:r>
      <w:proofErr w:type="spellEnd"/>
      <w:r w:rsidR="002F4E7C" w:rsidRPr="00752009">
        <w:t xml:space="preserve"> (HBB)</w:t>
      </w:r>
      <w:r w:rsidR="002F4E7C">
        <w:t>,</w:t>
      </w:r>
      <w:r w:rsidR="002F4E7C" w:rsidRPr="00752009">
        <w:t xml:space="preserve"> </w:t>
      </w:r>
      <w:r w:rsidR="002F4E7C">
        <w:t>these</w:t>
      </w:r>
      <w:r w:rsidR="002F4E7C" w:rsidRPr="00752009">
        <w:t xml:space="preserve"> technical guideline</w:t>
      </w:r>
      <w:r w:rsidR="002F4E7C">
        <w:t>s</w:t>
      </w:r>
      <w:r w:rsidR="002F4E7C" w:rsidRPr="00752009">
        <w:t xml:space="preserve"> also cover polychlorinated </w:t>
      </w:r>
      <w:proofErr w:type="spellStart"/>
      <w:r w:rsidR="002F4E7C" w:rsidRPr="00752009">
        <w:t>terphenyls</w:t>
      </w:r>
      <w:proofErr w:type="spellEnd"/>
      <w:r w:rsidR="002F4E7C" w:rsidRPr="00752009">
        <w:t xml:space="preserve"> (PCTs) and </w:t>
      </w:r>
      <w:proofErr w:type="spellStart"/>
      <w:r w:rsidR="002F4E7C" w:rsidRPr="00752009">
        <w:t>polybrominated</w:t>
      </w:r>
      <w:proofErr w:type="spellEnd"/>
      <w:r w:rsidR="002F4E7C" w:rsidRPr="00752009">
        <w:t xml:space="preserve"> biphenyls (PBBs)</w:t>
      </w:r>
      <w:r w:rsidR="002F4E7C">
        <w:t xml:space="preserve"> other than HBB</w:t>
      </w:r>
      <w:r w:rsidR="002F4E7C" w:rsidRPr="00752009">
        <w:t>, which are subject to the Basel Convention but are not POPs subject to the Stockholm Convention</w:t>
      </w:r>
      <w:r w:rsidR="002F4E7C">
        <w:t xml:space="preserve"> (PCBs technical guidelines</w:t>
      </w:r>
      <w:r w:rsidR="002F4E7C" w:rsidDel="002F4E7C">
        <w:t xml:space="preserve"> </w:t>
      </w:r>
      <w:r w:rsidR="007E7B8B">
        <w:t>(PCBs technical guidelines</w:t>
      </w:r>
      <w:r w:rsidR="00F72C65">
        <w:t>)</w:t>
      </w:r>
      <w:r w:rsidR="007D123C">
        <w:t xml:space="preserve"> (UNEP</w:t>
      </w:r>
      <w:r w:rsidR="00BF2089">
        <w:t>,</w:t>
      </w:r>
      <w:r w:rsidR="007D123C">
        <w:t xml:space="preserve"> 2015</w:t>
      </w:r>
      <w:r w:rsidR="00735A70">
        <w:t>b</w:t>
      </w:r>
      <w:r w:rsidR="007D123C">
        <w:t>)</w:t>
      </w:r>
      <w:r w:rsidRPr="00752009">
        <w:t xml:space="preserve">; </w:t>
      </w:r>
    </w:p>
    <w:p w:rsidR="00890CDD" w:rsidRDefault="00890CDD" w:rsidP="00980527">
      <w:pPr>
        <w:tabs>
          <w:tab w:val="clear" w:pos="1247"/>
          <w:tab w:val="clear" w:pos="1814"/>
          <w:tab w:val="clear" w:pos="2381"/>
          <w:tab w:val="left" w:pos="2268"/>
        </w:tabs>
        <w:spacing w:after="120"/>
        <w:ind w:left="1134" w:firstLine="567"/>
        <w:rPr>
          <w:i/>
        </w:rPr>
      </w:pPr>
      <w:r w:rsidRPr="00752009">
        <w:t>(b)</w:t>
      </w:r>
      <w:r w:rsidRPr="00752009">
        <w:tab/>
      </w:r>
      <w:r w:rsidRPr="00F21573">
        <w:t xml:space="preserve">The </w:t>
      </w:r>
      <w:r w:rsidRPr="00DB619C">
        <w:t>pesticide</w:t>
      </w:r>
      <w:r w:rsidRPr="000D1F4A">
        <w:t xml:space="preserve"> </w:t>
      </w:r>
      <w:r w:rsidRPr="00DB619C">
        <w:t>POPs</w:t>
      </w:r>
      <w:r w:rsidRPr="00F21573">
        <w:t xml:space="preserve"> </w:t>
      </w:r>
      <w:proofErr w:type="spellStart"/>
      <w:r w:rsidRPr="00F21573">
        <w:t>aldrin</w:t>
      </w:r>
      <w:proofErr w:type="spellEnd"/>
      <w:r w:rsidRPr="00F21573">
        <w:t xml:space="preserve">, alpha </w:t>
      </w:r>
      <w:proofErr w:type="spellStart"/>
      <w:r w:rsidRPr="00F21573">
        <w:t>hexachlorocyclohexane</w:t>
      </w:r>
      <w:proofErr w:type="spellEnd"/>
      <w:r w:rsidRPr="00F21573">
        <w:t xml:space="preserve">, beta </w:t>
      </w:r>
      <w:proofErr w:type="spellStart"/>
      <w:r w:rsidRPr="00F21573">
        <w:t>hexachlorocyclohexane</w:t>
      </w:r>
      <w:proofErr w:type="spellEnd"/>
      <w:r w:rsidRPr="00F21573">
        <w:t xml:space="preserve">, chlordane, </w:t>
      </w:r>
      <w:proofErr w:type="spellStart"/>
      <w:r w:rsidRPr="00F21573">
        <w:t>chlordecone</w:t>
      </w:r>
      <w:proofErr w:type="spellEnd"/>
      <w:r w:rsidRPr="00F21573">
        <w:t xml:space="preserve">, </w:t>
      </w:r>
      <w:proofErr w:type="spellStart"/>
      <w:r w:rsidRPr="00F21573">
        <w:t>dieldrin</w:t>
      </w:r>
      <w:proofErr w:type="spellEnd"/>
      <w:r w:rsidRPr="00F21573">
        <w:t xml:space="preserve">, </w:t>
      </w:r>
      <w:proofErr w:type="spellStart"/>
      <w:r w:rsidRPr="00F21573">
        <w:t>endrin</w:t>
      </w:r>
      <w:proofErr w:type="spellEnd"/>
      <w:r w:rsidRPr="00F21573">
        <w:t xml:space="preserve">, heptachlor, </w:t>
      </w:r>
      <w:proofErr w:type="spellStart"/>
      <w:r w:rsidRPr="00F21573">
        <w:t>hexachlorobenzene</w:t>
      </w:r>
      <w:proofErr w:type="spellEnd"/>
      <w:r w:rsidRPr="00F21573">
        <w:t xml:space="preserve"> (HCB), </w:t>
      </w:r>
      <w:proofErr w:type="spellStart"/>
      <w:r w:rsidRPr="00F21573">
        <w:t>lindane</w:t>
      </w:r>
      <w:proofErr w:type="spellEnd"/>
      <w:r w:rsidRPr="00F21573">
        <w:t xml:space="preserve">, </w:t>
      </w:r>
      <w:proofErr w:type="spellStart"/>
      <w:r w:rsidRPr="00F21573">
        <w:t>mirex</w:t>
      </w:r>
      <w:proofErr w:type="spellEnd"/>
      <w:r w:rsidRPr="00F21573">
        <w:t xml:space="preserve">, </w:t>
      </w:r>
      <w:proofErr w:type="spellStart"/>
      <w:r w:rsidRPr="00F21573">
        <w:t>pentachlorobenzene</w:t>
      </w:r>
      <w:proofErr w:type="spellEnd"/>
      <w:r w:rsidRPr="00F21573">
        <w:t xml:space="preserve"> (</w:t>
      </w:r>
      <w:proofErr w:type="spellStart"/>
      <w:r>
        <w:t>PeCB</w:t>
      </w:r>
      <w:proofErr w:type="spellEnd"/>
      <w:r>
        <w:t xml:space="preserve">), </w:t>
      </w:r>
      <w:proofErr w:type="spellStart"/>
      <w:r w:rsidRPr="00801CF9">
        <w:t>perfluorooctane</w:t>
      </w:r>
      <w:proofErr w:type="spellEnd"/>
      <w:r w:rsidRPr="00801CF9">
        <w:t xml:space="preserve"> </w:t>
      </w:r>
      <w:proofErr w:type="spellStart"/>
      <w:r w:rsidRPr="00801CF9">
        <w:t>sulfonic</w:t>
      </w:r>
      <w:proofErr w:type="spellEnd"/>
      <w:r w:rsidRPr="00801CF9">
        <w:t xml:space="preserve"> acid, technical </w:t>
      </w:r>
      <w:proofErr w:type="spellStart"/>
      <w:r w:rsidRPr="00801CF9">
        <w:t>endosulfan</w:t>
      </w:r>
      <w:proofErr w:type="spellEnd"/>
      <w:r w:rsidRPr="00801CF9">
        <w:t xml:space="preserve"> and its related isomers </w:t>
      </w:r>
      <w:r w:rsidR="00CC2CED" w:rsidRPr="00AF2DD8">
        <w:t>or</w:t>
      </w:r>
      <w:r w:rsidR="00CC2CED">
        <w:t xml:space="preserve"> </w:t>
      </w:r>
      <w:proofErr w:type="spellStart"/>
      <w:r w:rsidRPr="000D1F4A">
        <w:t>toxaphene</w:t>
      </w:r>
      <w:proofErr w:type="spellEnd"/>
      <w:r w:rsidRPr="000D1F4A">
        <w:t xml:space="preserve"> </w:t>
      </w:r>
      <w:r w:rsidR="007D1DD5" w:rsidRPr="000D1F4A">
        <w:t xml:space="preserve">or </w:t>
      </w:r>
      <w:r w:rsidRPr="000D1F4A">
        <w:t>HCB as an industrial chemical</w:t>
      </w:r>
      <w:r w:rsidR="007E7B8B" w:rsidRPr="000D1F4A">
        <w:t xml:space="preserve"> (</w:t>
      </w:r>
      <w:r w:rsidR="00625E27" w:rsidRPr="000D1F4A">
        <w:t>P</w:t>
      </w:r>
      <w:r w:rsidR="007E7B8B" w:rsidRPr="000D1F4A">
        <w:t>esticide</w:t>
      </w:r>
      <w:r w:rsidR="007E7B8B" w:rsidRPr="003923B9">
        <w:t xml:space="preserve"> </w:t>
      </w:r>
      <w:r w:rsidR="00CC2CED" w:rsidRPr="005E7599">
        <w:t>POPs</w:t>
      </w:r>
      <w:r w:rsidR="00CC2CED">
        <w:t xml:space="preserve"> </w:t>
      </w:r>
      <w:r w:rsidR="007E7B8B" w:rsidRPr="000D1F4A">
        <w:t>technical guidelines)</w:t>
      </w:r>
      <w:r w:rsidR="007D123C" w:rsidRPr="000D1F4A">
        <w:t xml:space="preserve"> (UNEP</w:t>
      </w:r>
      <w:r w:rsidR="002813B2">
        <w:t>,</w:t>
      </w:r>
      <w:r w:rsidR="007D123C" w:rsidRPr="000D1F4A">
        <w:t xml:space="preserve"> 2015</w:t>
      </w:r>
      <w:r w:rsidR="00AD0A0A">
        <w:t>c</w:t>
      </w:r>
      <w:r w:rsidR="007D123C" w:rsidRPr="000D1F4A">
        <w:t>)</w:t>
      </w:r>
      <w:r w:rsidRPr="000D1F4A">
        <w:t>;</w:t>
      </w:r>
      <w:r w:rsidRPr="00801CF9">
        <w:t xml:space="preserve"> </w:t>
      </w:r>
    </w:p>
    <w:p w:rsidR="00890CDD" w:rsidRPr="00F03880" w:rsidRDefault="004C4204" w:rsidP="00980527">
      <w:pPr>
        <w:tabs>
          <w:tab w:val="clear" w:pos="1247"/>
          <w:tab w:val="clear" w:pos="1814"/>
          <w:tab w:val="clear" w:pos="2381"/>
          <w:tab w:val="left" w:pos="2268"/>
        </w:tabs>
        <w:spacing w:after="120"/>
        <w:ind w:left="1134" w:firstLine="567"/>
        <w:rPr>
          <w:lang w:val="en-US"/>
        </w:rPr>
      </w:pPr>
      <w:r w:rsidRPr="004C4204">
        <w:rPr>
          <w:lang w:val="en-US"/>
        </w:rPr>
        <w:t>(c)</w:t>
      </w:r>
      <w:r w:rsidRPr="004C4204">
        <w:rPr>
          <w:lang w:val="en-US"/>
        </w:rPr>
        <w:tab/>
        <w:t>1</w:t>
      </w:r>
      <w:proofErr w:type="gramStart"/>
      <w:r w:rsidRPr="004C4204">
        <w:rPr>
          <w:lang w:val="en-US"/>
        </w:rPr>
        <w:t>,1,1</w:t>
      </w:r>
      <w:proofErr w:type="gramEnd"/>
      <w:r w:rsidRPr="004C4204">
        <w:rPr>
          <w:lang w:val="en-US"/>
        </w:rPr>
        <w:t>-Trichloro-2,2-bis(4-chlorophenyl)ethane (DDT) (DDT technical guidelines)</w:t>
      </w:r>
      <w:r w:rsidR="007D123C">
        <w:rPr>
          <w:lang w:val="en-US"/>
        </w:rPr>
        <w:t xml:space="preserve"> (UNEP</w:t>
      </w:r>
      <w:r w:rsidR="002813B2">
        <w:rPr>
          <w:lang w:val="en-US"/>
        </w:rPr>
        <w:t>,</w:t>
      </w:r>
      <w:r w:rsidR="007D123C">
        <w:rPr>
          <w:lang w:val="en-US"/>
        </w:rPr>
        <w:t xml:space="preserve"> </w:t>
      </w:r>
      <w:r w:rsidR="00100CF3">
        <w:rPr>
          <w:lang w:val="en-US"/>
        </w:rPr>
        <w:t>2006</w:t>
      </w:r>
      <w:r w:rsidR="007D123C">
        <w:rPr>
          <w:lang w:val="en-US"/>
        </w:rPr>
        <w:t>)</w:t>
      </w:r>
      <w:r w:rsidRPr="004C4204">
        <w:rPr>
          <w:lang w:val="en-US"/>
        </w:rPr>
        <w:t>;</w:t>
      </w:r>
    </w:p>
    <w:p w:rsidR="002F4E7C" w:rsidRDefault="00890CDD" w:rsidP="002F4E7C">
      <w:pPr>
        <w:tabs>
          <w:tab w:val="clear" w:pos="1247"/>
          <w:tab w:val="clear" w:pos="1814"/>
        </w:tabs>
        <w:spacing w:after="120"/>
        <w:ind w:left="1134" w:firstLine="624"/>
        <w:rPr>
          <w:i/>
        </w:rPr>
      </w:pPr>
      <w:r w:rsidRPr="00801CF9">
        <w:t>(d)</w:t>
      </w:r>
      <w:r w:rsidRPr="00801CF9">
        <w:tab/>
      </w:r>
      <w:r w:rsidR="002F4E7C" w:rsidRPr="00890CDD">
        <w:rPr>
          <w:lang w:val="en-US"/>
        </w:rPr>
        <w:t>Unintentionally</w:t>
      </w:r>
      <w:r w:rsidR="002F4E7C" w:rsidRPr="00801CF9">
        <w:t xml:space="preserve"> produced polychlorinate</w:t>
      </w:r>
      <w:r w:rsidR="002F4E7C">
        <w:t xml:space="preserve">d </w:t>
      </w:r>
      <w:proofErr w:type="spellStart"/>
      <w:r w:rsidR="002F4E7C">
        <w:t>dibenzo</w:t>
      </w:r>
      <w:proofErr w:type="spellEnd"/>
      <w:r w:rsidR="002F4E7C">
        <w:t xml:space="preserve">-p-dioxins (PCDDs), </w:t>
      </w:r>
      <w:r w:rsidR="002F4E7C" w:rsidRPr="00801CF9">
        <w:t xml:space="preserve">polychlorinated </w:t>
      </w:r>
      <w:proofErr w:type="spellStart"/>
      <w:r w:rsidR="002F4E7C" w:rsidRPr="00801CF9">
        <w:t>dibenzofurans</w:t>
      </w:r>
      <w:proofErr w:type="spellEnd"/>
      <w:r w:rsidR="002F4E7C" w:rsidRPr="00801CF9">
        <w:t xml:space="preserve"> (PCDFs), HCB, </w:t>
      </w:r>
      <w:proofErr w:type="spellStart"/>
      <w:r w:rsidR="002F4E7C" w:rsidRPr="00801CF9">
        <w:t>PeCB</w:t>
      </w:r>
      <w:proofErr w:type="spellEnd"/>
      <w:r w:rsidR="002F4E7C" w:rsidRPr="00801CF9">
        <w:t xml:space="preserve"> and PCBs</w:t>
      </w:r>
      <w:r w:rsidR="002F4E7C">
        <w:t xml:space="preserve"> (Unintentional POPs technical guidelines) </w:t>
      </w:r>
      <w:r w:rsidR="002F4E7C" w:rsidRPr="002F4E7C">
        <w:t>(UNEP, 2015d);</w:t>
      </w:r>
      <w:r w:rsidR="002F4E7C" w:rsidRPr="00801CF9">
        <w:t xml:space="preserve"> </w:t>
      </w:r>
    </w:p>
    <w:p w:rsidR="00890CDD" w:rsidRDefault="002F4E7C" w:rsidP="00980527">
      <w:pPr>
        <w:tabs>
          <w:tab w:val="clear" w:pos="1247"/>
          <w:tab w:val="clear" w:pos="1814"/>
          <w:tab w:val="clear" w:pos="2381"/>
          <w:tab w:val="left" w:pos="2268"/>
        </w:tabs>
        <w:spacing w:after="120"/>
        <w:ind w:left="1134" w:firstLine="567"/>
        <w:rPr>
          <w:i/>
        </w:rPr>
      </w:pPr>
      <w:r w:rsidRPr="002F4E7C" w:rsidDel="002F4E7C">
        <w:rPr>
          <w:lang w:val="en-US"/>
        </w:rPr>
        <w:t xml:space="preserve"> </w:t>
      </w:r>
      <w:r w:rsidR="00890CDD">
        <w:t>(</w:t>
      </w:r>
      <w:bookmarkStart w:id="67" w:name="_Toc52011541"/>
      <w:bookmarkStart w:id="68" w:name="_Toc52131782"/>
      <w:bookmarkStart w:id="69" w:name="_Toc52175455"/>
      <w:r w:rsidR="00890CDD">
        <w:t>e)</w:t>
      </w:r>
      <w:r w:rsidR="00890CDD">
        <w:tab/>
      </w:r>
      <w:proofErr w:type="spellStart"/>
      <w:r w:rsidR="004C44E9">
        <w:t>H</w:t>
      </w:r>
      <w:r w:rsidR="00890CDD" w:rsidRPr="00801CF9">
        <w:t>exabromodiphenyl</w:t>
      </w:r>
      <w:proofErr w:type="spellEnd"/>
      <w:r w:rsidR="00890CDD" w:rsidRPr="00801CF9">
        <w:t xml:space="preserve"> ether</w:t>
      </w:r>
      <w:r w:rsidR="00890CDD">
        <w:t xml:space="preserve"> (</w:t>
      </w:r>
      <w:proofErr w:type="spellStart"/>
      <w:r w:rsidR="00890CDD">
        <w:t>hexaBDE</w:t>
      </w:r>
      <w:proofErr w:type="spellEnd"/>
      <w:r w:rsidR="00890CDD">
        <w:t xml:space="preserve">) and </w:t>
      </w:r>
      <w:proofErr w:type="spellStart"/>
      <w:r w:rsidR="00890CDD">
        <w:t>heptabromodiphenyl</w:t>
      </w:r>
      <w:proofErr w:type="spellEnd"/>
      <w:r w:rsidR="00890CDD">
        <w:t xml:space="preserve"> ether (</w:t>
      </w:r>
      <w:proofErr w:type="spellStart"/>
      <w:r w:rsidR="00890CDD">
        <w:t>heptaBDE</w:t>
      </w:r>
      <w:proofErr w:type="spellEnd"/>
      <w:r w:rsidR="00890CDD">
        <w:t>)</w:t>
      </w:r>
      <w:r w:rsidR="005F6B1F">
        <w:t>,</w:t>
      </w:r>
      <w:r w:rsidR="00890CDD">
        <w:t xml:space="preserve"> </w:t>
      </w:r>
      <w:r w:rsidR="005A0CA5">
        <w:t xml:space="preserve">or </w:t>
      </w:r>
      <w:proofErr w:type="spellStart"/>
      <w:r w:rsidR="00890CDD" w:rsidRPr="00801CF9">
        <w:t>tetrabromodiphenyl</w:t>
      </w:r>
      <w:proofErr w:type="spellEnd"/>
      <w:r w:rsidR="00890CDD" w:rsidRPr="00801CF9">
        <w:t xml:space="preserve"> ether </w:t>
      </w:r>
      <w:r w:rsidR="00890CDD">
        <w:t>(</w:t>
      </w:r>
      <w:proofErr w:type="spellStart"/>
      <w:r w:rsidR="00890CDD">
        <w:t>tetraBDE</w:t>
      </w:r>
      <w:proofErr w:type="spellEnd"/>
      <w:r w:rsidR="00890CDD">
        <w:t xml:space="preserve">) </w:t>
      </w:r>
      <w:r w:rsidR="00890CDD" w:rsidRPr="00801CF9">
        <w:t xml:space="preserve">and </w:t>
      </w:r>
      <w:proofErr w:type="spellStart"/>
      <w:r w:rsidR="00890CDD" w:rsidRPr="00801CF9">
        <w:t>pentabromodiphenyl</w:t>
      </w:r>
      <w:proofErr w:type="spellEnd"/>
      <w:r w:rsidR="00890CDD" w:rsidRPr="00801CF9">
        <w:t xml:space="preserve"> ether</w:t>
      </w:r>
      <w:r w:rsidR="00890CDD">
        <w:t xml:space="preserve"> (</w:t>
      </w:r>
      <w:proofErr w:type="spellStart"/>
      <w:r w:rsidR="00890CDD">
        <w:t>pentaBDE</w:t>
      </w:r>
      <w:proofErr w:type="spellEnd"/>
      <w:r w:rsidR="00890CDD">
        <w:t>)</w:t>
      </w:r>
      <w:r w:rsidR="007E7B8B">
        <w:t xml:space="preserve"> (POP-BDEs technical guidelines)</w:t>
      </w:r>
      <w:r w:rsidR="007D123C">
        <w:t xml:space="preserve"> (UNEP</w:t>
      </w:r>
      <w:r w:rsidR="002813B2">
        <w:t>,</w:t>
      </w:r>
      <w:r w:rsidR="007D123C">
        <w:t xml:space="preserve"> </w:t>
      </w:r>
      <w:r w:rsidR="00157AD1">
        <w:t>2015</w:t>
      </w:r>
      <w:r w:rsidR="007D3569">
        <w:t>e</w:t>
      </w:r>
      <w:r w:rsidR="007D123C">
        <w:t>)</w:t>
      </w:r>
      <w:r w:rsidR="00890CDD">
        <w:t>;</w:t>
      </w:r>
      <w:r w:rsidR="00890CDD" w:rsidRPr="00801CF9">
        <w:t xml:space="preserve"> </w:t>
      </w:r>
    </w:p>
    <w:p w:rsidR="00890CDD" w:rsidRDefault="00890CDD" w:rsidP="00980527">
      <w:pPr>
        <w:tabs>
          <w:tab w:val="clear" w:pos="1247"/>
          <w:tab w:val="clear" w:pos="1814"/>
          <w:tab w:val="clear" w:pos="2381"/>
          <w:tab w:val="left" w:pos="2268"/>
        </w:tabs>
        <w:spacing w:after="120"/>
        <w:ind w:left="1134" w:firstLine="567"/>
      </w:pPr>
      <w:r>
        <w:t>(f)</w:t>
      </w:r>
      <w:r>
        <w:tab/>
      </w:r>
      <w:proofErr w:type="spellStart"/>
      <w:r w:rsidRPr="00890CDD">
        <w:rPr>
          <w:lang w:val="en-US"/>
        </w:rPr>
        <w:t>Hexabromocyclododecane</w:t>
      </w:r>
      <w:proofErr w:type="spellEnd"/>
      <w:r w:rsidRPr="00801CF9">
        <w:t xml:space="preserve"> (HBCD)</w:t>
      </w:r>
      <w:r w:rsidR="007E7B8B">
        <w:t xml:space="preserve"> (HBCD technical guidelines)</w:t>
      </w:r>
      <w:r w:rsidR="007D123C">
        <w:t xml:space="preserve"> (UNEP</w:t>
      </w:r>
      <w:r w:rsidR="002813B2">
        <w:t>,</w:t>
      </w:r>
      <w:r w:rsidR="007D123C">
        <w:t xml:space="preserve"> 2015</w:t>
      </w:r>
      <w:r w:rsidR="007D3569">
        <w:t>f</w:t>
      </w:r>
      <w:r w:rsidR="007D123C">
        <w:t>)</w:t>
      </w:r>
      <w:r w:rsidRPr="00801CF9">
        <w:t xml:space="preserve">; </w:t>
      </w:r>
      <w:r w:rsidR="000D1F4A">
        <w:t>and</w:t>
      </w:r>
    </w:p>
    <w:p w:rsidR="00890CDD" w:rsidRDefault="00890CDD" w:rsidP="00980527">
      <w:pPr>
        <w:tabs>
          <w:tab w:val="clear" w:pos="1247"/>
          <w:tab w:val="clear" w:pos="1814"/>
          <w:tab w:val="clear" w:pos="2381"/>
          <w:tab w:val="left" w:pos="2268"/>
        </w:tabs>
        <w:spacing w:after="120"/>
        <w:ind w:left="1134" w:firstLine="567"/>
      </w:pPr>
      <w:r w:rsidRPr="0019520C">
        <w:t>(g)</w:t>
      </w:r>
      <w:r w:rsidRPr="0019520C">
        <w:tab/>
      </w:r>
      <w:proofErr w:type="spellStart"/>
      <w:r w:rsidRPr="0019520C">
        <w:rPr>
          <w:lang w:val="en-US"/>
        </w:rPr>
        <w:t>Perfluorooctane</w:t>
      </w:r>
      <w:proofErr w:type="spellEnd"/>
      <w:r w:rsidRPr="0019520C">
        <w:t xml:space="preserve"> </w:t>
      </w:r>
      <w:proofErr w:type="spellStart"/>
      <w:r w:rsidRPr="0019520C">
        <w:t>sulfonic</w:t>
      </w:r>
      <w:proofErr w:type="spellEnd"/>
      <w:r w:rsidRPr="0019520C">
        <w:t xml:space="preserve"> acid (PFOS), its salts and </w:t>
      </w:r>
      <w:proofErr w:type="spellStart"/>
      <w:r w:rsidRPr="0019520C">
        <w:t>perfluorooctane</w:t>
      </w:r>
      <w:proofErr w:type="spellEnd"/>
      <w:r w:rsidRPr="0019520C">
        <w:t xml:space="preserve"> </w:t>
      </w:r>
      <w:proofErr w:type="spellStart"/>
      <w:r w:rsidRPr="0019520C">
        <w:t>sulfonyl</w:t>
      </w:r>
      <w:proofErr w:type="spellEnd"/>
      <w:r w:rsidRPr="0019520C">
        <w:t xml:space="preserve"> fluoride (PFOSF</w:t>
      </w:r>
      <w:r w:rsidR="000D1F4A" w:rsidRPr="0019520C">
        <w:t>)</w:t>
      </w:r>
      <w:r w:rsidR="000D1F4A">
        <w:t>,</w:t>
      </w:r>
      <w:r w:rsidR="000D1F4A" w:rsidRPr="0019520C">
        <w:t xml:space="preserve"> </w:t>
      </w:r>
      <w:r w:rsidR="000D1F4A">
        <w:t xml:space="preserve">or </w:t>
      </w:r>
      <w:r w:rsidRPr="0019520C">
        <w:t>other PFOS-related substances that are precursors of PFOS</w:t>
      </w:r>
      <w:r w:rsidR="007E7B8B" w:rsidRPr="0019520C">
        <w:t xml:space="preserve"> (PFOS technical guidelines)</w:t>
      </w:r>
      <w:r w:rsidR="007D123C" w:rsidRPr="0019520C">
        <w:t xml:space="preserve"> (UNEP</w:t>
      </w:r>
      <w:r w:rsidR="002813B2">
        <w:t>,</w:t>
      </w:r>
      <w:r w:rsidR="007D123C" w:rsidRPr="0019520C">
        <w:t xml:space="preserve"> 2015</w:t>
      </w:r>
      <w:r w:rsidR="007D3569">
        <w:t>g</w:t>
      </w:r>
      <w:r w:rsidR="007D123C" w:rsidRPr="0019520C">
        <w:t>)</w:t>
      </w:r>
      <w:r w:rsidR="000D1F4A">
        <w:t>.</w:t>
      </w:r>
      <w:r w:rsidRPr="0019520C">
        <w:t xml:space="preserve"> </w:t>
      </w:r>
    </w:p>
    <w:bookmarkEnd w:id="67"/>
    <w:bookmarkEnd w:id="68"/>
    <w:bookmarkEnd w:id="69"/>
    <w:p w:rsidR="00890CDD" w:rsidRPr="00801CF9" w:rsidRDefault="00890CDD" w:rsidP="00980527">
      <w:pPr>
        <w:pStyle w:val="Paralevel1"/>
        <w:tabs>
          <w:tab w:val="clear" w:pos="1843"/>
          <w:tab w:val="left" w:pos="1701"/>
        </w:tabs>
        <w:ind w:left="1134" w:firstLine="0"/>
      </w:pPr>
      <w:r>
        <w:t>T</w:t>
      </w:r>
      <w:r w:rsidRPr="00801CF9">
        <w:t>he purpose of the</w:t>
      </w:r>
      <w:r>
        <w:t xml:space="preserve"> general </w:t>
      </w:r>
      <w:r w:rsidRPr="00801CF9">
        <w:t>technical guidelines is to</w:t>
      </w:r>
      <w:r>
        <w:t>:</w:t>
      </w:r>
    </w:p>
    <w:p w:rsidR="00890CDD" w:rsidRDefault="00890CDD" w:rsidP="00980527">
      <w:pPr>
        <w:tabs>
          <w:tab w:val="clear" w:pos="1247"/>
          <w:tab w:val="clear" w:pos="1814"/>
          <w:tab w:val="clear" w:pos="2381"/>
          <w:tab w:val="left" w:pos="2268"/>
        </w:tabs>
        <w:spacing w:after="120"/>
        <w:ind w:left="1134" w:firstLine="567"/>
      </w:pPr>
      <w:r>
        <w:t>(a)</w:t>
      </w:r>
      <w:r>
        <w:tab/>
      </w:r>
      <w:r w:rsidRPr="00890CDD">
        <w:rPr>
          <w:lang w:val="en-US"/>
        </w:rPr>
        <w:t>Provide</w:t>
      </w:r>
      <w:r w:rsidRPr="00801CF9">
        <w:t xml:space="preserve"> overarching and common guidance</w:t>
      </w:r>
      <w:r w:rsidRPr="00801CF9" w:rsidDel="00EB7544">
        <w:t xml:space="preserve"> </w:t>
      </w:r>
      <w:r w:rsidRPr="00801CF9">
        <w:t xml:space="preserve">on the </w:t>
      </w:r>
      <w:r w:rsidR="00FE48EE">
        <w:t>ESM</w:t>
      </w:r>
      <w:r w:rsidRPr="00801CF9">
        <w:t xml:space="preserve"> of </w:t>
      </w:r>
      <w:r>
        <w:t>POP wastes</w:t>
      </w:r>
      <w:r w:rsidRPr="00801CF9">
        <w:t xml:space="preserve">; </w:t>
      </w:r>
      <w:r w:rsidR="002813B2">
        <w:t>and</w:t>
      </w:r>
    </w:p>
    <w:p w:rsidR="00890CDD" w:rsidRDefault="00890CDD" w:rsidP="00980527">
      <w:pPr>
        <w:tabs>
          <w:tab w:val="clear" w:pos="1247"/>
          <w:tab w:val="clear" w:pos="1814"/>
          <w:tab w:val="clear" w:pos="2381"/>
          <w:tab w:val="left" w:pos="2268"/>
        </w:tabs>
        <w:spacing w:after="120"/>
        <w:ind w:left="1134" w:firstLine="567"/>
      </w:pPr>
      <w:r>
        <w:t>(b)</w:t>
      </w:r>
      <w:r>
        <w:tab/>
      </w:r>
      <w:r w:rsidRPr="00890CDD">
        <w:rPr>
          <w:lang w:val="en-US"/>
        </w:rPr>
        <w:t>Address</w:t>
      </w:r>
      <w:r w:rsidRPr="00801CF9">
        <w:t xml:space="preserve"> provisions referred to </w:t>
      </w:r>
      <w:r>
        <w:t>in Article 6, paragraph 2 of the Stockholm Convention (see subsection II.B.2 of the present guidelines on waste</w:t>
      </w:r>
      <w:r>
        <w:noBreakHyphen/>
      </w:r>
      <w:proofErr w:type="spellStart"/>
      <w:r>
        <w:t>related</w:t>
      </w:r>
      <w:proofErr w:type="spellEnd"/>
      <w:r>
        <w:t xml:space="preserve"> provisions of the Stockholm Convention) </w:t>
      </w:r>
      <w:r w:rsidR="00B67C94">
        <w:t>on</w:t>
      </w:r>
      <w:r>
        <w:t xml:space="preserve">: </w:t>
      </w:r>
    </w:p>
    <w:p w:rsidR="00890CDD" w:rsidRDefault="00890CDD" w:rsidP="00980527">
      <w:pPr>
        <w:numPr>
          <w:ilvl w:val="0"/>
          <w:numId w:val="23"/>
        </w:numPr>
        <w:tabs>
          <w:tab w:val="clear" w:pos="1247"/>
          <w:tab w:val="clear" w:pos="1814"/>
          <w:tab w:val="clear" w:pos="2381"/>
          <w:tab w:val="clear" w:pos="2948"/>
          <w:tab w:val="clear" w:pos="3515"/>
        </w:tabs>
        <w:spacing w:after="120"/>
        <w:ind w:left="2835" w:hanging="567"/>
      </w:pPr>
      <w:r>
        <w:t>The levels of destruction and irreversible transformation;</w:t>
      </w:r>
    </w:p>
    <w:p w:rsidR="00890CDD" w:rsidRDefault="00890CDD" w:rsidP="00980527">
      <w:pPr>
        <w:numPr>
          <w:ilvl w:val="0"/>
          <w:numId w:val="23"/>
        </w:numPr>
        <w:tabs>
          <w:tab w:val="clear" w:pos="1247"/>
          <w:tab w:val="clear" w:pos="1814"/>
          <w:tab w:val="clear" w:pos="2381"/>
          <w:tab w:val="clear" w:pos="2948"/>
          <w:tab w:val="clear" w:pos="3515"/>
        </w:tabs>
        <w:spacing w:after="120"/>
        <w:ind w:left="2835" w:hanging="567"/>
      </w:pPr>
      <w:r>
        <w:t xml:space="preserve">The methods  that are considered </w:t>
      </w:r>
      <w:r w:rsidR="00B67C94">
        <w:t xml:space="preserve">to constitute </w:t>
      </w:r>
      <w:r>
        <w:t>environmentally sound</w:t>
      </w:r>
      <w:r w:rsidR="00B67C94">
        <w:t xml:space="preserve"> disposal</w:t>
      </w:r>
      <w:r>
        <w:t xml:space="preserve">; and </w:t>
      </w:r>
    </w:p>
    <w:p w:rsidR="00890CDD" w:rsidRDefault="00890CDD" w:rsidP="00980527">
      <w:pPr>
        <w:numPr>
          <w:ilvl w:val="0"/>
          <w:numId w:val="23"/>
        </w:numPr>
        <w:tabs>
          <w:tab w:val="clear" w:pos="1247"/>
          <w:tab w:val="clear" w:pos="1814"/>
          <w:tab w:val="clear" w:pos="2381"/>
          <w:tab w:val="clear" w:pos="2948"/>
          <w:tab w:val="clear" w:pos="3515"/>
        </w:tabs>
        <w:spacing w:after="120"/>
        <w:ind w:left="2835" w:hanging="567"/>
      </w:pPr>
      <w:r>
        <w:t xml:space="preserve">The concentration levels to define low POP content. </w:t>
      </w:r>
    </w:p>
    <w:p w:rsidR="00890CDD" w:rsidRDefault="00890CDD" w:rsidP="00980527">
      <w:pPr>
        <w:pStyle w:val="Paralevel1"/>
        <w:tabs>
          <w:tab w:val="clear" w:pos="1843"/>
          <w:tab w:val="left" w:pos="1701"/>
        </w:tabs>
        <w:ind w:left="1134" w:firstLine="0"/>
      </w:pPr>
      <w:r>
        <w:t xml:space="preserve">The guidelines </w:t>
      </w:r>
      <w:r w:rsidR="00B67C94">
        <w:t xml:space="preserve">also </w:t>
      </w:r>
      <w:r>
        <w:t xml:space="preserve">provide guidance on reducing or eliminating </w:t>
      </w:r>
      <w:r w:rsidR="002813B2">
        <w:t xml:space="preserve">POP </w:t>
      </w:r>
      <w:r>
        <w:t xml:space="preserve">releases to the environment from waste disposal and treatment processes. Considerations pertaining to the environmentally sound disposal of POP wastes discussed in these guidelines include choices of pre-treatment since </w:t>
      </w:r>
      <w:r w:rsidR="002813B2">
        <w:t xml:space="preserve">pre-treatment </w:t>
      </w:r>
      <w:r>
        <w:t xml:space="preserve">may be important when determining </w:t>
      </w:r>
      <w:r w:rsidR="002813B2">
        <w:t xml:space="preserve">a </w:t>
      </w:r>
      <w:r>
        <w:t xml:space="preserve">disposal method. </w:t>
      </w:r>
    </w:p>
    <w:p w:rsidR="00890CDD" w:rsidRPr="00CF2BA7" w:rsidRDefault="007E7B8B" w:rsidP="00980527">
      <w:pPr>
        <w:pStyle w:val="Paralevel1"/>
        <w:tabs>
          <w:tab w:val="clear" w:pos="1843"/>
          <w:tab w:val="left" w:pos="1701"/>
        </w:tabs>
        <w:ind w:left="1134" w:firstLine="0"/>
      </w:pPr>
      <w:r>
        <w:t xml:space="preserve">It should be noted that guidance on best available techniques (BAT) and best environmental practices (BEP) as they apply to the prevention or minimization of the formation and release of unintentional POPs from the </w:t>
      </w:r>
      <w:r w:rsidR="00D8599D">
        <w:t>a</w:t>
      </w:r>
      <w:r>
        <w:t xml:space="preserve">nthropogenic sources listed in Annex C </w:t>
      </w:r>
      <w:r w:rsidR="00C1583E">
        <w:t>to</w:t>
      </w:r>
      <w:r>
        <w:t xml:space="preserve"> the Stockholm </w:t>
      </w:r>
      <w:r w:rsidR="00D8599D">
        <w:t>Convention</w:t>
      </w:r>
      <w:r>
        <w:t xml:space="preserve"> is provided </w:t>
      </w:r>
      <w:r w:rsidR="00C5561D">
        <w:t>under</w:t>
      </w:r>
      <w:r>
        <w:t xml:space="preserve"> the Stockholm Convention. </w:t>
      </w:r>
      <w:r w:rsidR="00D8599D">
        <w:t>G</w:t>
      </w:r>
      <w:r w:rsidR="00890CDD" w:rsidRPr="00933A0E">
        <w:t xml:space="preserve">uidelines on BAT and provisional guidance on BEP relevant to Article 5 and Annex C </w:t>
      </w:r>
      <w:r w:rsidR="00C1583E">
        <w:t>to</w:t>
      </w:r>
      <w:r w:rsidR="00890CDD" w:rsidRPr="00933A0E">
        <w:t xml:space="preserve"> the Stockholm Convention </w:t>
      </w:r>
      <w:r w:rsidR="00D8599D">
        <w:t>were</w:t>
      </w:r>
      <w:r w:rsidR="00890CDD" w:rsidRPr="00933A0E">
        <w:t xml:space="preserve"> adopted</w:t>
      </w:r>
      <w:r w:rsidR="00F037F5">
        <w:t xml:space="preserve"> </w:t>
      </w:r>
      <w:r w:rsidR="00F037F5" w:rsidRPr="00CF2BA7">
        <w:t>by the Conference of the Parties to the Convention at its third meeting, in 2007</w:t>
      </w:r>
      <w:r w:rsidR="00890CDD" w:rsidRPr="00CF2BA7">
        <w:t xml:space="preserve">. </w:t>
      </w:r>
    </w:p>
    <w:p w:rsidR="00890CDD" w:rsidRDefault="00890CDD" w:rsidP="00980527">
      <w:pPr>
        <w:pStyle w:val="Paralevel1"/>
        <w:tabs>
          <w:tab w:val="clear" w:pos="1843"/>
          <w:tab w:val="left" w:pos="1701"/>
        </w:tabs>
        <w:ind w:left="1134" w:firstLine="0"/>
      </w:pPr>
      <w:r>
        <w:t xml:space="preserve">Table 1 indicates which specific POPs technical guidelines address each of the </w:t>
      </w:r>
      <w:r w:rsidR="00487C4C">
        <w:t>23</w:t>
      </w:r>
      <w:r>
        <w:t xml:space="preserve"> POPs listed in Annex A, B or C </w:t>
      </w:r>
      <w:r w:rsidR="00C1583E">
        <w:t>to</w:t>
      </w:r>
      <w:r>
        <w:t xml:space="preserve"> the Stockholm Convention. </w:t>
      </w:r>
    </w:p>
    <w:p w:rsidR="00890CDD" w:rsidRDefault="00890CDD" w:rsidP="000271A7">
      <w:pPr>
        <w:pStyle w:val="Paralevel1"/>
        <w:numPr>
          <w:ilvl w:val="0"/>
          <w:numId w:val="0"/>
        </w:numPr>
        <w:ind w:left="1353"/>
      </w:pPr>
      <w:r w:rsidRPr="005E5BFF">
        <w:rPr>
          <w:b/>
          <w:bCs/>
        </w:rPr>
        <w:t>Table 1:</w:t>
      </w:r>
      <w:r w:rsidRPr="0042552E">
        <w:t xml:space="preserve"> Stockholm</w:t>
      </w:r>
      <w:r>
        <w:t xml:space="preserve"> Convention POPs listed in Annex A, B or C addressed by specific technical guidelines under the Basel Convention</w:t>
      </w:r>
    </w:p>
    <w:tbl>
      <w:tblPr>
        <w:tblW w:w="8163" w:type="dxa"/>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579"/>
        <w:gridCol w:w="579"/>
        <w:gridCol w:w="579"/>
        <w:gridCol w:w="579"/>
        <w:gridCol w:w="579"/>
        <w:gridCol w:w="579"/>
        <w:gridCol w:w="579"/>
      </w:tblGrid>
      <w:tr w:rsidR="0046675E" w:rsidTr="0039493C">
        <w:trPr>
          <w:trHeight w:val="279"/>
          <w:tblHeader/>
        </w:trPr>
        <w:tc>
          <w:tcPr>
            <w:tcW w:w="4110" w:type="dxa"/>
            <w:vMerge w:val="restart"/>
            <w:shd w:val="clear" w:color="auto" w:fill="auto"/>
          </w:tcPr>
          <w:p w:rsidR="0046675E" w:rsidRDefault="0046675E" w:rsidP="002416CE">
            <w:pPr>
              <w:pStyle w:val="Paralevel1"/>
              <w:numPr>
                <w:ilvl w:val="0"/>
                <w:numId w:val="0"/>
              </w:numPr>
            </w:pPr>
            <w:bookmarkStart w:id="70" w:name="_Toc49228099"/>
            <w:bookmarkStart w:id="71" w:name="_Toc49228150"/>
            <w:bookmarkStart w:id="72" w:name="_Toc49228272"/>
            <w:bookmarkStart w:id="73" w:name="_Toc49228404"/>
            <w:bookmarkStart w:id="74" w:name="_Toc49228454"/>
            <w:bookmarkStart w:id="75" w:name="_Toc52011544"/>
            <w:bookmarkStart w:id="76" w:name="_Toc52131784"/>
            <w:bookmarkStart w:id="77" w:name="_Toc52175457"/>
            <w:bookmarkStart w:id="78" w:name="_Toc52509359"/>
            <w:bookmarkStart w:id="79" w:name="_Toc52523998"/>
            <w:bookmarkStart w:id="80" w:name="_Toc58997082"/>
            <w:bookmarkStart w:id="81" w:name="_Toc58999158"/>
            <w:bookmarkStart w:id="82" w:name="_Toc58999230"/>
            <w:bookmarkStart w:id="83" w:name="_Toc59943331"/>
            <w:bookmarkStart w:id="84" w:name="_Toc59943496"/>
            <w:bookmarkStart w:id="85" w:name="_Toc59943554"/>
            <w:bookmarkStart w:id="86" w:name="_Toc59943647"/>
            <w:bookmarkStart w:id="87" w:name="_Toc61327996"/>
            <w:bookmarkStart w:id="88" w:name="_Toc61681641"/>
            <w:bookmarkStart w:id="89" w:name="_Toc61681723"/>
            <w:bookmarkStart w:id="90" w:name="_Toc61687431"/>
            <w:bookmarkStart w:id="91" w:name="_Toc161804543"/>
            <w:r w:rsidRPr="00CD41B6">
              <w:t xml:space="preserve">Stockholm </w:t>
            </w:r>
            <w:r>
              <w:t>Convention POPs</w:t>
            </w:r>
          </w:p>
          <w:p w:rsidR="0046675E" w:rsidRPr="00943F5F" w:rsidRDefault="0046675E" w:rsidP="00BF108E">
            <w:pPr>
              <w:pStyle w:val="Paralevel1"/>
              <w:numPr>
                <w:ilvl w:val="0"/>
                <w:numId w:val="0"/>
              </w:numPr>
              <w:ind w:left="880"/>
            </w:pPr>
          </w:p>
        </w:tc>
        <w:tc>
          <w:tcPr>
            <w:tcW w:w="0" w:type="auto"/>
            <w:gridSpan w:val="7"/>
            <w:tcBorders>
              <w:bottom w:val="single" w:sz="4" w:space="0" w:color="auto"/>
            </w:tcBorders>
            <w:shd w:val="clear" w:color="auto" w:fill="auto"/>
          </w:tcPr>
          <w:p w:rsidR="0046675E" w:rsidRPr="00CD41B6" w:rsidRDefault="0046675E" w:rsidP="00AA01F5">
            <w:pPr>
              <w:pStyle w:val="Paralevel1"/>
              <w:numPr>
                <w:ilvl w:val="0"/>
                <w:numId w:val="0"/>
              </w:numPr>
            </w:pPr>
            <w:r w:rsidRPr="00CD41B6">
              <w:t>Basel Convention POPs technical guidelines</w:t>
            </w:r>
          </w:p>
        </w:tc>
      </w:tr>
      <w:tr w:rsidR="0046675E" w:rsidTr="0039493C">
        <w:trPr>
          <w:trHeight w:val="397"/>
          <w:tblHeader/>
        </w:trPr>
        <w:tc>
          <w:tcPr>
            <w:tcW w:w="4110" w:type="dxa"/>
            <w:vMerge/>
            <w:shd w:val="clear" w:color="auto" w:fill="auto"/>
          </w:tcPr>
          <w:p w:rsidR="0046675E" w:rsidRPr="00943F5F" w:rsidRDefault="0046675E" w:rsidP="004756B6">
            <w:pPr>
              <w:pStyle w:val="Paralevel1"/>
              <w:numPr>
                <w:ilvl w:val="0"/>
                <w:numId w:val="14"/>
              </w:numPr>
            </w:pPr>
          </w:p>
        </w:tc>
        <w:tc>
          <w:tcPr>
            <w:tcW w:w="0" w:type="auto"/>
            <w:gridSpan w:val="7"/>
            <w:shd w:val="clear" w:color="auto" w:fill="D6E3BC"/>
          </w:tcPr>
          <w:p w:rsidR="0046675E" w:rsidRPr="00CD41B6" w:rsidRDefault="0046675E" w:rsidP="004756B6">
            <w:pPr>
              <w:pStyle w:val="Paralevel1"/>
              <w:numPr>
                <w:ilvl w:val="0"/>
                <w:numId w:val="0"/>
              </w:numPr>
            </w:pPr>
            <w:r w:rsidRPr="00CD41B6">
              <w:t>General technical guidelines</w:t>
            </w:r>
          </w:p>
        </w:tc>
      </w:tr>
      <w:tr w:rsidR="0046675E" w:rsidTr="0039493C">
        <w:trPr>
          <w:cantSplit/>
          <w:trHeight w:val="1976"/>
          <w:tblHeader/>
        </w:trPr>
        <w:tc>
          <w:tcPr>
            <w:tcW w:w="4110" w:type="dxa"/>
            <w:vMerge/>
            <w:shd w:val="clear" w:color="auto" w:fill="D6E3BC"/>
          </w:tcPr>
          <w:p w:rsidR="0046675E" w:rsidRPr="00943F5F" w:rsidRDefault="0046675E" w:rsidP="004756B6">
            <w:pPr>
              <w:pStyle w:val="Paralevel1"/>
              <w:numPr>
                <w:ilvl w:val="0"/>
                <w:numId w:val="0"/>
              </w:numPr>
              <w:ind w:left="880"/>
            </w:pPr>
          </w:p>
        </w:tc>
        <w:tc>
          <w:tcPr>
            <w:tcW w:w="0" w:type="auto"/>
            <w:shd w:val="clear" w:color="auto" w:fill="D6E3BC"/>
            <w:textDirection w:val="btLr"/>
          </w:tcPr>
          <w:p w:rsidR="0046675E" w:rsidRPr="00943F5F" w:rsidRDefault="0046675E" w:rsidP="004756B6">
            <w:pPr>
              <w:pStyle w:val="Paralevel1"/>
              <w:numPr>
                <w:ilvl w:val="0"/>
                <w:numId w:val="0"/>
              </w:numPr>
              <w:ind w:left="113"/>
            </w:pPr>
            <w:r w:rsidRPr="00943F5F">
              <w:t>PCB</w:t>
            </w:r>
            <w:r>
              <w:t>s</w:t>
            </w:r>
            <w:r w:rsidRPr="00943F5F">
              <w:t xml:space="preserve"> technical guidelines</w:t>
            </w:r>
          </w:p>
        </w:tc>
        <w:tc>
          <w:tcPr>
            <w:tcW w:w="0" w:type="auto"/>
            <w:shd w:val="clear" w:color="auto" w:fill="D6E3BC"/>
            <w:textDirection w:val="btLr"/>
          </w:tcPr>
          <w:p w:rsidR="0046675E" w:rsidRPr="00943F5F" w:rsidRDefault="0046675E" w:rsidP="004756B6">
            <w:pPr>
              <w:pStyle w:val="Paralevel1"/>
              <w:numPr>
                <w:ilvl w:val="0"/>
                <w:numId w:val="0"/>
              </w:numPr>
              <w:ind w:left="113"/>
            </w:pPr>
            <w:r>
              <w:t>Pesticides technical guidelines</w:t>
            </w:r>
          </w:p>
        </w:tc>
        <w:tc>
          <w:tcPr>
            <w:tcW w:w="0" w:type="auto"/>
            <w:shd w:val="clear" w:color="auto" w:fill="D6E3BC"/>
            <w:textDirection w:val="btLr"/>
          </w:tcPr>
          <w:p w:rsidR="0046675E" w:rsidRPr="00943F5F" w:rsidRDefault="0046675E" w:rsidP="004756B6">
            <w:pPr>
              <w:pStyle w:val="Paralevel1"/>
              <w:numPr>
                <w:ilvl w:val="0"/>
                <w:numId w:val="0"/>
              </w:numPr>
              <w:ind w:left="113"/>
            </w:pPr>
            <w:r w:rsidRPr="00943F5F">
              <w:t>DDT technical guidelines</w:t>
            </w:r>
          </w:p>
        </w:tc>
        <w:tc>
          <w:tcPr>
            <w:tcW w:w="0" w:type="auto"/>
            <w:shd w:val="clear" w:color="auto" w:fill="D6E3BC"/>
            <w:textDirection w:val="btLr"/>
          </w:tcPr>
          <w:p w:rsidR="0046675E" w:rsidRPr="00943F5F" w:rsidRDefault="0046675E" w:rsidP="004756B6">
            <w:pPr>
              <w:pStyle w:val="Paralevel1"/>
              <w:numPr>
                <w:ilvl w:val="0"/>
                <w:numId w:val="0"/>
              </w:numPr>
              <w:ind w:left="113"/>
            </w:pPr>
            <w:r w:rsidRPr="00943F5F">
              <w:t>Unintentional POPs technical guidelines</w:t>
            </w:r>
          </w:p>
        </w:tc>
        <w:tc>
          <w:tcPr>
            <w:tcW w:w="0" w:type="auto"/>
            <w:shd w:val="clear" w:color="auto" w:fill="D6E3BC"/>
            <w:textDirection w:val="btLr"/>
          </w:tcPr>
          <w:p w:rsidR="0046675E" w:rsidRPr="00943F5F" w:rsidRDefault="0046675E" w:rsidP="004756B6">
            <w:pPr>
              <w:pStyle w:val="Paralevel1"/>
              <w:numPr>
                <w:ilvl w:val="0"/>
                <w:numId w:val="0"/>
              </w:numPr>
              <w:ind w:left="113"/>
            </w:pPr>
            <w:r>
              <w:t>POP-</w:t>
            </w:r>
            <w:r w:rsidRPr="00943F5F">
              <w:t>BDE</w:t>
            </w:r>
            <w:r>
              <w:t>s</w:t>
            </w:r>
            <w:r w:rsidRPr="00943F5F">
              <w:t xml:space="preserve"> technical guidelines</w:t>
            </w:r>
          </w:p>
        </w:tc>
        <w:tc>
          <w:tcPr>
            <w:tcW w:w="0" w:type="auto"/>
            <w:shd w:val="clear" w:color="auto" w:fill="D6E3BC"/>
            <w:textDirection w:val="btLr"/>
          </w:tcPr>
          <w:p w:rsidR="0046675E" w:rsidRPr="00943F5F" w:rsidRDefault="0046675E" w:rsidP="004756B6">
            <w:pPr>
              <w:pStyle w:val="Paralevel1"/>
              <w:numPr>
                <w:ilvl w:val="0"/>
                <w:numId w:val="0"/>
              </w:numPr>
              <w:ind w:left="113"/>
            </w:pPr>
            <w:r>
              <w:t>HBCD technical guidelines</w:t>
            </w:r>
          </w:p>
        </w:tc>
        <w:tc>
          <w:tcPr>
            <w:tcW w:w="0" w:type="auto"/>
            <w:shd w:val="clear" w:color="auto" w:fill="D6E3BC"/>
            <w:textDirection w:val="btLr"/>
          </w:tcPr>
          <w:p w:rsidR="0046675E" w:rsidRPr="00943F5F" w:rsidRDefault="0046675E" w:rsidP="004756B6">
            <w:pPr>
              <w:pStyle w:val="Paralevel1"/>
              <w:numPr>
                <w:ilvl w:val="0"/>
                <w:numId w:val="0"/>
              </w:numPr>
              <w:ind w:left="113"/>
            </w:pPr>
            <w:r>
              <w:t>PFOS</w:t>
            </w:r>
            <w:r w:rsidRPr="00943F5F">
              <w:t xml:space="preserve"> technical guidelines</w:t>
            </w:r>
          </w:p>
        </w:tc>
      </w:tr>
      <w:tr w:rsidR="0046675E" w:rsidTr="00DD7089">
        <w:tc>
          <w:tcPr>
            <w:tcW w:w="4110" w:type="dxa"/>
            <w:shd w:val="clear" w:color="auto" w:fill="auto"/>
          </w:tcPr>
          <w:p w:rsidR="0046675E" w:rsidRPr="00E91989" w:rsidRDefault="0046675E" w:rsidP="004756B6">
            <w:pPr>
              <w:pStyle w:val="Paralevel1"/>
              <w:numPr>
                <w:ilvl w:val="0"/>
                <w:numId w:val="0"/>
              </w:numPr>
            </w:pPr>
            <w:proofErr w:type="spellStart"/>
            <w:r>
              <w:t>Aldrin</w:t>
            </w:r>
            <w:proofErr w:type="spellEnd"/>
          </w:p>
        </w:tc>
        <w:tc>
          <w:tcPr>
            <w:tcW w:w="0" w:type="auto"/>
            <w:shd w:val="clear" w:color="auto" w:fill="auto"/>
          </w:tcPr>
          <w:p w:rsidR="0046675E" w:rsidRPr="00943F5F" w:rsidRDefault="0046675E" w:rsidP="007135DD">
            <w:pPr>
              <w:pStyle w:val="Paralevel1"/>
              <w:numPr>
                <w:ilvl w:val="0"/>
                <w:numId w:val="0"/>
              </w:numPr>
              <w:ind w:left="1247"/>
            </w:pPr>
          </w:p>
        </w:tc>
        <w:tc>
          <w:tcPr>
            <w:tcW w:w="0" w:type="auto"/>
            <w:shd w:val="clear" w:color="auto" w:fill="auto"/>
          </w:tcPr>
          <w:p w:rsidR="0046675E" w:rsidRPr="00943F5F" w:rsidRDefault="0046675E" w:rsidP="000271A7">
            <w:pPr>
              <w:pStyle w:val="Paralevel1"/>
              <w:numPr>
                <w:ilvl w:val="0"/>
                <w:numId w:val="0"/>
              </w:numPr>
            </w:pPr>
            <w:r>
              <w:t>x</w:t>
            </w:r>
          </w:p>
        </w:tc>
        <w:tc>
          <w:tcPr>
            <w:tcW w:w="0" w:type="auto"/>
            <w:shd w:val="clear" w:color="auto" w:fill="auto"/>
          </w:tcPr>
          <w:p w:rsidR="0046675E" w:rsidRDefault="0046675E" w:rsidP="000271A7">
            <w:pPr>
              <w:pStyle w:val="Paralevel1"/>
              <w:numPr>
                <w:ilvl w:val="0"/>
                <w:numId w:val="0"/>
              </w:numPr>
            </w:pPr>
          </w:p>
        </w:tc>
        <w:tc>
          <w:tcPr>
            <w:tcW w:w="0" w:type="auto"/>
            <w:shd w:val="clear" w:color="auto" w:fill="auto"/>
          </w:tcPr>
          <w:p w:rsidR="0046675E" w:rsidRPr="00943F5F" w:rsidRDefault="0046675E" w:rsidP="002416CE">
            <w:pPr>
              <w:pStyle w:val="Paralevel1"/>
              <w:numPr>
                <w:ilvl w:val="0"/>
                <w:numId w:val="0"/>
              </w:numPr>
            </w:pPr>
          </w:p>
        </w:tc>
        <w:tc>
          <w:tcPr>
            <w:tcW w:w="0" w:type="auto"/>
          </w:tcPr>
          <w:p w:rsidR="0046675E" w:rsidRPr="00943F5F" w:rsidRDefault="0046675E" w:rsidP="00BF108E">
            <w:pPr>
              <w:pStyle w:val="Paralevel1"/>
              <w:numPr>
                <w:ilvl w:val="0"/>
                <w:numId w:val="0"/>
              </w:numPr>
              <w:ind w:left="1247"/>
            </w:pPr>
          </w:p>
        </w:tc>
        <w:tc>
          <w:tcPr>
            <w:tcW w:w="0" w:type="auto"/>
          </w:tcPr>
          <w:p w:rsidR="0046675E" w:rsidRPr="00943F5F" w:rsidRDefault="0046675E" w:rsidP="00AA01F5">
            <w:pPr>
              <w:pStyle w:val="Paralevel1"/>
              <w:numPr>
                <w:ilvl w:val="0"/>
                <w:numId w:val="0"/>
              </w:numPr>
            </w:pPr>
          </w:p>
        </w:tc>
        <w:tc>
          <w:tcPr>
            <w:tcW w:w="0" w:type="auto"/>
          </w:tcPr>
          <w:p w:rsidR="0046675E" w:rsidRPr="00943F5F" w:rsidRDefault="0046675E" w:rsidP="00B04B98">
            <w:pPr>
              <w:pStyle w:val="Paralevel1"/>
              <w:numPr>
                <w:ilvl w:val="0"/>
                <w:numId w:val="0"/>
              </w:numPr>
            </w:pPr>
          </w:p>
        </w:tc>
      </w:tr>
      <w:tr w:rsidR="0046675E" w:rsidTr="00DD7089">
        <w:tc>
          <w:tcPr>
            <w:tcW w:w="4110" w:type="dxa"/>
            <w:shd w:val="clear" w:color="auto" w:fill="auto"/>
          </w:tcPr>
          <w:p w:rsidR="0046675E" w:rsidRPr="00E91989" w:rsidRDefault="0046675E" w:rsidP="004756B6">
            <w:pPr>
              <w:pStyle w:val="Paralevel1"/>
              <w:numPr>
                <w:ilvl w:val="0"/>
                <w:numId w:val="0"/>
              </w:numPr>
            </w:pPr>
            <w:r w:rsidRPr="00E91989">
              <w:t>Chlordane</w:t>
            </w:r>
          </w:p>
        </w:tc>
        <w:tc>
          <w:tcPr>
            <w:tcW w:w="0" w:type="auto"/>
            <w:shd w:val="clear" w:color="auto" w:fill="auto"/>
          </w:tcPr>
          <w:p w:rsidR="0046675E" w:rsidRPr="00943F5F" w:rsidRDefault="0046675E" w:rsidP="007135DD">
            <w:pPr>
              <w:pStyle w:val="Paralevel1"/>
              <w:numPr>
                <w:ilvl w:val="0"/>
                <w:numId w:val="0"/>
              </w:numPr>
              <w:ind w:left="1247"/>
            </w:pPr>
          </w:p>
        </w:tc>
        <w:tc>
          <w:tcPr>
            <w:tcW w:w="0" w:type="auto"/>
            <w:shd w:val="clear" w:color="auto" w:fill="auto"/>
          </w:tcPr>
          <w:p w:rsidR="0046675E" w:rsidRPr="00943F5F" w:rsidRDefault="0046675E" w:rsidP="000271A7">
            <w:pPr>
              <w:pStyle w:val="Paralevel1"/>
              <w:numPr>
                <w:ilvl w:val="0"/>
                <w:numId w:val="0"/>
              </w:numPr>
            </w:pPr>
            <w:r>
              <w:t>x</w:t>
            </w:r>
          </w:p>
        </w:tc>
        <w:tc>
          <w:tcPr>
            <w:tcW w:w="0" w:type="auto"/>
            <w:shd w:val="clear" w:color="auto" w:fill="auto"/>
          </w:tcPr>
          <w:p w:rsidR="0046675E" w:rsidRPr="00943F5F" w:rsidRDefault="0046675E" w:rsidP="000271A7">
            <w:pPr>
              <w:pStyle w:val="Paralevel1"/>
              <w:numPr>
                <w:ilvl w:val="0"/>
                <w:numId w:val="0"/>
              </w:numPr>
            </w:pPr>
          </w:p>
        </w:tc>
        <w:tc>
          <w:tcPr>
            <w:tcW w:w="0" w:type="auto"/>
            <w:shd w:val="clear" w:color="auto" w:fill="auto"/>
          </w:tcPr>
          <w:p w:rsidR="0046675E" w:rsidRPr="00943F5F" w:rsidRDefault="0046675E" w:rsidP="002416CE">
            <w:pPr>
              <w:pStyle w:val="Paralevel1"/>
              <w:numPr>
                <w:ilvl w:val="0"/>
                <w:numId w:val="0"/>
              </w:numPr>
            </w:pPr>
          </w:p>
        </w:tc>
        <w:tc>
          <w:tcPr>
            <w:tcW w:w="0" w:type="auto"/>
          </w:tcPr>
          <w:p w:rsidR="0046675E" w:rsidRPr="00943F5F" w:rsidRDefault="0046675E" w:rsidP="00BF108E">
            <w:pPr>
              <w:pStyle w:val="Paralevel1"/>
              <w:numPr>
                <w:ilvl w:val="0"/>
                <w:numId w:val="0"/>
              </w:numPr>
              <w:ind w:left="1247"/>
            </w:pPr>
          </w:p>
        </w:tc>
        <w:tc>
          <w:tcPr>
            <w:tcW w:w="0" w:type="auto"/>
          </w:tcPr>
          <w:p w:rsidR="0046675E" w:rsidRPr="00943F5F" w:rsidRDefault="0046675E" w:rsidP="00AA01F5">
            <w:pPr>
              <w:pStyle w:val="Paralevel1"/>
              <w:numPr>
                <w:ilvl w:val="0"/>
                <w:numId w:val="0"/>
              </w:numPr>
            </w:pPr>
          </w:p>
        </w:tc>
        <w:tc>
          <w:tcPr>
            <w:tcW w:w="0" w:type="auto"/>
          </w:tcPr>
          <w:p w:rsidR="0046675E" w:rsidRPr="00943F5F" w:rsidRDefault="0046675E" w:rsidP="00B04B98">
            <w:pPr>
              <w:pStyle w:val="Paralevel1"/>
              <w:numPr>
                <w:ilvl w:val="0"/>
                <w:numId w:val="0"/>
              </w:numPr>
            </w:pPr>
          </w:p>
        </w:tc>
      </w:tr>
      <w:tr w:rsidR="0046675E" w:rsidTr="00DD7089">
        <w:tc>
          <w:tcPr>
            <w:tcW w:w="4110" w:type="dxa"/>
            <w:shd w:val="clear" w:color="auto" w:fill="auto"/>
          </w:tcPr>
          <w:p w:rsidR="0046675E" w:rsidRPr="00E91989" w:rsidRDefault="0046675E" w:rsidP="004756B6">
            <w:pPr>
              <w:pStyle w:val="Paralevel1"/>
              <w:numPr>
                <w:ilvl w:val="0"/>
                <w:numId w:val="0"/>
              </w:numPr>
            </w:pPr>
            <w:proofErr w:type="spellStart"/>
            <w:r w:rsidRPr="00E91989">
              <w:t>Chlordecone</w:t>
            </w:r>
            <w:proofErr w:type="spellEnd"/>
          </w:p>
        </w:tc>
        <w:tc>
          <w:tcPr>
            <w:tcW w:w="0" w:type="auto"/>
            <w:shd w:val="clear" w:color="auto" w:fill="auto"/>
          </w:tcPr>
          <w:p w:rsidR="0046675E" w:rsidRPr="00943F5F" w:rsidRDefault="0046675E" w:rsidP="007135DD">
            <w:pPr>
              <w:pStyle w:val="Paralevel1"/>
              <w:numPr>
                <w:ilvl w:val="0"/>
                <w:numId w:val="0"/>
              </w:numPr>
              <w:ind w:left="1247"/>
            </w:pPr>
          </w:p>
        </w:tc>
        <w:tc>
          <w:tcPr>
            <w:tcW w:w="0" w:type="auto"/>
            <w:shd w:val="clear" w:color="auto" w:fill="auto"/>
          </w:tcPr>
          <w:p w:rsidR="0046675E" w:rsidRPr="00943F5F" w:rsidRDefault="0046675E" w:rsidP="000271A7">
            <w:pPr>
              <w:pStyle w:val="Paralevel1"/>
              <w:numPr>
                <w:ilvl w:val="0"/>
                <w:numId w:val="0"/>
              </w:numPr>
            </w:pPr>
            <w:r>
              <w:t>x</w:t>
            </w:r>
          </w:p>
        </w:tc>
        <w:tc>
          <w:tcPr>
            <w:tcW w:w="0" w:type="auto"/>
            <w:shd w:val="clear" w:color="auto" w:fill="auto"/>
          </w:tcPr>
          <w:p w:rsidR="0046675E" w:rsidRPr="00943F5F" w:rsidRDefault="0046675E" w:rsidP="000271A7">
            <w:pPr>
              <w:pStyle w:val="Paralevel1"/>
              <w:numPr>
                <w:ilvl w:val="0"/>
                <w:numId w:val="0"/>
              </w:numPr>
            </w:pPr>
          </w:p>
        </w:tc>
        <w:tc>
          <w:tcPr>
            <w:tcW w:w="0" w:type="auto"/>
            <w:shd w:val="clear" w:color="auto" w:fill="auto"/>
          </w:tcPr>
          <w:p w:rsidR="0046675E" w:rsidRPr="00943F5F" w:rsidRDefault="0046675E" w:rsidP="002416CE">
            <w:pPr>
              <w:pStyle w:val="Paralevel1"/>
              <w:numPr>
                <w:ilvl w:val="0"/>
                <w:numId w:val="0"/>
              </w:numPr>
            </w:pPr>
          </w:p>
        </w:tc>
        <w:tc>
          <w:tcPr>
            <w:tcW w:w="0" w:type="auto"/>
          </w:tcPr>
          <w:p w:rsidR="0046675E" w:rsidRPr="00943F5F" w:rsidRDefault="0046675E" w:rsidP="00BF108E">
            <w:pPr>
              <w:pStyle w:val="Paralevel1"/>
              <w:numPr>
                <w:ilvl w:val="0"/>
                <w:numId w:val="0"/>
              </w:numPr>
              <w:ind w:left="1247"/>
            </w:pPr>
          </w:p>
        </w:tc>
        <w:tc>
          <w:tcPr>
            <w:tcW w:w="0" w:type="auto"/>
          </w:tcPr>
          <w:p w:rsidR="0046675E" w:rsidRPr="00943F5F" w:rsidRDefault="0046675E" w:rsidP="00AA01F5">
            <w:pPr>
              <w:pStyle w:val="Paralevel1"/>
              <w:numPr>
                <w:ilvl w:val="0"/>
                <w:numId w:val="0"/>
              </w:numPr>
            </w:pPr>
          </w:p>
        </w:tc>
        <w:tc>
          <w:tcPr>
            <w:tcW w:w="0" w:type="auto"/>
          </w:tcPr>
          <w:p w:rsidR="0046675E" w:rsidRPr="00943F5F" w:rsidRDefault="0046675E" w:rsidP="00B04B98">
            <w:pPr>
              <w:pStyle w:val="Paralevel1"/>
              <w:numPr>
                <w:ilvl w:val="0"/>
                <w:numId w:val="0"/>
              </w:numPr>
            </w:pPr>
          </w:p>
        </w:tc>
      </w:tr>
      <w:tr w:rsidR="0046675E" w:rsidTr="00DD7089">
        <w:tc>
          <w:tcPr>
            <w:tcW w:w="4110" w:type="dxa"/>
            <w:shd w:val="clear" w:color="auto" w:fill="auto"/>
          </w:tcPr>
          <w:p w:rsidR="0046675E" w:rsidRPr="00E91989" w:rsidRDefault="0046675E" w:rsidP="004756B6">
            <w:pPr>
              <w:pStyle w:val="Paralevel1"/>
              <w:numPr>
                <w:ilvl w:val="0"/>
                <w:numId w:val="0"/>
              </w:numPr>
            </w:pPr>
            <w:proofErr w:type="spellStart"/>
            <w:r w:rsidRPr="00E91989">
              <w:t>Dieldrin</w:t>
            </w:r>
            <w:proofErr w:type="spellEnd"/>
          </w:p>
        </w:tc>
        <w:tc>
          <w:tcPr>
            <w:tcW w:w="0" w:type="auto"/>
            <w:shd w:val="clear" w:color="auto" w:fill="auto"/>
          </w:tcPr>
          <w:p w:rsidR="0046675E" w:rsidRPr="00943F5F" w:rsidRDefault="0046675E" w:rsidP="007135DD">
            <w:pPr>
              <w:pStyle w:val="Paralevel1"/>
              <w:numPr>
                <w:ilvl w:val="0"/>
                <w:numId w:val="0"/>
              </w:numPr>
              <w:ind w:left="1247"/>
            </w:pPr>
          </w:p>
        </w:tc>
        <w:tc>
          <w:tcPr>
            <w:tcW w:w="0" w:type="auto"/>
            <w:shd w:val="clear" w:color="auto" w:fill="auto"/>
          </w:tcPr>
          <w:p w:rsidR="0046675E" w:rsidRPr="00943F5F" w:rsidRDefault="0046675E" w:rsidP="000271A7">
            <w:pPr>
              <w:pStyle w:val="Paralevel1"/>
              <w:numPr>
                <w:ilvl w:val="0"/>
                <w:numId w:val="0"/>
              </w:numPr>
            </w:pPr>
            <w:r>
              <w:t>x</w:t>
            </w:r>
          </w:p>
        </w:tc>
        <w:tc>
          <w:tcPr>
            <w:tcW w:w="0" w:type="auto"/>
            <w:shd w:val="clear" w:color="auto" w:fill="auto"/>
          </w:tcPr>
          <w:p w:rsidR="0046675E" w:rsidRPr="00943F5F" w:rsidRDefault="0046675E" w:rsidP="000271A7">
            <w:pPr>
              <w:pStyle w:val="Paralevel1"/>
              <w:numPr>
                <w:ilvl w:val="0"/>
                <w:numId w:val="0"/>
              </w:numPr>
            </w:pPr>
          </w:p>
        </w:tc>
        <w:tc>
          <w:tcPr>
            <w:tcW w:w="0" w:type="auto"/>
            <w:shd w:val="clear" w:color="auto" w:fill="auto"/>
          </w:tcPr>
          <w:p w:rsidR="0046675E" w:rsidRPr="00943F5F" w:rsidRDefault="0046675E" w:rsidP="002416CE">
            <w:pPr>
              <w:pStyle w:val="Paralevel1"/>
              <w:numPr>
                <w:ilvl w:val="0"/>
                <w:numId w:val="0"/>
              </w:numPr>
            </w:pPr>
          </w:p>
        </w:tc>
        <w:tc>
          <w:tcPr>
            <w:tcW w:w="0" w:type="auto"/>
          </w:tcPr>
          <w:p w:rsidR="0046675E" w:rsidRPr="00943F5F" w:rsidRDefault="0046675E" w:rsidP="00BF108E">
            <w:pPr>
              <w:pStyle w:val="Paralevel1"/>
              <w:numPr>
                <w:ilvl w:val="0"/>
                <w:numId w:val="0"/>
              </w:numPr>
              <w:ind w:left="1247"/>
            </w:pPr>
          </w:p>
        </w:tc>
        <w:tc>
          <w:tcPr>
            <w:tcW w:w="0" w:type="auto"/>
          </w:tcPr>
          <w:p w:rsidR="0046675E" w:rsidRPr="00943F5F" w:rsidRDefault="0046675E" w:rsidP="00AA01F5">
            <w:pPr>
              <w:pStyle w:val="Paralevel1"/>
              <w:numPr>
                <w:ilvl w:val="0"/>
                <w:numId w:val="0"/>
              </w:numPr>
            </w:pPr>
          </w:p>
        </w:tc>
        <w:tc>
          <w:tcPr>
            <w:tcW w:w="0" w:type="auto"/>
          </w:tcPr>
          <w:p w:rsidR="0046675E" w:rsidRPr="00943F5F" w:rsidRDefault="0046675E" w:rsidP="00B04B98">
            <w:pPr>
              <w:pStyle w:val="Paralevel1"/>
              <w:numPr>
                <w:ilvl w:val="0"/>
                <w:numId w:val="0"/>
              </w:numPr>
            </w:pPr>
          </w:p>
        </w:tc>
      </w:tr>
      <w:tr w:rsidR="0046675E" w:rsidTr="00DD7089">
        <w:tc>
          <w:tcPr>
            <w:tcW w:w="4110" w:type="dxa"/>
            <w:shd w:val="clear" w:color="auto" w:fill="auto"/>
          </w:tcPr>
          <w:p w:rsidR="0046675E" w:rsidRPr="00890CDD" w:rsidRDefault="0046675E" w:rsidP="004756B6">
            <w:pPr>
              <w:pStyle w:val="Paralevel1"/>
              <w:numPr>
                <w:ilvl w:val="0"/>
                <w:numId w:val="0"/>
              </w:numPr>
            </w:pPr>
            <w:r w:rsidRPr="00890CDD">
              <w:t>1,1,1-Trichloro-2,2-bis(4-chlorophenyl)ethane (DDT)</w:t>
            </w:r>
          </w:p>
        </w:tc>
        <w:tc>
          <w:tcPr>
            <w:tcW w:w="0" w:type="auto"/>
            <w:shd w:val="clear" w:color="auto" w:fill="auto"/>
          </w:tcPr>
          <w:p w:rsidR="0046675E" w:rsidRPr="00890CDD" w:rsidRDefault="0046675E" w:rsidP="007135DD">
            <w:pPr>
              <w:pStyle w:val="Paralevel1"/>
              <w:numPr>
                <w:ilvl w:val="0"/>
                <w:numId w:val="0"/>
              </w:numPr>
              <w:ind w:left="1247"/>
            </w:pPr>
          </w:p>
        </w:tc>
        <w:tc>
          <w:tcPr>
            <w:tcW w:w="0" w:type="auto"/>
            <w:shd w:val="clear" w:color="auto" w:fill="auto"/>
          </w:tcPr>
          <w:p w:rsidR="0046675E" w:rsidRPr="00890CDD" w:rsidRDefault="0046675E" w:rsidP="000271A7">
            <w:pPr>
              <w:pStyle w:val="Paralevel1"/>
              <w:numPr>
                <w:ilvl w:val="0"/>
                <w:numId w:val="0"/>
              </w:numPr>
            </w:pPr>
          </w:p>
        </w:tc>
        <w:tc>
          <w:tcPr>
            <w:tcW w:w="0" w:type="auto"/>
            <w:shd w:val="clear" w:color="auto" w:fill="auto"/>
          </w:tcPr>
          <w:p w:rsidR="0046675E" w:rsidRPr="00890CDD" w:rsidRDefault="0046675E" w:rsidP="000271A7">
            <w:pPr>
              <w:pStyle w:val="Paralevel1"/>
              <w:numPr>
                <w:ilvl w:val="0"/>
                <w:numId w:val="0"/>
              </w:numPr>
            </w:pPr>
            <w:r>
              <w:t>x</w:t>
            </w:r>
          </w:p>
        </w:tc>
        <w:tc>
          <w:tcPr>
            <w:tcW w:w="0" w:type="auto"/>
            <w:shd w:val="clear" w:color="auto" w:fill="auto"/>
          </w:tcPr>
          <w:p w:rsidR="0046675E" w:rsidRPr="00943F5F" w:rsidRDefault="0046675E" w:rsidP="002416CE">
            <w:pPr>
              <w:pStyle w:val="Paralevel1"/>
              <w:numPr>
                <w:ilvl w:val="0"/>
                <w:numId w:val="0"/>
              </w:numPr>
            </w:pPr>
          </w:p>
        </w:tc>
        <w:tc>
          <w:tcPr>
            <w:tcW w:w="0" w:type="auto"/>
          </w:tcPr>
          <w:p w:rsidR="0046675E" w:rsidRPr="00943F5F" w:rsidRDefault="0046675E" w:rsidP="00BF108E">
            <w:pPr>
              <w:pStyle w:val="Paralevel1"/>
              <w:numPr>
                <w:ilvl w:val="0"/>
                <w:numId w:val="0"/>
              </w:numPr>
              <w:ind w:left="1247"/>
            </w:pPr>
          </w:p>
        </w:tc>
        <w:tc>
          <w:tcPr>
            <w:tcW w:w="0" w:type="auto"/>
          </w:tcPr>
          <w:p w:rsidR="0046675E" w:rsidRPr="00943F5F" w:rsidRDefault="0046675E" w:rsidP="00AA01F5">
            <w:pPr>
              <w:pStyle w:val="Paralevel1"/>
              <w:numPr>
                <w:ilvl w:val="0"/>
                <w:numId w:val="0"/>
              </w:numPr>
            </w:pPr>
          </w:p>
        </w:tc>
        <w:tc>
          <w:tcPr>
            <w:tcW w:w="0" w:type="auto"/>
          </w:tcPr>
          <w:p w:rsidR="0046675E" w:rsidRPr="00943F5F" w:rsidRDefault="0046675E" w:rsidP="00B04B98">
            <w:pPr>
              <w:pStyle w:val="Paralevel1"/>
              <w:numPr>
                <w:ilvl w:val="0"/>
                <w:numId w:val="0"/>
              </w:numPr>
            </w:pPr>
          </w:p>
        </w:tc>
      </w:tr>
      <w:tr w:rsidR="0046675E" w:rsidTr="00DD7089">
        <w:tc>
          <w:tcPr>
            <w:tcW w:w="4110" w:type="dxa"/>
            <w:shd w:val="clear" w:color="auto" w:fill="auto"/>
          </w:tcPr>
          <w:p w:rsidR="0046675E" w:rsidRPr="00E91989" w:rsidRDefault="0046675E" w:rsidP="004756B6">
            <w:pPr>
              <w:pStyle w:val="Paralevel1"/>
              <w:numPr>
                <w:ilvl w:val="0"/>
                <w:numId w:val="0"/>
              </w:numPr>
            </w:pPr>
            <w:proofErr w:type="spellStart"/>
            <w:r w:rsidRPr="00E91989">
              <w:t>Endrin</w:t>
            </w:r>
            <w:proofErr w:type="spellEnd"/>
          </w:p>
        </w:tc>
        <w:tc>
          <w:tcPr>
            <w:tcW w:w="0" w:type="auto"/>
            <w:shd w:val="clear" w:color="auto" w:fill="auto"/>
          </w:tcPr>
          <w:p w:rsidR="0046675E" w:rsidRPr="00943F5F" w:rsidRDefault="0046675E" w:rsidP="007135DD">
            <w:pPr>
              <w:pStyle w:val="Paralevel1"/>
              <w:numPr>
                <w:ilvl w:val="0"/>
                <w:numId w:val="0"/>
              </w:numPr>
              <w:ind w:left="1247"/>
            </w:pPr>
          </w:p>
        </w:tc>
        <w:tc>
          <w:tcPr>
            <w:tcW w:w="0" w:type="auto"/>
            <w:shd w:val="clear" w:color="auto" w:fill="auto"/>
          </w:tcPr>
          <w:p w:rsidR="0046675E" w:rsidRPr="00943F5F" w:rsidRDefault="0046675E" w:rsidP="000271A7">
            <w:pPr>
              <w:pStyle w:val="Paralevel1"/>
              <w:numPr>
                <w:ilvl w:val="0"/>
                <w:numId w:val="0"/>
              </w:numPr>
            </w:pPr>
            <w:r>
              <w:t>x</w:t>
            </w:r>
          </w:p>
        </w:tc>
        <w:tc>
          <w:tcPr>
            <w:tcW w:w="0" w:type="auto"/>
            <w:shd w:val="clear" w:color="auto" w:fill="auto"/>
          </w:tcPr>
          <w:p w:rsidR="0046675E" w:rsidRPr="00943F5F" w:rsidRDefault="0046675E" w:rsidP="000271A7">
            <w:pPr>
              <w:pStyle w:val="Paralevel1"/>
              <w:numPr>
                <w:ilvl w:val="0"/>
                <w:numId w:val="0"/>
              </w:numPr>
            </w:pPr>
          </w:p>
        </w:tc>
        <w:tc>
          <w:tcPr>
            <w:tcW w:w="0" w:type="auto"/>
            <w:shd w:val="clear" w:color="auto" w:fill="auto"/>
          </w:tcPr>
          <w:p w:rsidR="0046675E" w:rsidRPr="00943F5F" w:rsidRDefault="0046675E" w:rsidP="002416CE">
            <w:pPr>
              <w:pStyle w:val="Paralevel1"/>
              <w:numPr>
                <w:ilvl w:val="0"/>
                <w:numId w:val="0"/>
              </w:numPr>
            </w:pPr>
          </w:p>
        </w:tc>
        <w:tc>
          <w:tcPr>
            <w:tcW w:w="0" w:type="auto"/>
          </w:tcPr>
          <w:p w:rsidR="0046675E" w:rsidRPr="00943F5F" w:rsidRDefault="0046675E" w:rsidP="00BF108E">
            <w:pPr>
              <w:pStyle w:val="Paralevel1"/>
              <w:numPr>
                <w:ilvl w:val="0"/>
                <w:numId w:val="0"/>
              </w:numPr>
              <w:ind w:left="1247"/>
            </w:pPr>
          </w:p>
        </w:tc>
        <w:tc>
          <w:tcPr>
            <w:tcW w:w="0" w:type="auto"/>
          </w:tcPr>
          <w:p w:rsidR="0046675E" w:rsidRPr="00943F5F" w:rsidRDefault="0046675E" w:rsidP="00AA01F5">
            <w:pPr>
              <w:pStyle w:val="Paralevel1"/>
              <w:numPr>
                <w:ilvl w:val="0"/>
                <w:numId w:val="0"/>
              </w:numPr>
            </w:pPr>
          </w:p>
        </w:tc>
        <w:tc>
          <w:tcPr>
            <w:tcW w:w="0" w:type="auto"/>
          </w:tcPr>
          <w:p w:rsidR="0046675E" w:rsidRPr="00943F5F" w:rsidRDefault="0046675E" w:rsidP="00B04B98">
            <w:pPr>
              <w:pStyle w:val="Paralevel1"/>
              <w:numPr>
                <w:ilvl w:val="0"/>
                <w:numId w:val="0"/>
              </w:numPr>
            </w:pPr>
          </w:p>
        </w:tc>
      </w:tr>
      <w:tr w:rsidR="0046675E" w:rsidTr="00DD7089">
        <w:tc>
          <w:tcPr>
            <w:tcW w:w="4110" w:type="dxa"/>
            <w:shd w:val="clear" w:color="auto" w:fill="auto"/>
          </w:tcPr>
          <w:p w:rsidR="0046675E" w:rsidRPr="00E91989" w:rsidRDefault="0046675E" w:rsidP="004756B6">
            <w:pPr>
              <w:pStyle w:val="Paralevel1"/>
              <w:numPr>
                <w:ilvl w:val="0"/>
                <w:numId w:val="0"/>
              </w:numPr>
            </w:pPr>
            <w:r w:rsidRPr="00E91989">
              <w:t>Heptachlor</w:t>
            </w:r>
          </w:p>
        </w:tc>
        <w:tc>
          <w:tcPr>
            <w:tcW w:w="0" w:type="auto"/>
            <w:shd w:val="clear" w:color="auto" w:fill="auto"/>
          </w:tcPr>
          <w:p w:rsidR="0046675E" w:rsidRPr="00943F5F" w:rsidRDefault="0046675E" w:rsidP="007135DD">
            <w:pPr>
              <w:pStyle w:val="Paralevel1"/>
              <w:numPr>
                <w:ilvl w:val="0"/>
                <w:numId w:val="0"/>
              </w:numPr>
              <w:ind w:left="1247"/>
            </w:pPr>
          </w:p>
        </w:tc>
        <w:tc>
          <w:tcPr>
            <w:tcW w:w="0" w:type="auto"/>
            <w:shd w:val="clear" w:color="auto" w:fill="auto"/>
          </w:tcPr>
          <w:p w:rsidR="0046675E" w:rsidRPr="00943F5F" w:rsidRDefault="0046675E" w:rsidP="000271A7">
            <w:pPr>
              <w:pStyle w:val="Paralevel1"/>
              <w:numPr>
                <w:ilvl w:val="0"/>
                <w:numId w:val="0"/>
              </w:numPr>
            </w:pPr>
            <w:r>
              <w:t>x</w:t>
            </w:r>
          </w:p>
        </w:tc>
        <w:tc>
          <w:tcPr>
            <w:tcW w:w="0" w:type="auto"/>
            <w:shd w:val="clear" w:color="auto" w:fill="auto"/>
          </w:tcPr>
          <w:p w:rsidR="0046675E" w:rsidRPr="00943F5F" w:rsidRDefault="0046675E" w:rsidP="000271A7">
            <w:pPr>
              <w:pStyle w:val="Paralevel1"/>
              <w:numPr>
                <w:ilvl w:val="0"/>
                <w:numId w:val="0"/>
              </w:numPr>
            </w:pPr>
          </w:p>
        </w:tc>
        <w:tc>
          <w:tcPr>
            <w:tcW w:w="0" w:type="auto"/>
            <w:shd w:val="clear" w:color="auto" w:fill="auto"/>
          </w:tcPr>
          <w:p w:rsidR="0046675E" w:rsidRPr="00943F5F" w:rsidRDefault="0046675E" w:rsidP="002416CE">
            <w:pPr>
              <w:pStyle w:val="Paralevel1"/>
              <w:numPr>
                <w:ilvl w:val="0"/>
                <w:numId w:val="0"/>
              </w:numPr>
            </w:pPr>
          </w:p>
        </w:tc>
        <w:tc>
          <w:tcPr>
            <w:tcW w:w="0" w:type="auto"/>
          </w:tcPr>
          <w:p w:rsidR="0046675E" w:rsidRPr="00943F5F" w:rsidRDefault="0046675E" w:rsidP="00BF108E">
            <w:pPr>
              <w:pStyle w:val="Paralevel1"/>
              <w:numPr>
                <w:ilvl w:val="0"/>
                <w:numId w:val="0"/>
              </w:numPr>
              <w:ind w:left="1247"/>
            </w:pPr>
          </w:p>
        </w:tc>
        <w:tc>
          <w:tcPr>
            <w:tcW w:w="0" w:type="auto"/>
          </w:tcPr>
          <w:p w:rsidR="0046675E" w:rsidRPr="00943F5F" w:rsidRDefault="0046675E" w:rsidP="00AA01F5">
            <w:pPr>
              <w:pStyle w:val="Paralevel1"/>
              <w:numPr>
                <w:ilvl w:val="0"/>
                <w:numId w:val="0"/>
              </w:numPr>
            </w:pPr>
          </w:p>
        </w:tc>
        <w:tc>
          <w:tcPr>
            <w:tcW w:w="0" w:type="auto"/>
          </w:tcPr>
          <w:p w:rsidR="0046675E" w:rsidRPr="00943F5F" w:rsidRDefault="0046675E" w:rsidP="00B04B98">
            <w:pPr>
              <w:pStyle w:val="Paralevel1"/>
              <w:numPr>
                <w:ilvl w:val="0"/>
                <w:numId w:val="0"/>
              </w:numPr>
            </w:pPr>
          </w:p>
        </w:tc>
      </w:tr>
      <w:tr w:rsidR="0046675E" w:rsidTr="00DD7089">
        <w:tc>
          <w:tcPr>
            <w:tcW w:w="4110" w:type="dxa"/>
            <w:shd w:val="clear" w:color="auto" w:fill="auto"/>
          </w:tcPr>
          <w:p w:rsidR="0046675E" w:rsidRPr="00E91989" w:rsidRDefault="0046675E" w:rsidP="004756B6">
            <w:pPr>
              <w:pStyle w:val="Paralevel1"/>
              <w:numPr>
                <w:ilvl w:val="0"/>
                <w:numId w:val="0"/>
              </w:numPr>
            </w:pPr>
            <w:proofErr w:type="spellStart"/>
            <w:r w:rsidRPr="00E91989">
              <w:t>Hexabromobiphenyl</w:t>
            </w:r>
            <w:proofErr w:type="spellEnd"/>
            <w:r>
              <w:t xml:space="preserve"> (HBB)</w:t>
            </w:r>
          </w:p>
        </w:tc>
        <w:tc>
          <w:tcPr>
            <w:tcW w:w="0" w:type="auto"/>
            <w:shd w:val="clear" w:color="auto" w:fill="auto"/>
          </w:tcPr>
          <w:p w:rsidR="0046675E" w:rsidRPr="00943F5F" w:rsidRDefault="0046675E" w:rsidP="007135DD">
            <w:pPr>
              <w:pStyle w:val="Paralevel1"/>
              <w:numPr>
                <w:ilvl w:val="0"/>
                <w:numId w:val="0"/>
              </w:numPr>
            </w:pPr>
            <w:r>
              <w:t>x</w:t>
            </w:r>
          </w:p>
        </w:tc>
        <w:tc>
          <w:tcPr>
            <w:tcW w:w="0" w:type="auto"/>
            <w:shd w:val="clear" w:color="auto" w:fill="auto"/>
          </w:tcPr>
          <w:p w:rsidR="0046675E" w:rsidRPr="00943F5F" w:rsidRDefault="0046675E" w:rsidP="000271A7">
            <w:pPr>
              <w:pStyle w:val="Paralevel1"/>
              <w:numPr>
                <w:ilvl w:val="0"/>
                <w:numId w:val="0"/>
              </w:numPr>
              <w:ind w:left="1247"/>
            </w:pPr>
          </w:p>
        </w:tc>
        <w:tc>
          <w:tcPr>
            <w:tcW w:w="0" w:type="auto"/>
            <w:shd w:val="clear" w:color="auto" w:fill="auto"/>
          </w:tcPr>
          <w:p w:rsidR="0046675E" w:rsidRPr="00943F5F" w:rsidRDefault="0046675E" w:rsidP="000271A7">
            <w:pPr>
              <w:pStyle w:val="Paralevel1"/>
              <w:numPr>
                <w:ilvl w:val="0"/>
                <w:numId w:val="0"/>
              </w:numPr>
            </w:pPr>
          </w:p>
        </w:tc>
        <w:tc>
          <w:tcPr>
            <w:tcW w:w="0" w:type="auto"/>
            <w:shd w:val="clear" w:color="auto" w:fill="auto"/>
          </w:tcPr>
          <w:p w:rsidR="0046675E" w:rsidRPr="00943F5F" w:rsidRDefault="0046675E" w:rsidP="002416CE">
            <w:pPr>
              <w:pStyle w:val="Paralevel1"/>
              <w:numPr>
                <w:ilvl w:val="0"/>
                <w:numId w:val="0"/>
              </w:numPr>
            </w:pPr>
          </w:p>
        </w:tc>
        <w:tc>
          <w:tcPr>
            <w:tcW w:w="0" w:type="auto"/>
          </w:tcPr>
          <w:p w:rsidR="0046675E" w:rsidRPr="00943F5F" w:rsidRDefault="0046675E" w:rsidP="00BF108E">
            <w:pPr>
              <w:pStyle w:val="Paralevel1"/>
              <w:numPr>
                <w:ilvl w:val="0"/>
                <w:numId w:val="0"/>
              </w:numPr>
              <w:ind w:left="1247"/>
            </w:pPr>
          </w:p>
        </w:tc>
        <w:tc>
          <w:tcPr>
            <w:tcW w:w="0" w:type="auto"/>
          </w:tcPr>
          <w:p w:rsidR="0046675E" w:rsidRPr="00943F5F" w:rsidRDefault="0046675E" w:rsidP="00AA01F5">
            <w:pPr>
              <w:pStyle w:val="Paralevel1"/>
              <w:numPr>
                <w:ilvl w:val="0"/>
                <w:numId w:val="0"/>
              </w:numPr>
            </w:pPr>
          </w:p>
        </w:tc>
        <w:tc>
          <w:tcPr>
            <w:tcW w:w="0" w:type="auto"/>
          </w:tcPr>
          <w:p w:rsidR="0046675E" w:rsidRPr="00943F5F" w:rsidRDefault="0046675E" w:rsidP="00B04B98">
            <w:pPr>
              <w:pStyle w:val="Paralevel1"/>
              <w:numPr>
                <w:ilvl w:val="0"/>
                <w:numId w:val="0"/>
              </w:numPr>
            </w:pPr>
          </w:p>
        </w:tc>
      </w:tr>
      <w:tr w:rsidR="0046675E" w:rsidTr="00DD7089">
        <w:tc>
          <w:tcPr>
            <w:tcW w:w="4110" w:type="dxa"/>
            <w:shd w:val="clear" w:color="auto" w:fill="auto"/>
          </w:tcPr>
          <w:p w:rsidR="0046675E" w:rsidRPr="00E91989" w:rsidRDefault="0046675E" w:rsidP="004756B6">
            <w:pPr>
              <w:pStyle w:val="Paralevel1"/>
              <w:numPr>
                <w:ilvl w:val="0"/>
                <w:numId w:val="0"/>
              </w:numPr>
            </w:pPr>
            <w:proofErr w:type="spellStart"/>
            <w:r w:rsidRPr="00E91989">
              <w:t>Hexabromodiphenyl</w:t>
            </w:r>
            <w:proofErr w:type="spellEnd"/>
            <w:r w:rsidRPr="00E91989">
              <w:t xml:space="preserve"> ether</w:t>
            </w:r>
            <w:r>
              <w:t xml:space="preserve"> (</w:t>
            </w:r>
            <w:proofErr w:type="spellStart"/>
            <w:r>
              <w:t>hexaBDE</w:t>
            </w:r>
            <w:proofErr w:type="spellEnd"/>
            <w:r>
              <w:t>)</w:t>
            </w:r>
            <w:r w:rsidRPr="00E91989">
              <w:t xml:space="preserve"> and </w:t>
            </w:r>
            <w:proofErr w:type="spellStart"/>
            <w:r w:rsidRPr="00E91989">
              <w:t>heptabromodiphenyl</w:t>
            </w:r>
            <w:proofErr w:type="spellEnd"/>
            <w:r w:rsidRPr="00E91989">
              <w:t xml:space="preserve"> ether</w:t>
            </w:r>
            <w:r>
              <w:t xml:space="preserve"> (</w:t>
            </w:r>
            <w:proofErr w:type="spellStart"/>
            <w:r>
              <w:t>heptaBDE</w:t>
            </w:r>
            <w:proofErr w:type="spellEnd"/>
            <w:r>
              <w:t>)</w:t>
            </w:r>
          </w:p>
        </w:tc>
        <w:tc>
          <w:tcPr>
            <w:tcW w:w="0" w:type="auto"/>
            <w:shd w:val="clear" w:color="auto" w:fill="auto"/>
          </w:tcPr>
          <w:p w:rsidR="0046675E" w:rsidRPr="00943F5F" w:rsidRDefault="0046675E" w:rsidP="007135DD">
            <w:pPr>
              <w:pStyle w:val="Paralevel1"/>
              <w:numPr>
                <w:ilvl w:val="0"/>
                <w:numId w:val="0"/>
              </w:numPr>
              <w:ind w:left="1247"/>
            </w:pPr>
          </w:p>
        </w:tc>
        <w:tc>
          <w:tcPr>
            <w:tcW w:w="0" w:type="auto"/>
            <w:shd w:val="clear" w:color="auto" w:fill="auto"/>
          </w:tcPr>
          <w:p w:rsidR="0046675E" w:rsidRPr="00943F5F" w:rsidRDefault="0046675E" w:rsidP="000271A7">
            <w:pPr>
              <w:pStyle w:val="Paralevel1"/>
              <w:numPr>
                <w:ilvl w:val="0"/>
                <w:numId w:val="0"/>
              </w:numPr>
              <w:ind w:left="1247"/>
            </w:pPr>
          </w:p>
        </w:tc>
        <w:tc>
          <w:tcPr>
            <w:tcW w:w="0" w:type="auto"/>
            <w:shd w:val="clear" w:color="auto" w:fill="auto"/>
          </w:tcPr>
          <w:p w:rsidR="0046675E" w:rsidRPr="00943F5F" w:rsidRDefault="0046675E" w:rsidP="000271A7">
            <w:pPr>
              <w:pStyle w:val="Paralevel1"/>
              <w:numPr>
                <w:ilvl w:val="0"/>
                <w:numId w:val="0"/>
              </w:numPr>
            </w:pPr>
          </w:p>
        </w:tc>
        <w:tc>
          <w:tcPr>
            <w:tcW w:w="0" w:type="auto"/>
            <w:shd w:val="clear" w:color="auto" w:fill="auto"/>
          </w:tcPr>
          <w:p w:rsidR="0046675E" w:rsidRPr="00943F5F" w:rsidRDefault="0046675E" w:rsidP="002416CE">
            <w:pPr>
              <w:pStyle w:val="Paralevel1"/>
              <w:numPr>
                <w:ilvl w:val="0"/>
                <w:numId w:val="0"/>
              </w:numPr>
            </w:pPr>
          </w:p>
        </w:tc>
        <w:tc>
          <w:tcPr>
            <w:tcW w:w="0" w:type="auto"/>
          </w:tcPr>
          <w:p w:rsidR="0046675E" w:rsidRPr="00943F5F" w:rsidRDefault="0046675E" w:rsidP="00BF108E">
            <w:pPr>
              <w:pStyle w:val="Paralevel1"/>
              <w:numPr>
                <w:ilvl w:val="0"/>
                <w:numId w:val="0"/>
              </w:numPr>
            </w:pPr>
            <w:r>
              <w:t>x</w:t>
            </w:r>
          </w:p>
        </w:tc>
        <w:tc>
          <w:tcPr>
            <w:tcW w:w="0" w:type="auto"/>
          </w:tcPr>
          <w:p w:rsidR="0046675E" w:rsidRPr="00943F5F" w:rsidRDefault="0046675E" w:rsidP="00AA01F5">
            <w:pPr>
              <w:pStyle w:val="Paralevel1"/>
              <w:numPr>
                <w:ilvl w:val="0"/>
                <w:numId w:val="0"/>
              </w:numPr>
            </w:pPr>
          </w:p>
        </w:tc>
        <w:tc>
          <w:tcPr>
            <w:tcW w:w="0" w:type="auto"/>
          </w:tcPr>
          <w:p w:rsidR="0046675E" w:rsidRPr="00943F5F" w:rsidRDefault="0046675E" w:rsidP="00B04B98">
            <w:pPr>
              <w:pStyle w:val="Paralevel1"/>
              <w:numPr>
                <w:ilvl w:val="0"/>
                <w:numId w:val="0"/>
              </w:numPr>
            </w:pPr>
          </w:p>
        </w:tc>
      </w:tr>
      <w:tr w:rsidR="0046675E" w:rsidTr="00DD7089">
        <w:tc>
          <w:tcPr>
            <w:tcW w:w="4110" w:type="dxa"/>
            <w:shd w:val="clear" w:color="auto" w:fill="auto"/>
          </w:tcPr>
          <w:p w:rsidR="0046675E" w:rsidRPr="00E91989" w:rsidRDefault="0046675E" w:rsidP="004756B6">
            <w:pPr>
              <w:pStyle w:val="Paralevel1"/>
              <w:numPr>
                <w:ilvl w:val="0"/>
                <w:numId w:val="0"/>
              </w:numPr>
            </w:pPr>
            <w:proofErr w:type="spellStart"/>
            <w:r w:rsidRPr="00E91989">
              <w:t>Hexabromocyclododecane</w:t>
            </w:r>
            <w:proofErr w:type="spellEnd"/>
            <w:r>
              <w:t xml:space="preserve"> (HBCD)</w:t>
            </w:r>
          </w:p>
        </w:tc>
        <w:tc>
          <w:tcPr>
            <w:tcW w:w="0" w:type="auto"/>
            <w:shd w:val="clear" w:color="auto" w:fill="auto"/>
          </w:tcPr>
          <w:p w:rsidR="0046675E" w:rsidRPr="00943F5F" w:rsidRDefault="0046675E" w:rsidP="007135DD">
            <w:pPr>
              <w:pStyle w:val="Paralevel1"/>
              <w:numPr>
                <w:ilvl w:val="0"/>
                <w:numId w:val="0"/>
              </w:numPr>
              <w:ind w:left="1247"/>
            </w:pPr>
          </w:p>
        </w:tc>
        <w:tc>
          <w:tcPr>
            <w:tcW w:w="0" w:type="auto"/>
            <w:shd w:val="clear" w:color="auto" w:fill="auto"/>
          </w:tcPr>
          <w:p w:rsidR="0046675E" w:rsidRPr="00943F5F" w:rsidRDefault="0046675E" w:rsidP="000271A7">
            <w:pPr>
              <w:pStyle w:val="Paralevel1"/>
              <w:numPr>
                <w:ilvl w:val="0"/>
                <w:numId w:val="0"/>
              </w:numPr>
              <w:ind w:left="1247"/>
            </w:pPr>
          </w:p>
        </w:tc>
        <w:tc>
          <w:tcPr>
            <w:tcW w:w="0" w:type="auto"/>
            <w:shd w:val="clear" w:color="auto" w:fill="auto"/>
          </w:tcPr>
          <w:p w:rsidR="0046675E" w:rsidRPr="00943F5F" w:rsidRDefault="0046675E" w:rsidP="000271A7">
            <w:pPr>
              <w:pStyle w:val="Paralevel1"/>
              <w:numPr>
                <w:ilvl w:val="0"/>
                <w:numId w:val="0"/>
              </w:numPr>
            </w:pPr>
          </w:p>
        </w:tc>
        <w:tc>
          <w:tcPr>
            <w:tcW w:w="0" w:type="auto"/>
            <w:shd w:val="clear" w:color="auto" w:fill="auto"/>
          </w:tcPr>
          <w:p w:rsidR="0046675E" w:rsidRPr="00943F5F" w:rsidRDefault="0046675E" w:rsidP="002416CE">
            <w:pPr>
              <w:pStyle w:val="Paralevel1"/>
              <w:numPr>
                <w:ilvl w:val="0"/>
                <w:numId w:val="0"/>
              </w:numPr>
            </w:pPr>
          </w:p>
        </w:tc>
        <w:tc>
          <w:tcPr>
            <w:tcW w:w="0" w:type="auto"/>
          </w:tcPr>
          <w:p w:rsidR="0046675E" w:rsidRPr="00943F5F" w:rsidRDefault="0046675E" w:rsidP="00BF108E">
            <w:pPr>
              <w:pStyle w:val="Paralevel1"/>
              <w:numPr>
                <w:ilvl w:val="0"/>
                <w:numId w:val="0"/>
              </w:numPr>
            </w:pPr>
          </w:p>
        </w:tc>
        <w:tc>
          <w:tcPr>
            <w:tcW w:w="0" w:type="auto"/>
          </w:tcPr>
          <w:p w:rsidR="0046675E" w:rsidRPr="00943F5F" w:rsidRDefault="0046675E" w:rsidP="00AA01F5">
            <w:pPr>
              <w:pStyle w:val="Paralevel1"/>
              <w:numPr>
                <w:ilvl w:val="0"/>
                <w:numId w:val="0"/>
              </w:numPr>
            </w:pPr>
            <w:r>
              <w:t>x</w:t>
            </w:r>
          </w:p>
        </w:tc>
        <w:tc>
          <w:tcPr>
            <w:tcW w:w="0" w:type="auto"/>
          </w:tcPr>
          <w:p w:rsidR="0046675E" w:rsidRPr="00943F5F" w:rsidRDefault="0046675E" w:rsidP="00B04B98">
            <w:pPr>
              <w:pStyle w:val="Paralevel1"/>
              <w:numPr>
                <w:ilvl w:val="0"/>
                <w:numId w:val="0"/>
              </w:numPr>
            </w:pPr>
          </w:p>
        </w:tc>
      </w:tr>
      <w:tr w:rsidR="0046675E" w:rsidTr="00DD7089">
        <w:tc>
          <w:tcPr>
            <w:tcW w:w="4110" w:type="dxa"/>
            <w:shd w:val="clear" w:color="auto" w:fill="auto"/>
          </w:tcPr>
          <w:p w:rsidR="0046675E" w:rsidRPr="00E91989" w:rsidRDefault="0046675E" w:rsidP="004756B6">
            <w:pPr>
              <w:pStyle w:val="Paralevel1"/>
              <w:numPr>
                <w:ilvl w:val="0"/>
                <w:numId w:val="0"/>
              </w:numPr>
            </w:pPr>
            <w:proofErr w:type="spellStart"/>
            <w:r w:rsidRPr="00E91989">
              <w:t>Hexachlorobenzene</w:t>
            </w:r>
            <w:proofErr w:type="spellEnd"/>
            <w:r>
              <w:t xml:space="preserve"> (HCB)</w:t>
            </w:r>
          </w:p>
        </w:tc>
        <w:tc>
          <w:tcPr>
            <w:tcW w:w="0" w:type="auto"/>
            <w:shd w:val="clear" w:color="auto" w:fill="auto"/>
          </w:tcPr>
          <w:p w:rsidR="0046675E" w:rsidRPr="00943F5F" w:rsidRDefault="0046675E" w:rsidP="007135DD">
            <w:pPr>
              <w:pStyle w:val="Paralevel1"/>
              <w:numPr>
                <w:ilvl w:val="0"/>
                <w:numId w:val="0"/>
              </w:numPr>
              <w:ind w:left="1247"/>
            </w:pPr>
          </w:p>
        </w:tc>
        <w:tc>
          <w:tcPr>
            <w:tcW w:w="0" w:type="auto"/>
            <w:shd w:val="clear" w:color="auto" w:fill="auto"/>
          </w:tcPr>
          <w:p w:rsidR="0046675E" w:rsidRPr="00943F5F" w:rsidRDefault="0046675E" w:rsidP="000271A7">
            <w:pPr>
              <w:pStyle w:val="Paralevel1"/>
              <w:numPr>
                <w:ilvl w:val="0"/>
                <w:numId w:val="0"/>
              </w:numPr>
            </w:pPr>
            <w:r>
              <w:t>x</w:t>
            </w:r>
          </w:p>
        </w:tc>
        <w:tc>
          <w:tcPr>
            <w:tcW w:w="0" w:type="auto"/>
            <w:shd w:val="clear" w:color="auto" w:fill="auto"/>
          </w:tcPr>
          <w:p w:rsidR="0046675E" w:rsidRPr="00943F5F" w:rsidRDefault="0046675E" w:rsidP="000271A7">
            <w:pPr>
              <w:pStyle w:val="Paralevel1"/>
              <w:numPr>
                <w:ilvl w:val="0"/>
                <w:numId w:val="0"/>
              </w:numPr>
            </w:pPr>
          </w:p>
        </w:tc>
        <w:tc>
          <w:tcPr>
            <w:tcW w:w="0" w:type="auto"/>
            <w:shd w:val="clear" w:color="auto" w:fill="auto"/>
          </w:tcPr>
          <w:p w:rsidR="0046675E" w:rsidRPr="00943F5F" w:rsidRDefault="0046675E" w:rsidP="002416CE">
            <w:pPr>
              <w:pStyle w:val="Paralevel1"/>
              <w:numPr>
                <w:ilvl w:val="0"/>
                <w:numId w:val="0"/>
              </w:numPr>
            </w:pPr>
            <w:r>
              <w:t>x</w:t>
            </w:r>
          </w:p>
        </w:tc>
        <w:tc>
          <w:tcPr>
            <w:tcW w:w="0" w:type="auto"/>
          </w:tcPr>
          <w:p w:rsidR="0046675E" w:rsidRPr="00943F5F" w:rsidRDefault="0046675E" w:rsidP="00BF108E">
            <w:pPr>
              <w:pStyle w:val="Paralevel1"/>
              <w:numPr>
                <w:ilvl w:val="0"/>
                <w:numId w:val="0"/>
              </w:numPr>
            </w:pPr>
          </w:p>
        </w:tc>
        <w:tc>
          <w:tcPr>
            <w:tcW w:w="0" w:type="auto"/>
          </w:tcPr>
          <w:p w:rsidR="0046675E" w:rsidRPr="00943F5F" w:rsidRDefault="0046675E" w:rsidP="00AA01F5">
            <w:pPr>
              <w:pStyle w:val="Paralevel1"/>
              <w:numPr>
                <w:ilvl w:val="0"/>
                <w:numId w:val="0"/>
              </w:numPr>
            </w:pPr>
          </w:p>
        </w:tc>
        <w:tc>
          <w:tcPr>
            <w:tcW w:w="0" w:type="auto"/>
          </w:tcPr>
          <w:p w:rsidR="0046675E" w:rsidRPr="00943F5F" w:rsidRDefault="0046675E" w:rsidP="00B04B98">
            <w:pPr>
              <w:pStyle w:val="Paralevel1"/>
              <w:numPr>
                <w:ilvl w:val="0"/>
                <w:numId w:val="0"/>
              </w:numPr>
            </w:pPr>
          </w:p>
        </w:tc>
      </w:tr>
      <w:tr w:rsidR="0046675E" w:rsidTr="00DD7089">
        <w:tc>
          <w:tcPr>
            <w:tcW w:w="4110" w:type="dxa"/>
            <w:shd w:val="clear" w:color="auto" w:fill="auto"/>
          </w:tcPr>
          <w:p w:rsidR="0046675E" w:rsidRPr="00E91989" w:rsidRDefault="0046675E" w:rsidP="004756B6">
            <w:pPr>
              <w:pStyle w:val="Paralevel1"/>
              <w:numPr>
                <w:ilvl w:val="0"/>
                <w:numId w:val="0"/>
              </w:numPr>
            </w:pPr>
            <w:r w:rsidRPr="00E91989">
              <w:t xml:space="preserve">Alpha </w:t>
            </w:r>
            <w:proofErr w:type="spellStart"/>
            <w:r w:rsidRPr="00E91989">
              <w:t>hexachlorocyclohexane</w:t>
            </w:r>
            <w:proofErr w:type="spellEnd"/>
            <w:r>
              <w:t xml:space="preserve"> (alpha-HCH)</w:t>
            </w:r>
          </w:p>
        </w:tc>
        <w:tc>
          <w:tcPr>
            <w:tcW w:w="0" w:type="auto"/>
            <w:shd w:val="clear" w:color="auto" w:fill="auto"/>
          </w:tcPr>
          <w:p w:rsidR="0046675E" w:rsidRPr="00943F5F" w:rsidRDefault="0046675E" w:rsidP="007135DD">
            <w:pPr>
              <w:pStyle w:val="Paralevel1"/>
              <w:numPr>
                <w:ilvl w:val="0"/>
                <w:numId w:val="0"/>
              </w:numPr>
              <w:ind w:left="1247"/>
            </w:pPr>
          </w:p>
        </w:tc>
        <w:tc>
          <w:tcPr>
            <w:tcW w:w="0" w:type="auto"/>
            <w:shd w:val="clear" w:color="auto" w:fill="auto"/>
          </w:tcPr>
          <w:p w:rsidR="0046675E" w:rsidRPr="00943F5F" w:rsidRDefault="0046675E" w:rsidP="000271A7">
            <w:pPr>
              <w:pStyle w:val="Paralevel1"/>
              <w:numPr>
                <w:ilvl w:val="0"/>
                <w:numId w:val="0"/>
              </w:numPr>
            </w:pPr>
            <w:r>
              <w:t>x</w:t>
            </w:r>
          </w:p>
        </w:tc>
        <w:tc>
          <w:tcPr>
            <w:tcW w:w="0" w:type="auto"/>
            <w:shd w:val="clear" w:color="auto" w:fill="auto"/>
          </w:tcPr>
          <w:p w:rsidR="0046675E" w:rsidRPr="00943F5F" w:rsidRDefault="0046675E" w:rsidP="000271A7">
            <w:pPr>
              <w:pStyle w:val="Paralevel1"/>
              <w:numPr>
                <w:ilvl w:val="0"/>
                <w:numId w:val="0"/>
              </w:numPr>
            </w:pPr>
          </w:p>
        </w:tc>
        <w:tc>
          <w:tcPr>
            <w:tcW w:w="0" w:type="auto"/>
            <w:shd w:val="clear" w:color="auto" w:fill="auto"/>
          </w:tcPr>
          <w:p w:rsidR="0046675E" w:rsidRPr="00943F5F" w:rsidRDefault="0046675E" w:rsidP="002416CE">
            <w:pPr>
              <w:pStyle w:val="Paralevel1"/>
              <w:numPr>
                <w:ilvl w:val="0"/>
                <w:numId w:val="0"/>
              </w:numPr>
            </w:pPr>
          </w:p>
        </w:tc>
        <w:tc>
          <w:tcPr>
            <w:tcW w:w="0" w:type="auto"/>
          </w:tcPr>
          <w:p w:rsidR="0046675E" w:rsidRPr="00943F5F" w:rsidRDefault="0046675E" w:rsidP="00BF108E">
            <w:pPr>
              <w:pStyle w:val="Paralevel1"/>
              <w:numPr>
                <w:ilvl w:val="0"/>
                <w:numId w:val="0"/>
              </w:numPr>
            </w:pPr>
          </w:p>
        </w:tc>
        <w:tc>
          <w:tcPr>
            <w:tcW w:w="0" w:type="auto"/>
          </w:tcPr>
          <w:p w:rsidR="0046675E" w:rsidRPr="00943F5F" w:rsidRDefault="0046675E" w:rsidP="00AA01F5">
            <w:pPr>
              <w:pStyle w:val="Paralevel1"/>
              <w:numPr>
                <w:ilvl w:val="0"/>
                <w:numId w:val="0"/>
              </w:numPr>
            </w:pPr>
          </w:p>
        </w:tc>
        <w:tc>
          <w:tcPr>
            <w:tcW w:w="0" w:type="auto"/>
          </w:tcPr>
          <w:p w:rsidR="0046675E" w:rsidRPr="00943F5F" w:rsidRDefault="0046675E" w:rsidP="00B04B98">
            <w:pPr>
              <w:pStyle w:val="Paralevel1"/>
              <w:numPr>
                <w:ilvl w:val="0"/>
                <w:numId w:val="0"/>
              </w:numPr>
            </w:pPr>
          </w:p>
        </w:tc>
      </w:tr>
      <w:tr w:rsidR="0046675E" w:rsidTr="00DD7089">
        <w:tc>
          <w:tcPr>
            <w:tcW w:w="4110" w:type="dxa"/>
            <w:shd w:val="clear" w:color="auto" w:fill="auto"/>
          </w:tcPr>
          <w:p w:rsidR="0046675E" w:rsidRPr="00E91989" w:rsidRDefault="0046675E" w:rsidP="004756B6">
            <w:pPr>
              <w:pStyle w:val="Paralevel1"/>
              <w:numPr>
                <w:ilvl w:val="0"/>
                <w:numId w:val="0"/>
              </w:numPr>
            </w:pPr>
            <w:r w:rsidRPr="00E91989">
              <w:t xml:space="preserve">Beta </w:t>
            </w:r>
            <w:proofErr w:type="spellStart"/>
            <w:r w:rsidRPr="00E91989">
              <w:t>hexachlorocyclohexane</w:t>
            </w:r>
            <w:proofErr w:type="spellEnd"/>
            <w:r>
              <w:t xml:space="preserve"> (beta-HCH)</w:t>
            </w:r>
          </w:p>
        </w:tc>
        <w:tc>
          <w:tcPr>
            <w:tcW w:w="0" w:type="auto"/>
            <w:shd w:val="clear" w:color="auto" w:fill="auto"/>
          </w:tcPr>
          <w:p w:rsidR="0046675E" w:rsidRPr="00943F5F" w:rsidRDefault="0046675E" w:rsidP="007135DD">
            <w:pPr>
              <w:pStyle w:val="Paralevel1"/>
              <w:numPr>
                <w:ilvl w:val="0"/>
                <w:numId w:val="0"/>
              </w:numPr>
              <w:ind w:left="1247"/>
            </w:pPr>
          </w:p>
        </w:tc>
        <w:tc>
          <w:tcPr>
            <w:tcW w:w="0" w:type="auto"/>
            <w:shd w:val="clear" w:color="auto" w:fill="auto"/>
          </w:tcPr>
          <w:p w:rsidR="0046675E" w:rsidRPr="00943F5F" w:rsidRDefault="0046675E" w:rsidP="000271A7">
            <w:pPr>
              <w:pStyle w:val="Paralevel1"/>
              <w:numPr>
                <w:ilvl w:val="0"/>
                <w:numId w:val="0"/>
              </w:numPr>
            </w:pPr>
            <w:r>
              <w:t>x</w:t>
            </w:r>
          </w:p>
        </w:tc>
        <w:tc>
          <w:tcPr>
            <w:tcW w:w="0" w:type="auto"/>
            <w:shd w:val="clear" w:color="auto" w:fill="auto"/>
          </w:tcPr>
          <w:p w:rsidR="0046675E" w:rsidRPr="00943F5F" w:rsidRDefault="0046675E" w:rsidP="000271A7">
            <w:pPr>
              <w:pStyle w:val="Paralevel1"/>
              <w:numPr>
                <w:ilvl w:val="0"/>
                <w:numId w:val="0"/>
              </w:numPr>
            </w:pPr>
          </w:p>
        </w:tc>
        <w:tc>
          <w:tcPr>
            <w:tcW w:w="0" w:type="auto"/>
            <w:shd w:val="clear" w:color="auto" w:fill="auto"/>
          </w:tcPr>
          <w:p w:rsidR="0046675E" w:rsidRPr="00943F5F" w:rsidRDefault="0046675E" w:rsidP="002416CE">
            <w:pPr>
              <w:pStyle w:val="Paralevel1"/>
              <w:numPr>
                <w:ilvl w:val="0"/>
                <w:numId w:val="0"/>
              </w:numPr>
            </w:pPr>
          </w:p>
        </w:tc>
        <w:tc>
          <w:tcPr>
            <w:tcW w:w="0" w:type="auto"/>
          </w:tcPr>
          <w:p w:rsidR="0046675E" w:rsidRPr="00943F5F" w:rsidRDefault="0046675E" w:rsidP="00BF108E">
            <w:pPr>
              <w:pStyle w:val="Paralevel1"/>
              <w:numPr>
                <w:ilvl w:val="0"/>
                <w:numId w:val="0"/>
              </w:numPr>
            </w:pPr>
          </w:p>
        </w:tc>
        <w:tc>
          <w:tcPr>
            <w:tcW w:w="0" w:type="auto"/>
          </w:tcPr>
          <w:p w:rsidR="0046675E" w:rsidRPr="00943F5F" w:rsidRDefault="0046675E" w:rsidP="00AA01F5">
            <w:pPr>
              <w:pStyle w:val="Paralevel1"/>
              <w:numPr>
                <w:ilvl w:val="0"/>
                <w:numId w:val="0"/>
              </w:numPr>
            </w:pPr>
          </w:p>
        </w:tc>
        <w:tc>
          <w:tcPr>
            <w:tcW w:w="0" w:type="auto"/>
          </w:tcPr>
          <w:p w:rsidR="0046675E" w:rsidRPr="00943F5F" w:rsidRDefault="0046675E" w:rsidP="00B04B98">
            <w:pPr>
              <w:pStyle w:val="Paralevel1"/>
              <w:numPr>
                <w:ilvl w:val="0"/>
                <w:numId w:val="0"/>
              </w:numPr>
            </w:pPr>
          </w:p>
        </w:tc>
      </w:tr>
      <w:tr w:rsidR="0046675E" w:rsidTr="00DD7089">
        <w:tc>
          <w:tcPr>
            <w:tcW w:w="4110" w:type="dxa"/>
            <w:shd w:val="clear" w:color="auto" w:fill="auto"/>
          </w:tcPr>
          <w:p w:rsidR="0046675E" w:rsidRPr="00E91989" w:rsidRDefault="0046675E" w:rsidP="004756B6">
            <w:pPr>
              <w:pStyle w:val="Paralevel1"/>
              <w:numPr>
                <w:ilvl w:val="0"/>
                <w:numId w:val="0"/>
              </w:numPr>
            </w:pPr>
            <w:proofErr w:type="spellStart"/>
            <w:r w:rsidRPr="00E91989">
              <w:t>Lindane</w:t>
            </w:r>
            <w:proofErr w:type="spellEnd"/>
          </w:p>
        </w:tc>
        <w:tc>
          <w:tcPr>
            <w:tcW w:w="0" w:type="auto"/>
            <w:shd w:val="clear" w:color="auto" w:fill="auto"/>
          </w:tcPr>
          <w:p w:rsidR="0046675E" w:rsidRPr="00943F5F" w:rsidRDefault="0046675E" w:rsidP="007135DD">
            <w:pPr>
              <w:pStyle w:val="Paralevel1"/>
              <w:numPr>
                <w:ilvl w:val="0"/>
                <w:numId w:val="0"/>
              </w:numPr>
              <w:ind w:left="1247"/>
            </w:pPr>
          </w:p>
        </w:tc>
        <w:tc>
          <w:tcPr>
            <w:tcW w:w="0" w:type="auto"/>
            <w:shd w:val="clear" w:color="auto" w:fill="auto"/>
          </w:tcPr>
          <w:p w:rsidR="0046675E" w:rsidRPr="00943F5F" w:rsidRDefault="0046675E" w:rsidP="000271A7">
            <w:pPr>
              <w:pStyle w:val="Paralevel1"/>
              <w:numPr>
                <w:ilvl w:val="0"/>
                <w:numId w:val="0"/>
              </w:numPr>
            </w:pPr>
            <w:r>
              <w:t>x</w:t>
            </w:r>
          </w:p>
        </w:tc>
        <w:tc>
          <w:tcPr>
            <w:tcW w:w="0" w:type="auto"/>
            <w:shd w:val="clear" w:color="auto" w:fill="auto"/>
          </w:tcPr>
          <w:p w:rsidR="0046675E" w:rsidRPr="00943F5F" w:rsidRDefault="0046675E" w:rsidP="000271A7">
            <w:pPr>
              <w:pStyle w:val="Paralevel1"/>
              <w:numPr>
                <w:ilvl w:val="0"/>
                <w:numId w:val="0"/>
              </w:numPr>
            </w:pPr>
          </w:p>
        </w:tc>
        <w:tc>
          <w:tcPr>
            <w:tcW w:w="0" w:type="auto"/>
            <w:shd w:val="clear" w:color="auto" w:fill="auto"/>
          </w:tcPr>
          <w:p w:rsidR="0046675E" w:rsidRPr="00943F5F" w:rsidRDefault="0046675E" w:rsidP="002416CE">
            <w:pPr>
              <w:pStyle w:val="Paralevel1"/>
              <w:numPr>
                <w:ilvl w:val="0"/>
                <w:numId w:val="0"/>
              </w:numPr>
            </w:pPr>
          </w:p>
        </w:tc>
        <w:tc>
          <w:tcPr>
            <w:tcW w:w="0" w:type="auto"/>
          </w:tcPr>
          <w:p w:rsidR="0046675E" w:rsidRPr="00943F5F" w:rsidRDefault="0046675E" w:rsidP="00BF108E">
            <w:pPr>
              <w:pStyle w:val="Paralevel1"/>
              <w:numPr>
                <w:ilvl w:val="0"/>
                <w:numId w:val="0"/>
              </w:numPr>
            </w:pPr>
          </w:p>
        </w:tc>
        <w:tc>
          <w:tcPr>
            <w:tcW w:w="0" w:type="auto"/>
          </w:tcPr>
          <w:p w:rsidR="0046675E" w:rsidRPr="00943F5F" w:rsidRDefault="0046675E" w:rsidP="00AA01F5">
            <w:pPr>
              <w:pStyle w:val="Paralevel1"/>
              <w:numPr>
                <w:ilvl w:val="0"/>
                <w:numId w:val="0"/>
              </w:numPr>
            </w:pPr>
          </w:p>
        </w:tc>
        <w:tc>
          <w:tcPr>
            <w:tcW w:w="0" w:type="auto"/>
          </w:tcPr>
          <w:p w:rsidR="0046675E" w:rsidRPr="00943F5F" w:rsidRDefault="0046675E" w:rsidP="00B04B98">
            <w:pPr>
              <w:pStyle w:val="Paralevel1"/>
              <w:numPr>
                <w:ilvl w:val="0"/>
                <w:numId w:val="0"/>
              </w:numPr>
            </w:pPr>
          </w:p>
        </w:tc>
      </w:tr>
      <w:tr w:rsidR="0046675E" w:rsidTr="00DD7089">
        <w:tc>
          <w:tcPr>
            <w:tcW w:w="4110" w:type="dxa"/>
            <w:shd w:val="clear" w:color="auto" w:fill="auto"/>
          </w:tcPr>
          <w:p w:rsidR="0046675E" w:rsidRPr="00E91989" w:rsidRDefault="0046675E" w:rsidP="004756B6">
            <w:pPr>
              <w:pStyle w:val="Paralevel1"/>
              <w:numPr>
                <w:ilvl w:val="0"/>
                <w:numId w:val="0"/>
              </w:numPr>
            </w:pPr>
            <w:proofErr w:type="spellStart"/>
            <w:r w:rsidRPr="00E91989">
              <w:t>Mirex</w:t>
            </w:r>
            <w:proofErr w:type="spellEnd"/>
          </w:p>
        </w:tc>
        <w:tc>
          <w:tcPr>
            <w:tcW w:w="0" w:type="auto"/>
            <w:shd w:val="clear" w:color="auto" w:fill="auto"/>
          </w:tcPr>
          <w:p w:rsidR="0046675E" w:rsidRPr="00943F5F" w:rsidRDefault="0046675E" w:rsidP="007135DD">
            <w:pPr>
              <w:pStyle w:val="Paralevel1"/>
              <w:numPr>
                <w:ilvl w:val="0"/>
                <w:numId w:val="0"/>
              </w:numPr>
              <w:ind w:left="1247"/>
            </w:pPr>
          </w:p>
        </w:tc>
        <w:tc>
          <w:tcPr>
            <w:tcW w:w="0" w:type="auto"/>
            <w:shd w:val="clear" w:color="auto" w:fill="auto"/>
          </w:tcPr>
          <w:p w:rsidR="0046675E" w:rsidRPr="00943F5F" w:rsidRDefault="0046675E" w:rsidP="000271A7">
            <w:pPr>
              <w:pStyle w:val="Paralevel1"/>
              <w:numPr>
                <w:ilvl w:val="0"/>
                <w:numId w:val="0"/>
              </w:numPr>
            </w:pPr>
            <w:r>
              <w:t>x</w:t>
            </w:r>
          </w:p>
        </w:tc>
        <w:tc>
          <w:tcPr>
            <w:tcW w:w="0" w:type="auto"/>
            <w:shd w:val="clear" w:color="auto" w:fill="auto"/>
          </w:tcPr>
          <w:p w:rsidR="0046675E" w:rsidRPr="00943F5F" w:rsidRDefault="0046675E" w:rsidP="000271A7">
            <w:pPr>
              <w:pStyle w:val="Paralevel1"/>
              <w:numPr>
                <w:ilvl w:val="0"/>
                <w:numId w:val="0"/>
              </w:numPr>
            </w:pPr>
          </w:p>
        </w:tc>
        <w:tc>
          <w:tcPr>
            <w:tcW w:w="0" w:type="auto"/>
            <w:shd w:val="clear" w:color="auto" w:fill="auto"/>
          </w:tcPr>
          <w:p w:rsidR="0046675E" w:rsidRPr="00943F5F" w:rsidRDefault="0046675E" w:rsidP="002416CE">
            <w:pPr>
              <w:pStyle w:val="Paralevel1"/>
              <w:numPr>
                <w:ilvl w:val="0"/>
                <w:numId w:val="0"/>
              </w:numPr>
            </w:pPr>
          </w:p>
        </w:tc>
        <w:tc>
          <w:tcPr>
            <w:tcW w:w="0" w:type="auto"/>
          </w:tcPr>
          <w:p w:rsidR="0046675E" w:rsidRPr="00943F5F" w:rsidRDefault="0046675E" w:rsidP="00BF108E">
            <w:pPr>
              <w:pStyle w:val="Paralevel1"/>
              <w:numPr>
                <w:ilvl w:val="0"/>
                <w:numId w:val="0"/>
              </w:numPr>
            </w:pPr>
          </w:p>
        </w:tc>
        <w:tc>
          <w:tcPr>
            <w:tcW w:w="0" w:type="auto"/>
          </w:tcPr>
          <w:p w:rsidR="0046675E" w:rsidRPr="00943F5F" w:rsidRDefault="0046675E" w:rsidP="00AA01F5">
            <w:pPr>
              <w:pStyle w:val="Paralevel1"/>
              <w:numPr>
                <w:ilvl w:val="0"/>
                <w:numId w:val="0"/>
              </w:numPr>
            </w:pPr>
          </w:p>
        </w:tc>
        <w:tc>
          <w:tcPr>
            <w:tcW w:w="0" w:type="auto"/>
          </w:tcPr>
          <w:p w:rsidR="0046675E" w:rsidRPr="00943F5F" w:rsidRDefault="0046675E" w:rsidP="00B04B98">
            <w:pPr>
              <w:pStyle w:val="Paralevel1"/>
              <w:numPr>
                <w:ilvl w:val="0"/>
                <w:numId w:val="0"/>
              </w:numPr>
            </w:pPr>
          </w:p>
        </w:tc>
      </w:tr>
      <w:tr w:rsidR="0046675E" w:rsidTr="00DD7089">
        <w:tc>
          <w:tcPr>
            <w:tcW w:w="4110" w:type="dxa"/>
            <w:shd w:val="clear" w:color="auto" w:fill="auto"/>
          </w:tcPr>
          <w:p w:rsidR="0046675E" w:rsidRPr="00E91989" w:rsidRDefault="0046675E" w:rsidP="004756B6">
            <w:pPr>
              <w:pStyle w:val="Paralevel1"/>
              <w:numPr>
                <w:ilvl w:val="0"/>
                <w:numId w:val="0"/>
              </w:numPr>
            </w:pPr>
            <w:proofErr w:type="spellStart"/>
            <w:r w:rsidRPr="00E91989">
              <w:t>Pentachlorobenzene</w:t>
            </w:r>
            <w:proofErr w:type="spellEnd"/>
            <w:r>
              <w:t xml:space="preserve"> (</w:t>
            </w:r>
            <w:proofErr w:type="spellStart"/>
            <w:r>
              <w:t>PeCB</w:t>
            </w:r>
            <w:proofErr w:type="spellEnd"/>
            <w:r>
              <w:t>)</w:t>
            </w:r>
          </w:p>
        </w:tc>
        <w:tc>
          <w:tcPr>
            <w:tcW w:w="0" w:type="auto"/>
            <w:shd w:val="clear" w:color="auto" w:fill="auto"/>
          </w:tcPr>
          <w:p w:rsidR="0046675E" w:rsidRPr="00943F5F" w:rsidRDefault="0046675E" w:rsidP="007135DD">
            <w:pPr>
              <w:pStyle w:val="Paralevel1"/>
              <w:numPr>
                <w:ilvl w:val="0"/>
                <w:numId w:val="0"/>
              </w:numPr>
              <w:ind w:left="1247"/>
            </w:pPr>
          </w:p>
        </w:tc>
        <w:tc>
          <w:tcPr>
            <w:tcW w:w="0" w:type="auto"/>
            <w:shd w:val="clear" w:color="auto" w:fill="auto"/>
          </w:tcPr>
          <w:p w:rsidR="0046675E" w:rsidRPr="00943F5F" w:rsidRDefault="0046675E" w:rsidP="000271A7">
            <w:pPr>
              <w:pStyle w:val="Paralevel1"/>
              <w:numPr>
                <w:ilvl w:val="0"/>
                <w:numId w:val="0"/>
              </w:numPr>
            </w:pPr>
            <w:r>
              <w:t>x</w:t>
            </w:r>
          </w:p>
        </w:tc>
        <w:tc>
          <w:tcPr>
            <w:tcW w:w="0" w:type="auto"/>
            <w:shd w:val="clear" w:color="auto" w:fill="auto"/>
          </w:tcPr>
          <w:p w:rsidR="0046675E" w:rsidRPr="00943F5F" w:rsidRDefault="0046675E" w:rsidP="000271A7">
            <w:pPr>
              <w:pStyle w:val="Paralevel1"/>
              <w:numPr>
                <w:ilvl w:val="0"/>
                <w:numId w:val="0"/>
              </w:numPr>
            </w:pPr>
          </w:p>
        </w:tc>
        <w:tc>
          <w:tcPr>
            <w:tcW w:w="0" w:type="auto"/>
            <w:shd w:val="clear" w:color="auto" w:fill="auto"/>
          </w:tcPr>
          <w:p w:rsidR="0046675E" w:rsidRPr="00943F5F" w:rsidRDefault="0046675E" w:rsidP="002416CE">
            <w:pPr>
              <w:pStyle w:val="Paralevel1"/>
              <w:numPr>
                <w:ilvl w:val="0"/>
                <w:numId w:val="0"/>
              </w:numPr>
            </w:pPr>
            <w:r>
              <w:t>x</w:t>
            </w:r>
          </w:p>
        </w:tc>
        <w:tc>
          <w:tcPr>
            <w:tcW w:w="0" w:type="auto"/>
          </w:tcPr>
          <w:p w:rsidR="0046675E" w:rsidRPr="00943F5F" w:rsidRDefault="0046675E" w:rsidP="00BF108E">
            <w:pPr>
              <w:pStyle w:val="Paralevel1"/>
              <w:numPr>
                <w:ilvl w:val="0"/>
                <w:numId w:val="0"/>
              </w:numPr>
            </w:pPr>
          </w:p>
        </w:tc>
        <w:tc>
          <w:tcPr>
            <w:tcW w:w="0" w:type="auto"/>
          </w:tcPr>
          <w:p w:rsidR="0046675E" w:rsidRPr="00943F5F" w:rsidRDefault="0046675E" w:rsidP="00AA01F5">
            <w:pPr>
              <w:pStyle w:val="Paralevel1"/>
              <w:numPr>
                <w:ilvl w:val="0"/>
                <w:numId w:val="0"/>
              </w:numPr>
            </w:pPr>
          </w:p>
        </w:tc>
        <w:tc>
          <w:tcPr>
            <w:tcW w:w="0" w:type="auto"/>
          </w:tcPr>
          <w:p w:rsidR="0046675E" w:rsidRPr="00943F5F" w:rsidRDefault="0046675E" w:rsidP="00B04B98">
            <w:pPr>
              <w:pStyle w:val="Paralevel1"/>
              <w:numPr>
                <w:ilvl w:val="0"/>
                <w:numId w:val="0"/>
              </w:numPr>
            </w:pPr>
          </w:p>
        </w:tc>
      </w:tr>
      <w:tr w:rsidR="0046675E" w:rsidTr="00DD7089">
        <w:tc>
          <w:tcPr>
            <w:tcW w:w="4110" w:type="dxa"/>
            <w:shd w:val="clear" w:color="auto" w:fill="auto"/>
          </w:tcPr>
          <w:p w:rsidR="0046675E" w:rsidRPr="00E91989" w:rsidRDefault="0046675E" w:rsidP="004756B6">
            <w:pPr>
              <w:pStyle w:val="Paralevel1"/>
              <w:numPr>
                <w:ilvl w:val="0"/>
                <w:numId w:val="0"/>
              </w:numPr>
            </w:pPr>
            <w:proofErr w:type="spellStart"/>
            <w:r w:rsidRPr="00E91989">
              <w:t>Perfluorooctane</w:t>
            </w:r>
            <w:proofErr w:type="spellEnd"/>
            <w:r w:rsidRPr="00E91989">
              <w:t xml:space="preserve"> </w:t>
            </w:r>
            <w:proofErr w:type="spellStart"/>
            <w:r w:rsidRPr="00E91989">
              <w:t>sulfonic</w:t>
            </w:r>
            <w:proofErr w:type="spellEnd"/>
            <w:r w:rsidRPr="00E91989">
              <w:t xml:space="preserve"> acid</w:t>
            </w:r>
            <w:r>
              <w:t xml:space="preserve"> (PFOS)</w:t>
            </w:r>
            <w:r w:rsidRPr="00E91989">
              <w:t xml:space="preserve">, its salts and </w:t>
            </w:r>
            <w:proofErr w:type="spellStart"/>
            <w:r w:rsidRPr="00E91989">
              <w:t>perfluorooctane</w:t>
            </w:r>
            <w:proofErr w:type="spellEnd"/>
            <w:r w:rsidRPr="00E91989">
              <w:t xml:space="preserve"> </w:t>
            </w:r>
            <w:proofErr w:type="spellStart"/>
            <w:r w:rsidRPr="00E91989">
              <w:t>sulfonyl</w:t>
            </w:r>
            <w:proofErr w:type="spellEnd"/>
            <w:r w:rsidRPr="00E91989">
              <w:t xml:space="preserve"> fluoride</w:t>
            </w:r>
            <w:r>
              <w:t xml:space="preserve"> (PFOSF)</w:t>
            </w:r>
          </w:p>
        </w:tc>
        <w:tc>
          <w:tcPr>
            <w:tcW w:w="0" w:type="auto"/>
            <w:shd w:val="clear" w:color="auto" w:fill="auto"/>
          </w:tcPr>
          <w:p w:rsidR="0046675E" w:rsidRPr="00943F5F" w:rsidRDefault="0046675E" w:rsidP="007135DD">
            <w:pPr>
              <w:pStyle w:val="Paralevel1"/>
              <w:numPr>
                <w:ilvl w:val="0"/>
                <w:numId w:val="0"/>
              </w:numPr>
              <w:ind w:left="1247"/>
            </w:pPr>
          </w:p>
        </w:tc>
        <w:tc>
          <w:tcPr>
            <w:tcW w:w="0" w:type="auto"/>
            <w:shd w:val="clear" w:color="auto" w:fill="auto"/>
          </w:tcPr>
          <w:p w:rsidR="0046675E" w:rsidRPr="00943F5F" w:rsidRDefault="0046675E" w:rsidP="000271A7">
            <w:pPr>
              <w:pStyle w:val="Paralevel1"/>
              <w:numPr>
                <w:ilvl w:val="0"/>
                <w:numId w:val="0"/>
              </w:numPr>
            </w:pPr>
            <w:r>
              <w:t>x</w:t>
            </w:r>
          </w:p>
        </w:tc>
        <w:tc>
          <w:tcPr>
            <w:tcW w:w="0" w:type="auto"/>
            <w:shd w:val="clear" w:color="auto" w:fill="auto"/>
          </w:tcPr>
          <w:p w:rsidR="0046675E" w:rsidRPr="00943F5F" w:rsidRDefault="0046675E" w:rsidP="000271A7">
            <w:pPr>
              <w:pStyle w:val="Paralevel1"/>
              <w:numPr>
                <w:ilvl w:val="0"/>
                <w:numId w:val="0"/>
              </w:numPr>
            </w:pPr>
          </w:p>
        </w:tc>
        <w:tc>
          <w:tcPr>
            <w:tcW w:w="0" w:type="auto"/>
            <w:shd w:val="clear" w:color="auto" w:fill="auto"/>
          </w:tcPr>
          <w:p w:rsidR="0046675E" w:rsidRPr="00943F5F" w:rsidRDefault="0046675E" w:rsidP="002416CE">
            <w:pPr>
              <w:pStyle w:val="Paralevel1"/>
              <w:numPr>
                <w:ilvl w:val="0"/>
                <w:numId w:val="0"/>
              </w:numPr>
            </w:pPr>
          </w:p>
        </w:tc>
        <w:tc>
          <w:tcPr>
            <w:tcW w:w="0" w:type="auto"/>
          </w:tcPr>
          <w:p w:rsidR="0046675E" w:rsidRPr="00943F5F" w:rsidRDefault="0046675E" w:rsidP="00BF108E">
            <w:pPr>
              <w:pStyle w:val="Paralevel1"/>
              <w:numPr>
                <w:ilvl w:val="0"/>
                <w:numId w:val="0"/>
              </w:numPr>
            </w:pPr>
          </w:p>
        </w:tc>
        <w:tc>
          <w:tcPr>
            <w:tcW w:w="0" w:type="auto"/>
          </w:tcPr>
          <w:p w:rsidR="0046675E" w:rsidRPr="00943F5F" w:rsidRDefault="0046675E" w:rsidP="00AA01F5">
            <w:pPr>
              <w:pStyle w:val="Paralevel1"/>
              <w:numPr>
                <w:ilvl w:val="0"/>
                <w:numId w:val="0"/>
              </w:numPr>
            </w:pPr>
          </w:p>
        </w:tc>
        <w:tc>
          <w:tcPr>
            <w:tcW w:w="0" w:type="auto"/>
          </w:tcPr>
          <w:p w:rsidR="0046675E" w:rsidRPr="00943F5F" w:rsidRDefault="0046675E" w:rsidP="00B04B98">
            <w:pPr>
              <w:pStyle w:val="Paralevel1"/>
              <w:numPr>
                <w:ilvl w:val="0"/>
                <w:numId w:val="0"/>
              </w:numPr>
            </w:pPr>
            <w:r>
              <w:t>x</w:t>
            </w:r>
          </w:p>
        </w:tc>
      </w:tr>
      <w:tr w:rsidR="0046675E" w:rsidTr="00DD7089">
        <w:tc>
          <w:tcPr>
            <w:tcW w:w="4110" w:type="dxa"/>
            <w:shd w:val="clear" w:color="auto" w:fill="auto"/>
          </w:tcPr>
          <w:p w:rsidR="0046675E" w:rsidRPr="00E91989" w:rsidRDefault="0046675E" w:rsidP="004756B6">
            <w:pPr>
              <w:pStyle w:val="Paralevel1"/>
              <w:numPr>
                <w:ilvl w:val="0"/>
                <w:numId w:val="0"/>
              </w:numPr>
            </w:pPr>
            <w:r w:rsidRPr="00E91989">
              <w:t>Polychlorinated biphenyls</w:t>
            </w:r>
            <w:r>
              <w:t xml:space="preserve"> (PCBs)</w:t>
            </w:r>
          </w:p>
        </w:tc>
        <w:tc>
          <w:tcPr>
            <w:tcW w:w="0" w:type="auto"/>
            <w:shd w:val="clear" w:color="auto" w:fill="auto"/>
          </w:tcPr>
          <w:p w:rsidR="0046675E" w:rsidRPr="00943F5F" w:rsidRDefault="0046675E" w:rsidP="007135DD">
            <w:pPr>
              <w:pStyle w:val="Paralevel1"/>
              <w:numPr>
                <w:ilvl w:val="0"/>
                <w:numId w:val="0"/>
              </w:numPr>
            </w:pPr>
            <w:r>
              <w:t>x</w:t>
            </w:r>
          </w:p>
        </w:tc>
        <w:tc>
          <w:tcPr>
            <w:tcW w:w="0" w:type="auto"/>
            <w:shd w:val="clear" w:color="auto" w:fill="auto"/>
          </w:tcPr>
          <w:p w:rsidR="0046675E" w:rsidRPr="00943F5F" w:rsidRDefault="0046675E" w:rsidP="000271A7">
            <w:pPr>
              <w:pStyle w:val="Paralevel1"/>
              <w:numPr>
                <w:ilvl w:val="0"/>
                <w:numId w:val="0"/>
              </w:numPr>
            </w:pPr>
          </w:p>
        </w:tc>
        <w:tc>
          <w:tcPr>
            <w:tcW w:w="0" w:type="auto"/>
            <w:shd w:val="clear" w:color="auto" w:fill="auto"/>
          </w:tcPr>
          <w:p w:rsidR="0046675E" w:rsidRPr="00943F5F" w:rsidRDefault="0046675E" w:rsidP="000271A7">
            <w:pPr>
              <w:pStyle w:val="Paralevel1"/>
              <w:numPr>
                <w:ilvl w:val="0"/>
                <w:numId w:val="0"/>
              </w:numPr>
            </w:pPr>
          </w:p>
        </w:tc>
        <w:tc>
          <w:tcPr>
            <w:tcW w:w="0" w:type="auto"/>
            <w:shd w:val="clear" w:color="auto" w:fill="auto"/>
          </w:tcPr>
          <w:p w:rsidR="0046675E" w:rsidRPr="00943F5F" w:rsidRDefault="0046675E" w:rsidP="002416CE">
            <w:pPr>
              <w:pStyle w:val="Paralevel1"/>
              <w:numPr>
                <w:ilvl w:val="0"/>
                <w:numId w:val="0"/>
              </w:numPr>
            </w:pPr>
            <w:r>
              <w:t>x</w:t>
            </w:r>
          </w:p>
        </w:tc>
        <w:tc>
          <w:tcPr>
            <w:tcW w:w="0" w:type="auto"/>
          </w:tcPr>
          <w:p w:rsidR="0046675E" w:rsidRPr="00943F5F" w:rsidRDefault="0046675E" w:rsidP="00BF108E">
            <w:pPr>
              <w:pStyle w:val="Paralevel1"/>
              <w:numPr>
                <w:ilvl w:val="0"/>
                <w:numId w:val="0"/>
              </w:numPr>
            </w:pPr>
          </w:p>
        </w:tc>
        <w:tc>
          <w:tcPr>
            <w:tcW w:w="0" w:type="auto"/>
          </w:tcPr>
          <w:p w:rsidR="0046675E" w:rsidRPr="00943F5F" w:rsidRDefault="0046675E" w:rsidP="00AA01F5">
            <w:pPr>
              <w:pStyle w:val="Paralevel1"/>
              <w:numPr>
                <w:ilvl w:val="0"/>
                <w:numId w:val="0"/>
              </w:numPr>
            </w:pPr>
          </w:p>
        </w:tc>
        <w:tc>
          <w:tcPr>
            <w:tcW w:w="0" w:type="auto"/>
            <w:shd w:val="clear" w:color="auto" w:fill="auto"/>
          </w:tcPr>
          <w:p w:rsidR="0046675E" w:rsidRDefault="0046675E" w:rsidP="00DD7089"/>
        </w:tc>
      </w:tr>
      <w:tr w:rsidR="0046675E" w:rsidTr="00DD7089">
        <w:tc>
          <w:tcPr>
            <w:tcW w:w="4110" w:type="dxa"/>
            <w:shd w:val="clear" w:color="auto" w:fill="auto"/>
          </w:tcPr>
          <w:p w:rsidR="0046675E" w:rsidRPr="00E91989" w:rsidRDefault="0046675E" w:rsidP="004756B6">
            <w:pPr>
              <w:pStyle w:val="Paralevel1"/>
              <w:numPr>
                <w:ilvl w:val="0"/>
                <w:numId w:val="0"/>
              </w:numPr>
            </w:pPr>
            <w:r w:rsidRPr="00E91989">
              <w:t xml:space="preserve">Polychlorinated </w:t>
            </w:r>
            <w:proofErr w:type="spellStart"/>
            <w:r w:rsidRPr="00E91989">
              <w:t>dibenzo</w:t>
            </w:r>
            <w:proofErr w:type="spellEnd"/>
            <w:r w:rsidRPr="00E91989">
              <w:t>-p-dioxins</w:t>
            </w:r>
            <w:r>
              <w:t xml:space="preserve"> (PCDDs)</w:t>
            </w:r>
          </w:p>
        </w:tc>
        <w:tc>
          <w:tcPr>
            <w:tcW w:w="0" w:type="auto"/>
            <w:shd w:val="clear" w:color="auto" w:fill="auto"/>
          </w:tcPr>
          <w:p w:rsidR="0046675E" w:rsidRPr="00943F5F" w:rsidRDefault="0046675E" w:rsidP="007135DD">
            <w:pPr>
              <w:pStyle w:val="Paralevel1"/>
              <w:numPr>
                <w:ilvl w:val="0"/>
                <w:numId w:val="0"/>
              </w:numPr>
              <w:ind w:left="1247"/>
            </w:pPr>
          </w:p>
        </w:tc>
        <w:tc>
          <w:tcPr>
            <w:tcW w:w="0" w:type="auto"/>
            <w:shd w:val="clear" w:color="auto" w:fill="auto"/>
          </w:tcPr>
          <w:p w:rsidR="0046675E" w:rsidRPr="00943F5F" w:rsidRDefault="0046675E" w:rsidP="000271A7">
            <w:pPr>
              <w:pStyle w:val="Paralevel1"/>
              <w:numPr>
                <w:ilvl w:val="0"/>
                <w:numId w:val="0"/>
              </w:numPr>
            </w:pPr>
          </w:p>
        </w:tc>
        <w:tc>
          <w:tcPr>
            <w:tcW w:w="0" w:type="auto"/>
            <w:shd w:val="clear" w:color="auto" w:fill="auto"/>
          </w:tcPr>
          <w:p w:rsidR="0046675E" w:rsidRPr="00943F5F" w:rsidRDefault="0046675E" w:rsidP="000271A7">
            <w:pPr>
              <w:pStyle w:val="Paralevel1"/>
              <w:numPr>
                <w:ilvl w:val="0"/>
                <w:numId w:val="0"/>
              </w:numPr>
            </w:pPr>
          </w:p>
        </w:tc>
        <w:tc>
          <w:tcPr>
            <w:tcW w:w="0" w:type="auto"/>
            <w:shd w:val="clear" w:color="auto" w:fill="auto"/>
          </w:tcPr>
          <w:p w:rsidR="0046675E" w:rsidRPr="00943F5F" w:rsidRDefault="0046675E" w:rsidP="002416CE">
            <w:pPr>
              <w:pStyle w:val="Paralevel1"/>
              <w:numPr>
                <w:ilvl w:val="0"/>
                <w:numId w:val="0"/>
              </w:numPr>
            </w:pPr>
            <w:r>
              <w:t>x</w:t>
            </w:r>
          </w:p>
        </w:tc>
        <w:tc>
          <w:tcPr>
            <w:tcW w:w="0" w:type="auto"/>
          </w:tcPr>
          <w:p w:rsidR="0046675E" w:rsidRPr="00943F5F" w:rsidRDefault="0046675E" w:rsidP="00BF108E">
            <w:pPr>
              <w:pStyle w:val="Paralevel1"/>
              <w:numPr>
                <w:ilvl w:val="0"/>
                <w:numId w:val="0"/>
              </w:numPr>
            </w:pPr>
          </w:p>
        </w:tc>
        <w:tc>
          <w:tcPr>
            <w:tcW w:w="0" w:type="auto"/>
          </w:tcPr>
          <w:p w:rsidR="0046675E" w:rsidRPr="00943F5F" w:rsidRDefault="0046675E" w:rsidP="00AA01F5">
            <w:pPr>
              <w:pStyle w:val="Paralevel1"/>
              <w:numPr>
                <w:ilvl w:val="0"/>
                <w:numId w:val="0"/>
              </w:numPr>
            </w:pPr>
          </w:p>
        </w:tc>
        <w:tc>
          <w:tcPr>
            <w:tcW w:w="0" w:type="auto"/>
            <w:shd w:val="clear" w:color="auto" w:fill="auto"/>
          </w:tcPr>
          <w:p w:rsidR="0046675E" w:rsidRDefault="0046675E" w:rsidP="00DD7089"/>
        </w:tc>
      </w:tr>
      <w:tr w:rsidR="0046675E" w:rsidTr="00DD7089">
        <w:tc>
          <w:tcPr>
            <w:tcW w:w="4110" w:type="dxa"/>
            <w:shd w:val="clear" w:color="auto" w:fill="auto"/>
          </w:tcPr>
          <w:p w:rsidR="0046675E" w:rsidRPr="00E91989" w:rsidRDefault="0046675E" w:rsidP="004756B6">
            <w:pPr>
              <w:pStyle w:val="Paralevel1"/>
              <w:numPr>
                <w:ilvl w:val="0"/>
                <w:numId w:val="0"/>
              </w:numPr>
            </w:pPr>
            <w:r w:rsidRPr="00E91989">
              <w:t xml:space="preserve">Polychlorinated </w:t>
            </w:r>
            <w:proofErr w:type="spellStart"/>
            <w:r w:rsidRPr="00E91989">
              <w:t>dibenzofurans</w:t>
            </w:r>
            <w:proofErr w:type="spellEnd"/>
            <w:r>
              <w:t xml:space="preserve"> (PCDFs)</w:t>
            </w:r>
          </w:p>
        </w:tc>
        <w:tc>
          <w:tcPr>
            <w:tcW w:w="0" w:type="auto"/>
            <w:shd w:val="clear" w:color="auto" w:fill="auto"/>
          </w:tcPr>
          <w:p w:rsidR="0046675E" w:rsidRPr="00943F5F" w:rsidRDefault="0046675E" w:rsidP="007135DD">
            <w:pPr>
              <w:pStyle w:val="Paralevel1"/>
              <w:numPr>
                <w:ilvl w:val="0"/>
                <w:numId w:val="0"/>
              </w:numPr>
              <w:ind w:left="1247"/>
            </w:pPr>
          </w:p>
        </w:tc>
        <w:tc>
          <w:tcPr>
            <w:tcW w:w="0" w:type="auto"/>
            <w:shd w:val="clear" w:color="auto" w:fill="auto"/>
          </w:tcPr>
          <w:p w:rsidR="0046675E" w:rsidRPr="00943F5F" w:rsidRDefault="0046675E" w:rsidP="000271A7">
            <w:pPr>
              <w:pStyle w:val="Paralevel1"/>
              <w:numPr>
                <w:ilvl w:val="0"/>
                <w:numId w:val="0"/>
              </w:numPr>
            </w:pPr>
          </w:p>
        </w:tc>
        <w:tc>
          <w:tcPr>
            <w:tcW w:w="0" w:type="auto"/>
            <w:shd w:val="clear" w:color="auto" w:fill="auto"/>
          </w:tcPr>
          <w:p w:rsidR="0046675E" w:rsidRPr="00943F5F" w:rsidRDefault="0046675E" w:rsidP="000271A7">
            <w:pPr>
              <w:pStyle w:val="Paralevel1"/>
              <w:numPr>
                <w:ilvl w:val="0"/>
                <w:numId w:val="0"/>
              </w:numPr>
            </w:pPr>
          </w:p>
        </w:tc>
        <w:tc>
          <w:tcPr>
            <w:tcW w:w="0" w:type="auto"/>
            <w:shd w:val="clear" w:color="auto" w:fill="auto"/>
          </w:tcPr>
          <w:p w:rsidR="0046675E" w:rsidRPr="00943F5F" w:rsidRDefault="0046675E" w:rsidP="002416CE">
            <w:pPr>
              <w:pStyle w:val="Paralevel1"/>
              <w:numPr>
                <w:ilvl w:val="0"/>
                <w:numId w:val="0"/>
              </w:numPr>
            </w:pPr>
            <w:r>
              <w:t>x</w:t>
            </w:r>
          </w:p>
        </w:tc>
        <w:tc>
          <w:tcPr>
            <w:tcW w:w="0" w:type="auto"/>
          </w:tcPr>
          <w:p w:rsidR="0046675E" w:rsidRPr="00943F5F" w:rsidRDefault="0046675E" w:rsidP="00BF108E">
            <w:pPr>
              <w:pStyle w:val="Paralevel1"/>
              <w:numPr>
                <w:ilvl w:val="0"/>
                <w:numId w:val="0"/>
              </w:numPr>
            </w:pPr>
          </w:p>
        </w:tc>
        <w:tc>
          <w:tcPr>
            <w:tcW w:w="0" w:type="auto"/>
          </w:tcPr>
          <w:p w:rsidR="0046675E" w:rsidRPr="00943F5F" w:rsidRDefault="0046675E" w:rsidP="00AA01F5">
            <w:pPr>
              <w:pStyle w:val="Paralevel1"/>
              <w:numPr>
                <w:ilvl w:val="0"/>
                <w:numId w:val="0"/>
              </w:numPr>
            </w:pPr>
          </w:p>
        </w:tc>
        <w:tc>
          <w:tcPr>
            <w:tcW w:w="0" w:type="auto"/>
            <w:tcBorders>
              <w:bottom w:val="single" w:sz="4" w:space="0" w:color="auto"/>
            </w:tcBorders>
            <w:shd w:val="clear" w:color="auto" w:fill="auto"/>
          </w:tcPr>
          <w:p w:rsidR="0046675E" w:rsidRDefault="0046675E" w:rsidP="00DD7089"/>
        </w:tc>
      </w:tr>
      <w:tr w:rsidR="0046675E" w:rsidTr="00DD7089">
        <w:tc>
          <w:tcPr>
            <w:tcW w:w="4110" w:type="dxa"/>
            <w:shd w:val="clear" w:color="auto" w:fill="auto"/>
          </w:tcPr>
          <w:p w:rsidR="0046675E" w:rsidRPr="00E91989" w:rsidRDefault="0046675E" w:rsidP="004756B6">
            <w:pPr>
              <w:pStyle w:val="Paralevel1"/>
              <w:numPr>
                <w:ilvl w:val="0"/>
                <w:numId w:val="0"/>
              </w:numPr>
            </w:pPr>
            <w:r w:rsidRPr="00E91989">
              <w:t xml:space="preserve">Technical </w:t>
            </w:r>
            <w:proofErr w:type="spellStart"/>
            <w:r w:rsidRPr="00E91989">
              <w:t>endosulfan</w:t>
            </w:r>
            <w:proofErr w:type="spellEnd"/>
            <w:r w:rsidRPr="00E91989">
              <w:t xml:space="preserve"> and its related isomers</w:t>
            </w:r>
          </w:p>
        </w:tc>
        <w:tc>
          <w:tcPr>
            <w:tcW w:w="0" w:type="auto"/>
            <w:shd w:val="clear" w:color="auto" w:fill="auto"/>
          </w:tcPr>
          <w:p w:rsidR="0046675E" w:rsidRPr="00943F5F" w:rsidRDefault="0046675E" w:rsidP="007135DD">
            <w:pPr>
              <w:pStyle w:val="Paralevel1"/>
              <w:numPr>
                <w:ilvl w:val="0"/>
                <w:numId w:val="0"/>
              </w:numPr>
              <w:ind w:left="1247"/>
            </w:pPr>
          </w:p>
        </w:tc>
        <w:tc>
          <w:tcPr>
            <w:tcW w:w="0" w:type="auto"/>
            <w:shd w:val="clear" w:color="auto" w:fill="auto"/>
          </w:tcPr>
          <w:p w:rsidR="0046675E" w:rsidRPr="00943F5F" w:rsidRDefault="0046675E" w:rsidP="000271A7">
            <w:pPr>
              <w:pStyle w:val="Paralevel1"/>
              <w:numPr>
                <w:ilvl w:val="0"/>
                <w:numId w:val="0"/>
              </w:numPr>
            </w:pPr>
            <w:r>
              <w:t>x</w:t>
            </w:r>
          </w:p>
        </w:tc>
        <w:tc>
          <w:tcPr>
            <w:tcW w:w="0" w:type="auto"/>
            <w:shd w:val="clear" w:color="auto" w:fill="auto"/>
          </w:tcPr>
          <w:p w:rsidR="0046675E" w:rsidRPr="00943F5F" w:rsidRDefault="0046675E" w:rsidP="000271A7">
            <w:pPr>
              <w:pStyle w:val="Paralevel1"/>
              <w:numPr>
                <w:ilvl w:val="0"/>
                <w:numId w:val="0"/>
              </w:numPr>
            </w:pPr>
          </w:p>
        </w:tc>
        <w:tc>
          <w:tcPr>
            <w:tcW w:w="0" w:type="auto"/>
            <w:shd w:val="clear" w:color="auto" w:fill="auto"/>
          </w:tcPr>
          <w:p w:rsidR="0046675E" w:rsidRPr="00943F5F" w:rsidRDefault="0046675E" w:rsidP="002416CE">
            <w:pPr>
              <w:pStyle w:val="Paralevel1"/>
              <w:numPr>
                <w:ilvl w:val="0"/>
                <w:numId w:val="0"/>
              </w:numPr>
            </w:pPr>
          </w:p>
        </w:tc>
        <w:tc>
          <w:tcPr>
            <w:tcW w:w="0" w:type="auto"/>
          </w:tcPr>
          <w:p w:rsidR="0046675E" w:rsidRPr="00943F5F" w:rsidRDefault="0046675E" w:rsidP="00BF108E">
            <w:pPr>
              <w:pStyle w:val="Paralevel1"/>
              <w:numPr>
                <w:ilvl w:val="0"/>
                <w:numId w:val="0"/>
              </w:numPr>
            </w:pPr>
          </w:p>
        </w:tc>
        <w:tc>
          <w:tcPr>
            <w:tcW w:w="0" w:type="auto"/>
          </w:tcPr>
          <w:p w:rsidR="0046675E" w:rsidRPr="00943F5F" w:rsidRDefault="0046675E" w:rsidP="00AA01F5">
            <w:pPr>
              <w:pStyle w:val="Paralevel1"/>
              <w:numPr>
                <w:ilvl w:val="0"/>
                <w:numId w:val="0"/>
              </w:numPr>
            </w:pPr>
          </w:p>
        </w:tc>
        <w:tc>
          <w:tcPr>
            <w:tcW w:w="0" w:type="auto"/>
            <w:tcBorders>
              <w:bottom w:val="single" w:sz="4" w:space="0" w:color="auto"/>
            </w:tcBorders>
            <w:shd w:val="clear" w:color="auto" w:fill="auto"/>
          </w:tcPr>
          <w:p w:rsidR="0046675E" w:rsidRDefault="0046675E" w:rsidP="00DD7089"/>
        </w:tc>
      </w:tr>
      <w:tr w:rsidR="0046675E" w:rsidTr="00DD7089">
        <w:tc>
          <w:tcPr>
            <w:tcW w:w="4110" w:type="dxa"/>
            <w:shd w:val="clear" w:color="auto" w:fill="auto"/>
          </w:tcPr>
          <w:p w:rsidR="0046675E" w:rsidRPr="00E91989" w:rsidRDefault="0046675E" w:rsidP="004756B6">
            <w:pPr>
              <w:pStyle w:val="Paralevel1"/>
              <w:numPr>
                <w:ilvl w:val="0"/>
                <w:numId w:val="0"/>
              </w:numPr>
            </w:pPr>
            <w:proofErr w:type="spellStart"/>
            <w:r w:rsidRPr="00E91989">
              <w:t>Tetrabromodiphenyl</w:t>
            </w:r>
            <w:proofErr w:type="spellEnd"/>
            <w:r w:rsidRPr="00E91989">
              <w:t xml:space="preserve"> ether</w:t>
            </w:r>
            <w:r>
              <w:t xml:space="preserve"> (</w:t>
            </w:r>
            <w:proofErr w:type="spellStart"/>
            <w:r>
              <w:t>tetraBDE</w:t>
            </w:r>
            <w:proofErr w:type="spellEnd"/>
            <w:r>
              <w:t>)</w:t>
            </w:r>
            <w:r w:rsidRPr="00E91989">
              <w:t xml:space="preserve"> and </w:t>
            </w:r>
            <w:proofErr w:type="spellStart"/>
            <w:r w:rsidRPr="00E91989">
              <w:t>pentabromodiphenylether</w:t>
            </w:r>
            <w:proofErr w:type="spellEnd"/>
            <w:r>
              <w:t xml:space="preserve"> (</w:t>
            </w:r>
            <w:proofErr w:type="spellStart"/>
            <w:r>
              <w:t>pentaBDE</w:t>
            </w:r>
            <w:proofErr w:type="spellEnd"/>
            <w:r>
              <w:t>)</w:t>
            </w:r>
          </w:p>
        </w:tc>
        <w:tc>
          <w:tcPr>
            <w:tcW w:w="0" w:type="auto"/>
            <w:shd w:val="clear" w:color="auto" w:fill="auto"/>
          </w:tcPr>
          <w:p w:rsidR="0046675E" w:rsidRPr="00943F5F" w:rsidRDefault="0046675E" w:rsidP="007135DD">
            <w:pPr>
              <w:pStyle w:val="Paralevel1"/>
              <w:numPr>
                <w:ilvl w:val="0"/>
                <w:numId w:val="0"/>
              </w:numPr>
              <w:ind w:left="1247"/>
            </w:pPr>
          </w:p>
        </w:tc>
        <w:tc>
          <w:tcPr>
            <w:tcW w:w="0" w:type="auto"/>
            <w:shd w:val="clear" w:color="auto" w:fill="auto"/>
          </w:tcPr>
          <w:p w:rsidR="0046675E" w:rsidRPr="00943F5F" w:rsidRDefault="0046675E" w:rsidP="000271A7">
            <w:pPr>
              <w:pStyle w:val="Paralevel1"/>
              <w:numPr>
                <w:ilvl w:val="0"/>
                <w:numId w:val="0"/>
              </w:numPr>
            </w:pPr>
          </w:p>
        </w:tc>
        <w:tc>
          <w:tcPr>
            <w:tcW w:w="0" w:type="auto"/>
            <w:shd w:val="clear" w:color="auto" w:fill="auto"/>
          </w:tcPr>
          <w:p w:rsidR="0046675E" w:rsidRPr="00943F5F" w:rsidRDefault="0046675E" w:rsidP="000271A7">
            <w:pPr>
              <w:pStyle w:val="Paralevel1"/>
              <w:numPr>
                <w:ilvl w:val="0"/>
                <w:numId w:val="0"/>
              </w:numPr>
            </w:pPr>
          </w:p>
        </w:tc>
        <w:tc>
          <w:tcPr>
            <w:tcW w:w="0" w:type="auto"/>
            <w:shd w:val="clear" w:color="auto" w:fill="auto"/>
          </w:tcPr>
          <w:p w:rsidR="0046675E" w:rsidRPr="00943F5F" w:rsidRDefault="0046675E" w:rsidP="002416CE">
            <w:pPr>
              <w:pStyle w:val="Paralevel1"/>
              <w:numPr>
                <w:ilvl w:val="0"/>
                <w:numId w:val="0"/>
              </w:numPr>
              <w:ind w:left="1247"/>
            </w:pPr>
          </w:p>
        </w:tc>
        <w:tc>
          <w:tcPr>
            <w:tcW w:w="0" w:type="auto"/>
          </w:tcPr>
          <w:p w:rsidR="0046675E" w:rsidRPr="00943F5F" w:rsidRDefault="0046675E" w:rsidP="00BF108E">
            <w:pPr>
              <w:pStyle w:val="Paralevel1"/>
              <w:numPr>
                <w:ilvl w:val="0"/>
                <w:numId w:val="0"/>
              </w:numPr>
            </w:pPr>
            <w:r>
              <w:t>x</w:t>
            </w:r>
          </w:p>
        </w:tc>
        <w:tc>
          <w:tcPr>
            <w:tcW w:w="0" w:type="auto"/>
            <w:tcBorders>
              <w:bottom w:val="single" w:sz="4" w:space="0" w:color="auto"/>
            </w:tcBorders>
          </w:tcPr>
          <w:p w:rsidR="0046675E" w:rsidRPr="00943F5F" w:rsidRDefault="0046675E" w:rsidP="00AA01F5">
            <w:pPr>
              <w:pStyle w:val="Paralevel1"/>
              <w:numPr>
                <w:ilvl w:val="0"/>
                <w:numId w:val="0"/>
              </w:numPr>
            </w:pPr>
          </w:p>
        </w:tc>
        <w:tc>
          <w:tcPr>
            <w:tcW w:w="0" w:type="auto"/>
            <w:tcBorders>
              <w:top w:val="single" w:sz="4" w:space="0" w:color="auto"/>
              <w:bottom w:val="single" w:sz="4" w:space="0" w:color="auto"/>
            </w:tcBorders>
            <w:shd w:val="clear" w:color="auto" w:fill="auto"/>
          </w:tcPr>
          <w:p w:rsidR="0046675E" w:rsidRDefault="0046675E" w:rsidP="00DD7089"/>
        </w:tc>
      </w:tr>
      <w:tr w:rsidR="0046675E" w:rsidTr="00DD7089">
        <w:tc>
          <w:tcPr>
            <w:tcW w:w="4110" w:type="dxa"/>
            <w:shd w:val="clear" w:color="auto" w:fill="auto"/>
          </w:tcPr>
          <w:p w:rsidR="0046675E" w:rsidRPr="00E91989" w:rsidRDefault="0046675E" w:rsidP="004756B6">
            <w:pPr>
              <w:pStyle w:val="Paralevel1"/>
              <w:numPr>
                <w:ilvl w:val="0"/>
                <w:numId w:val="0"/>
              </w:numPr>
            </w:pPr>
            <w:proofErr w:type="spellStart"/>
            <w:r w:rsidRPr="00E91989">
              <w:t>Toxaphene</w:t>
            </w:r>
            <w:proofErr w:type="spellEnd"/>
          </w:p>
        </w:tc>
        <w:tc>
          <w:tcPr>
            <w:tcW w:w="0" w:type="auto"/>
            <w:shd w:val="clear" w:color="auto" w:fill="auto"/>
          </w:tcPr>
          <w:p w:rsidR="0046675E" w:rsidRPr="00943F5F" w:rsidRDefault="0046675E" w:rsidP="007135DD">
            <w:pPr>
              <w:pStyle w:val="Paralevel1"/>
              <w:numPr>
                <w:ilvl w:val="0"/>
                <w:numId w:val="0"/>
              </w:numPr>
              <w:ind w:left="1247"/>
            </w:pPr>
          </w:p>
        </w:tc>
        <w:tc>
          <w:tcPr>
            <w:tcW w:w="0" w:type="auto"/>
            <w:shd w:val="clear" w:color="auto" w:fill="auto"/>
          </w:tcPr>
          <w:p w:rsidR="0046675E" w:rsidRPr="00943F5F" w:rsidRDefault="0046675E" w:rsidP="000271A7">
            <w:pPr>
              <w:pStyle w:val="Paralevel1"/>
              <w:numPr>
                <w:ilvl w:val="0"/>
                <w:numId w:val="0"/>
              </w:numPr>
            </w:pPr>
            <w:r>
              <w:t>x</w:t>
            </w:r>
          </w:p>
        </w:tc>
        <w:tc>
          <w:tcPr>
            <w:tcW w:w="0" w:type="auto"/>
            <w:shd w:val="clear" w:color="auto" w:fill="auto"/>
          </w:tcPr>
          <w:p w:rsidR="0046675E" w:rsidRPr="00943F5F" w:rsidRDefault="0046675E" w:rsidP="000271A7">
            <w:pPr>
              <w:pStyle w:val="Paralevel1"/>
              <w:numPr>
                <w:ilvl w:val="0"/>
                <w:numId w:val="0"/>
              </w:numPr>
            </w:pPr>
          </w:p>
        </w:tc>
        <w:tc>
          <w:tcPr>
            <w:tcW w:w="0" w:type="auto"/>
            <w:shd w:val="clear" w:color="auto" w:fill="auto"/>
          </w:tcPr>
          <w:p w:rsidR="0046675E" w:rsidRPr="00943F5F" w:rsidRDefault="0046675E" w:rsidP="002416CE">
            <w:pPr>
              <w:pStyle w:val="Paralevel1"/>
              <w:numPr>
                <w:ilvl w:val="0"/>
                <w:numId w:val="0"/>
              </w:numPr>
            </w:pPr>
          </w:p>
        </w:tc>
        <w:tc>
          <w:tcPr>
            <w:tcW w:w="0" w:type="auto"/>
          </w:tcPr>
          <w:p w:rsidR="0046675E" w:rsidRPr="00943F5F" w:rsidRDefault="0046675E" w:rsidP="00BF108E">
            <w:pPr>
              <w:pStyle w:val="Paralevel1"/>
              <w:numPr>
                <w:ilvl w:val="0"/>
                <w:numId w:val="0"/>
              </w:numPr>
            </w:pPr>
          </w:p>
        </w:tc>
        <w:tc>
          <w:tcPr>
            <w:tcW w:w="0" w:type="auto"/>
          </w:tcPr>
          <w:p w:rsidR="0046675E" w:rsidRPr="00943F5F" w:rsidRDefault="0046675E" w:rsidP="00AA01F5">
            <w:pPr>
              <w:pStyle w:val="Paralevel1"/>
              <w:numPr>
                <w:ilvl w:val="0"/>
                <w:numId w:val="0"/>
              </w:numPr>
            </w:pPr>
          </w:p>
        </w:tc>
        <w:tc>
          <w:tcPr>
            <w:tcW w:w="0" w:type="auto"/>
            <w:tcBorders>
              <w:top w:val="single" w:sz="4" w:space="0" w:color="auto"/>
              <w:bottom w:val="single" w:sz="4" w:space="0" w:color="auto"/>
            </w:tcBorders>
            <w:shd w:val="clear" w:color="auto" w:fill="auto"/>
          </w:tcPr>
          <w:p w:rsidR="0046675E" w:rsidRDefault="0046675E" w:rsidP="00DD7089"/>
        </w:tc>
      </w:tr>
    </w:tbl>
    <w:p w:rsidR="00890CDD" w:rsidRPr="00181933" w:rsidRDefault="00890CDD" w:rsidP="00CB70CC">
      <w:pPr>
        <w:pStyle w:val="Heading2"/>
        <w:spacing w:before="240" w:after="120"/>
        <w:ind w:left="1134" w:hanging="510"/>
      </w:pPr>
      <w:bookmarkStart w:id="92" w:name="_Hlt52168405"/>
      <w:bookmarkStart w:id="93" w:name="_Toc405988619"/>
      <w:bookmarkStart w:id="94" w:name="_Toc437340512"/>
      <w:bookmarkEnd w:id="92"/>
      <w:r>
        <w:t>B.</w:t>
      </w:r>
      <w:r>
        <w:tab/>
      </w:r>
      <w:r w:rsidRPr="00181933">
        <w:t>About POPs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181933">
        <w:rPr>
          <w:rStyle w:val="FootnoteReference"/>
          <w:b w:val="0"/>
        </w:rPr>
        <w:footnoteReference w:id="2"/>
      </w:r>
      <w:bookmarkEnd w:id="91"/>
      <w:bookmarkEnd w:id="93"/>
      <w:bookmarkEnd w:id="94"/>
      <w:r w:rsidRPr="00181933">
        <w:t xml:space="preserve"> </w:t>
      </w:r>
    </w:p>
    <w:p w:rsidR="000E79E2" w:rsidRDefault="00890CDD" w:rsidP="00980527">
      <w:pPr>
        <w:pStyle w:val="Paralevel1"/>
        <w:tabs>
          <w:tab w:val="clear" w:pos="1843"/>
          <w:tab w:val="left" w:pos="1701"/>
        </w:tabs>
        <w:ind w:left="1134" w:firstLine="0"/>
      </w:pPr>
      <w:r w:rsidRPr="00181933">
        <w:t xml:space="preserve">Most quantities of POPs are of anthropogenic origin. For some POPs, such as HCB, </w:t>
      </w:r>
      <w:proofErr w:type="spellStart"/>
      <w:r w:rsidRPr="00181933">
        <w:t>PeCB</w:t>
      </w:r>
      <w:proofErr w:type="spellEnd"/>
      <w:r w:rsidRPr="00181933">
        <w:t xml:space="preserve">, PCDD and PCDF, listed in Annex C </w:t>
      </w:r>
      <w:r w:rsidR="00C1583E">
        <w:t>to</w:t>
      </w:r>
      <w:r w:rsidRPr="00181933">
        <w:t xml:space="preserve"> the Stockholm Convention, some quantities are also </w:t>
      </w:r>
      <w:r w:rsidR="007628D4" w:rsidRPr="00181933">
        <w:t xml:space="preserve">unintentionally </w:t>
      </w:r>
      <w:r w:rsidR="00487C4C" w:rsidRPr="00181933">
        <w:t>generated and released</w:t>
      </w:r>
      <w:r w:rsidRPr="00181933">
        <w:t xml:space="preserve"> from anthropogenic sources. The characteristics of POPs (toxicity, persistence and bioaccumulation), the potential for their long</w:t>
      </w:r>
      <w:r w:rsidRPr="00181933">
        <w:noBreakHyphen/>
        <w:t>range transport and their ubiquitous presence in the environment</w:t>
      </w:r>
      <w:r w:rsidR="00181933">
        <w:t>,</w:t>
      </w:r>
      <w:r w:rsidRPr="00181933">
        <w:t xml:space="preserve"> including ecosystems and in humans</w:t>
      </w:r>
      <w:r w:rsidR="00181933">
        <w:t>,</w:t>
      </w:r>
      <w:r w:rsidRPr="00181933">
        <w:t xml:space="preserve"> were the impetus for the Stockholm Convention. </w:t>
      </w:r>
    </w:p>
    <w:p w:rsidR="00890CDD" w:rsidRPr="00181933" w:rsidRDefault="00890CDD" w:rsidP="00980527">
      <w:pPr>
        <w:pStyle w:val="Paralevel1"/>
        <w:tabs>
          <w:tab w:val="clear" w:pos="1843"/>
          <w:tab w:val="left" w:pos="1701"/>
        </w:tabs>
        <w:ind w:left="1134" w:firstLine="0"/>
      </w:pPr>
      <w:r w:rsidRPr="00855012">
        <w:t xml:space="preserve">POPs are being used or have been used in industrial processes, in products and in articles. The </w:t>
      </w:r>
      <w:r w:rsidRPr="00733375">
        <w:t xml:space="preserve">improper </w:t>
      </w:r>
      <w:r w:rsidR="00C5561D">
        <w:t>management</w:t>
      </w:r>
      <w:r w:rsidRPr="007D6E1B">
        <w:t xml:space="preserve"> of </w:t>
      </w:r>
      <w:r w:rsidR="0092748C">
        <w:t xml:space="preserve">POP wastes can lead to releases of POPs into the environment. In addition, some disposal technologies can lead to the unintentional formation and release of POPs. </w:t>
      </w:r>
    </w:p>
    <w:p w:rsidR="00890CDD" w:rsidRPr="00181933" w:rsidRDefault="0092748C" w:rsidP="00980527">
      <w:pPr>
        <w:pStyle w:val="Paralevel1"/>
        <w:tabs>
          <w:tab w:val="clear" w:pos="1843"/>
          <w:tab w:val="left" w:pos="1701"/>
        </w:tabs>
        <w:ind w:left="1134" w:firstLine="0"/>
        <w:rPr>
          <w:lang w:val="en-GB"/>
        </w:rPr>
      </w:pPr>
      <w:r>
        <w:t>Newly listed chemicals under the Stockholm Convention, such as P</w:t>
      </w:r>
      <w:r w:rsidR="002764A3">
        <w:t>OP-</w:t>
      </w:r>
      <w:r>
        <w:t>BDE</w:t>
      </w:r>
      <w:r w:rsidR="002764A3">
        <w:t>s</w:t>
      </w:r>
      <w:r>
        <w:t xml:space="preserve">, PFOS and HBCD, have brought attention to the use of POPs in products and articles. The management of these products and articles upon becoming waste has introduced new challenges to parties and stakeholders in their work to define strategies and approaches for their </w:t>
      </w:r>
      <w:r w:rsidR="00FE48EE">
        <w:t>ESM</w:t>
      </w:r>
      <w:r>
        <w:t xml:space="preserve"> and efforts to </w:t>
      </w:r>
      <w:proofErr w:type="gramStart"/>
      <w:r w:rsidR="00C5561D">
        <w:t>prevent,</w:t>
      </w:r>
      <w:proofErr w:type="gramEnd"/>
      <w:r w:rsidR="00C5561D">
        <w:t xml:space="preserve"> </w:t>
      </w:r>
      <w:r>
        <w:t>reduce or eliminate their releases.</w:t>
      </w:r>
    </w:p>
    <w:p w:rsidR="00093BCE" w:rsidRDefault="00890CDD" w:rsidP="00093BCE">
      <w:pPr>
        <w:pStyle w:val="Heading1"/>
        <w:tabs>
          <w:tab w:val="left" w:pos="1134"/>
        </w:tabs>
        <w:spacing w:before="240"/>
        <w:ind w:left="652" w:firstLine="0"/>
        <w:rPr>
          <w:rFonts w:ascii="Times New Roman" w:hAnsi="Times New Roman"/>
          <w:sz w:val="28"/>
          <w:szCs w:val="28"/>
        </w:rPr>
      </w:pPr>
      <w:bookmarkStart w:id="95" w:name="_Toc49228100"/>
      <w:bookmarkStart w:id="96" w:name="_Toc49228151"/>
      <w:bookmarkStart w:id="97" w:name="_Toc49228273"/>
      <w:bookmarkStart w:id="98" w:name="_Toc49228405"/>
      <w:bookmarkStart w:id="99" w:name="_Toc49228455"/>
      <w:bookmarkStart w:id="100" w:name="_Toc52011545"/>
      <w:bookmarkStart w:id="101" w:name="_Toc52131785"/>
      <w:bookmarkStart w:id="102" w:name="_Toc52175458"/>
      <w:bookmarkStart w:id="103" w:name="_Toc52509360"/>
      <w:bookmarkStart w:id="104" w:name="_Toc52523999"/>
      <w:bookmarkStart w:id="105" w:name="_Toc58997083"/>
      <w:bookmarkStart w:id="106" w:name="_Toc58999159"/>
      <w:bookmarkStart w:id="107" w:name="_Toc58999231"/>
      <w:bookmarkStart w:id="108" w:name="_Toc59943332"/>
      <w:bookmarkStart w:id="109" w:name="_Toc59943497"/>
      <w:bookmarkStart w:id="110" w:name="_Toc59943555"/>
      <w:bookmarkStart w:id="111" w:name="_Toc59943648"/>
      <w:bookmarkStart w:id="112" w:name="_Toc61327997"/>
      <w:bookmarkStart w:id="113" w:name="_Toc61681642"/>
      <w:bookmarkStart w:id="114" w:name="_Toc61681724"/>
      <w:bookmarkStart w:id="115" w:name="_Toc61687432"/>
      <w:bookmarkStart w:id="116" w:name="_Toc405988620"/>
      <w:bookmarkStart w:id="117" w:name="_Toc437340513"/>
      <w:r w:rsidRPr="00E93F37">
        <w:rPr>
          <w:rFonts w:ascii="Times New Roman" w:hAnsi="Times New Roman"/>
          <w:sz w:val="28"/>
          <w:szCs w:val="28"/>
        </w:rPr>
        <w:t>II.</w:t>
      </w:r>
      <w:r w:rsidRPr="00E93F37">
        <w:rPr>
          <w:rFonts w:ascii="Times New Roman" w:hAnsi="Times New Roman"/>
          <w:sz w:val="28"/>
          <w:szCs w:val="28"/>
        </w:rPr>
        <w:tab/>
      </w:r>
      <w:bookmarkStart w:id="118" w:name="_Toc161804544"/>
      <w:r w:rsidRPr="00E93F37">
        <w:rPr>
          <w:rFonts w:ascii="Times New Roman" w:hAnsi="Times New Roman"/>
          <w:sz w:val="28"/>
          <w:szCs w:val="28"/>
        </w:rPr>
        <w:t>Relevant provisions of the Basel and Stockholm conventions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890CDD" w:rsidRPr="00C67EAE" w:rsidRDefault="00890CDD" w:rsidP="00980527">
      <w:pPr>
        <w:pStyle w:val="Paralevel1"/>
        <w:tabs>
          <w:tab w:val="clear" w:pos="1843"/>
          <w:tab w:val="left" w:pos="1701"/>
        </w:tabs>
        <w:ind w:left="1134" w:firstLine="0"/>
      </w:pPr>
      <w:r w:rsidRPr="00C67EAE">
        <w:t xml:space="preserve">A number of multilateral environmental agreements provide frameworks to prevent and minimize </w:t>
      </w:r>
      <w:r>
        <w:t xml:space="preserve">releases </w:t>
      </w:r>
      <w:r w:rsidRPr="00C67EAE">
        <w:t xml:space="preserve">of toxic chemicals and hazardous wastes. The </w:t>
      </w:r>
      <w:r w:rsidRPr="00C67EAE">
        <w:rPr>
          <w:rFonts w:eastAsia="Times New Roman"/>
        </w:rPr>
        <w:t xml:space="preserve">Basel, Stockholm and </w:t>
      </w:r>
      <w:r w:rsidRPr="00C67EAE">
        <w:t>Rott</w:t>
      </w:r>
      <w:r w:rsidRPr="00C67EAE">
        <w:rPr>
          <w:rFonts w:eastAsia="Times New Roman"/>
        </w:rPr>
        <w:t xml:space="preserve">erdam </w:t>
      </w:r>
      <w:r>
        <w:rPr>
          <w:rFonts w:eastAsia="Times New Roman"/>
        </w:rPr>
        <w:t>c</w:t>
      </w:r>
      <w:r w:rsidRPr="00C67EAE">
        <w:rPr>
          <w:rFonts w:eastAsia="Times New Roman"/>
        </w:rPr>
        <w:t>onventions are a series of building blocks that dovetail to create a comprehensive life cycle approach to the management of hazardous chemical</w:t>
      </w:r>
      <w:r>
        <w:rPr>
          <w:rFonts w:eastAsia="Times New Roman"/>
        </w:rPr>
        <w:t>s</w:t>
      </w:r>
      <w:r w:rsidRPr="00C67EAE">
        <w:rPr>
          <w:rFonts w:eastAsia="Times New Roman"/>
        </w:rPr>
        <w:t xml:space="preserve"> and wastes. </w:t>
      </w:r>
      <w:r w:rsidRPr="00C67EAE">
        <w:t xml:space="preserve">Together, these </w:t>
      </w:r>
      <w:r>
        <w:t>c</w:t>
      </w:r>
      <w:r w:rsidRPr="00C67EAE">
        <w:t>onventions guide decision makers in their actions to minimize and manage the risk</w:t>
      </w:r>
      <w:r>
        <w:t>s</w:t>
      </w:r>
      <w:r w:rsidRPr="00C67EAE">
        <w:t xml:space="preserve"> to the environment from a range of chemicals, products and wastes. </w:t>
      </w:r>
    </w:p>
    <w:p w:rsidR="00890CDD" w:rsidRDefault="00890CDD" w:rsidP="00980527">
      <w:pPr>
        <w:pStyle w:val="Paralevel1"/>
        <w:tabs>
          <w:tab w:val="clear" w:pos="1843"/>
          <w:tab w:val="left" w:pos="1701"/>
        </w:tabs>
        <w:ind w:left="1134" w:firstLine="0"/>
      </w:pPr>
      <w:r w:rsidRPr="00C67EAE">
        <w:t xml:space="preserve">A full list of international instruments related to POPs is listed in annex I. The following sections present a brief explanation and description of relevant </w:t>
      </w:r>
      <w:r>
        <w:t>A</w:t>
      </w:r>
      <w:r w:rsidRPr="00C67EAE">
        <w:t xml:space="preserve">rticles of </w:t>
      </w:r>
      <w:r>
        <w:t xml:space="preserve">the Basel and Stockholm conventions </w:t>
      </w:r>
      <w:r w:rsidRPr="00C67EAE">
        <w:t>to illustrate</w:t>
      </w:r>
      <w:r>
        <w:t xml:space="preserve"> their </w:t>
      </w:r>
      <w:proofErr w:type="spellStart"/>
      <w:r>
        <w:t>complementarity</w:t>
      </w:r>
      <w:proofErr w:type="spellEnd"/>
      <w:r>
        <w:t xml:space="preserve"> in addition to key </w:t>
      </w:r>
      <w:r w:rsidRPr="00C67EAE">
        <w:t xml:space="preserve">obligations </w:t>
      </w:r>
      <w:r w:rsidR="009C7DEA">
        <w:t xml:space="preserve">of their </w:t>
      </w:r>
      <w:r w:rsidRPr="00C67EAE">
        <w:t xml:space="preserve">Parties.   </w:t>
      </w:r>
    </w:p>
    <w:p w:rsidR="00FE48EE" w:rsidRPr="00C67EAE" w:rsidRDefault="00FE48EE" w:rsidP="00980527">
      <w:pPr>
        <w:pStyle w:val="Paralevel1"/>
        <w:tabs>
          <w:tab w:val="clear" w:pos="1843"/>
          <w:tab w:val="left" w:pos="1701"/>
        </w:tabs>
        <w:ind w:left="1134" w:firstLine="0"/>
      </w:pPr>
      <w:r>
        <w:t xml:space="preserve">Provisions of the Stockholm Convention complement the provisions for the management of hazardous wastes under the Basel Convention to form a comprehensive regime </w:t>
      </w:r>
      <w:r w:rsidR="009C7DEA">
        <w:t>for</w:t>
      </w:r>
      <w:r>
        <w:t xml:space="preserve"> manag</w:t>
      </w:r>
      <w:r w:rsidR="009C7DEA">
        <w:t>ing</w:t>
      </w:r>
      <w:r>
        <w:t xml:space="preserve"> POP wastes. Provisions from the two conventions are to be applied to POP wastes in making decisions about their ESM.</w:t>
      </w:r>
    </w:p>
    <w:p w:rsidR="00890CDD" w:rsidRDefault="00890CDD">
      <w:pPr>
        <w:pStyle w:val="Heading2"/>
        <w:spacing w:before="240" w:after="120"/>
        <w:ind w:left="1134" w:hanging="510"/>
      </w:pPr>
      <w:bookmarkStart w:id="119" w:name="_Toc58997084"/>
      <w:bookmarkStart w:id="120" w:name="_Toc58999160"/>
      <w:bookmarkStart w:id="121" w:name="_Toc58999232"/>
      <w:bookmarkStart w:id="122" w:name="_Toc59943333"/>
      <w:bookmarkStart w:id="123" w:name="_Toc59943498"/>
      <w:bookmarkStart w:id="124" w:name="_Toc59943556"/>
      <w:bookmarkStart w:id="125" w:name="_Toc59943649"/>
      <w:bookmarkStart w:id="126" w:name="_Toc61327998"/>
      <w:bookmarkStart w:id="127" w:name="_Toc61681643"/>
      <w:bookmarkStart w:id="128" w:name="_Toc61681725"/>
      <w:bookmarkStart w:id="129" w:name="_Toc61687433"/>
      <w:bookmarkStart w:id="130" w:name="_Toc161804545"/>
      <w:bookmarkStart w:id="131" w:name="_Toc405988621"/>
      <w:bookmarkStart w:id="132" w:name="_Toc437340514"/>
      <w:r>
        <w:t>A.</w:t>
      </w:r>
      <w:r>
        <w:tab/>
        <w:t>Basel Convention</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890CDD" w:rsidRDefault="00890CDD">
      <w:pPr>
        <w:pStyle w:val="Heading3"/>
        <w:spacing w:before="240" w:after="120"/>
        <w:ind w:left="1134" w:hanging="425"/>
      </w:pPr>
      <w:bookmarkStart w:id="133" w:name="_Toc58997085"/>
      <w:bookmarkStart w:id="134" w:name="_Toc58999161"/>
      <w:bookmarkStart w:id="135" w:name="_Toc58999233"/>
      <w:bookmarkStart w:id="136" w:name="_Toc59943334"/>
      <w:bookmarkStart w:id="137" w:name="_Toc59943499"/>
      <w:bookmarkStart w:id="138" w:name="_Toc59943557"/>
      <w:bookmarkStart w:id="139" w:name="_Toc59943650"/>
      <w:bookmarkStart w:id="140" w:name="_Toc61327999"/>
      <w:bookmarkStart w:id="141" w:name="_Toc61681644"/>
      <w:bookmarkStart w:id="142" w:name="_Toc61681726"/>
      <w:bookmarkStart w:id="143" w:name="_Toc61687434"/>
      <w:bookmarkStart w:id="144" w:name="_Toc95280646"/>
      <w:bookmarkStart w:id="145" w:name="_Toc145395090"/>
      <w:bookmarkStart w:id="146" w:name="_Toc161804546"/>
      <w:bookmarkStart w:id="147" w:name="_Toc405988622"/>
      <w:bookmarkStart w:id="148" w:name="_Toc437340515"/>
      <w:r w:rsidRPr="005E5BFF">
        <w:t>1.</w:t>
      </w:r>
      <w:r w:rsidRPr="005E5BFF">
        <w:tab/>
        <w:t>General provisions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5E5BFF">
        <w:t xml:space="preserve"> </w:t>
      </w:r>
    </w:p>
    <w:p w:rsidR="00890CDD" w:rsidRDefault="00890CDD" w:rsidP="00980527">
      <w:pPr>
        <w:pStyle w:val="Paralevel1"/>
        <w:tabs>
          <w:tab w:val="clear" w:pos="1843"/>
          <w:tab w:val="left" w:pos="1701"/>
        </w:tabs>
        <w:ind w:left="1134" w:firstLine="0"/>
      </w:pPr>
      <w:r>
        <w:t xml:space="preserve">The Basel Convention, which entered into force on 5 May 1992, </w:t>
      </w:r>
      <w:r w:rsidRPr="00211A98">
        <w:t xml:space="preserve">aims to protect human health and the environment against the adverse effects resulting from the generation, management, </w:t>
      </w:r>
      <w:proofErr w:type="spellStart"/>
      <w:r w:rsidRPr="00211A98">
        <w:t>transboundary</w:t>
      </w:r>
      <w:proofErr w:type="spellEnd"/>
      <w:r w:rsidRPr="00211A98">
        <w:t xml:space="preserve"> movements and disposal of hazardous and other wastes</w:t>
      </w:r>
      <w:r w:rsidRPr="0009638B">
        <w:t>.</w:t>
      </w:r>
      <w:r>
        <w:t xml:space="preserve"> It does this via a set of provisions </w:t>
      </w:r>
      <w:r w:rsidR="00181933">
        <w:t>on</w:t>
      </w:r>
      <w:r>
        <w:t xml:space="preserve"> the </w:t>
      </w:r>
      <w:proofErr w:type="spellStart"/>
      <w:r>
        <w:t>transboundary</w:t>
      </w:r>
      <w:proofErr w:type="spellEnd"/>
      <w:r>
        <w:t xml:space="preserve"> movement of wastes and their </w:t>
      </w:r>
      <w:r w:rsidR="00181933">
        <w:t>ESM</w:t>
      </w:r>
      <w:r>
        <w:t xml:space="preserve">. In particular, the Basel Convention stipulates that any </w:t>
      </w:r>
      <w:proofErr w:type="spellStart"/>
      <w:r>
        <w:t>transboundary</w:t>
      </w:r>
      <w:proofErr w:type="spellEnd"/>
      <w:r>
        <w:t xml:space="preserve"> movement (export, import or transit) of wastes is permi</w:t>
      </w:r>
      <w:r w:rsidR="00A15427">
        <w:t>ssible</w:t>
      </w:r>
      <w:r>
        <w:t xml:space="preserve"> only when the movement itself and the planned disposal of the hazardous or other wastes are environmentally sound. </w:t>
      </w:r>
    </w:p>
    <w:p w:rsidR="00326058" w:rsidRDefault="00890CDD">
      <w:pPr>
        <w:pStyle w:val="Paralevel1"/>
        <w:tabs>
          <w:tab w:val="clear" w:pos="1843"/>
          <w:tab w:val="left" w:pos="1701"/>
        </w:tabs>
        <w:ind w:left="1134" w:firstLine="0"/>
      </w:pPr>
      <w:r>
        <w:t xml:space="preserve">A set of provisions of the Basel Convention lays out Parties obligations to ensure the </w:t>
      </w:r>
      <w:r w:rsidR="00FE48EE">
        <w:t>ESM</w:t>
      </w:r>
      <w:r>
        <w:t xml:space="preserve"> of POP wastes. </w:t>
      </w:r>
      <w:r w:rsidR="00144A29">
        <w:t>These are listed in paragraphs 15 to 17 below.</w:t>
      </w:r>
    </w:p>
    <w:p w:rsidR="000E79E2" w:rsidRDefault="00405DFE" w:rsidP="00980527">
      <w:pPr>
        <w:pStyle w:val="Paralevel1"/>
        <w:tabs>
          <w:tab w:val="clear" w:pos="1843"/>
          <w:tab w:val="left" w:pos="1701"/>
        </w:tabs>
        <w:ind w:left="1134" w:firstLine="0"/>
      </w:pPr>
      <w:r w:rsidRPr="00AF3EE2">
        <w:t>In Article 2</w:t>
      </w:r>
      <w:r w:rsidR="00890CDD">
        <w:t xml:space="preserve"> (“Definitions”), paragraph 1, the Basel Convention defines wastes as “substances or objects which are disposed of or are intended to be disposed of or are required to be disposed of by the provisions of national law”. Paragraph 4 defines disposal as “any operation specified in Annex IV” to the Convention. Paragraph 8</w:t>
      </w:r>
      <w:r w:rsidR="00181933">
        <w:t xml:space="preserve"> </w:t>
      </w:r>
      <w:r w:rsidR="00890CDD">
        <w:t xml:space="preserve">defines the </w:t>
      </w:r>
      <w:r w:rsidR="0026414D">
        <w:t>ESM</w:t>
      </w:r>
      <w:r w:rsidR="00890CDD">
        <w:t xml:space="preserve"> of hazardous wastes or other wastes as “taking all practicable steps to ensure that hazardous wastes or other wastes are managed in a manner which will protect human health and the environment against the adverse effects which may result from such wastes</w:t>
      </w:r>
      <w:r w:rsidR="00D26290">
        <w:t>.</w:t>
      </w:r>
      <w:r w:rsidR="00890CDD">
        <w:t>”</w:t>
      </w:r>
      <w:r w:rsidR="00870E41">
        <w:t xml:space="preserve"> </w:t>
      </w:r>
    </w:p>
    <w:p w:rsidR="00890CDD" w:rsidRDefault="00890CDD" w:rsidP="00980527">
      <w:pPr>
        <w:pStyle w:val="Paralevel1"/>
        <w:tabs>
          <w:tab w:val="clear" w:pos="1843"/>
          <w:tab w:val="left" w:pos="1701"/>
        </w:tabs>
        <w:ind w:left="1134" w:firstLine="0"/>
      </w:pPr>
      <w:r>
        <w:t>Article 4 (“General obligations”), paragraph 1, establishes the procedure by which Parties exercising their right to prohibit the import of hazardous wastes or other wastes for disposal shall inform the other Parties of their decision. Paragraph 1 (a) states: “Parties exercising their right to prohibit the import of hazardous or other wastes for disposal shall inform the other Parties of their decision pursuant to Article 13.” Paragraph 1 (b) states: “Parties shall prohibit or shall not permit the export of hazardous or other wastes to the Parties which have prohibited the import of such waste</w:t>
      </w:r>
      <w:r w:rsidR="00D26290">
        <w:t>s,</w:t>
      </w:r>
      <w:r>
        <w:t xml:space="preserve"> when notified pursuant to subparagraph (a).”</w:t>
      </w:r>
    </w:p>
    <w:p w:rsidR="00890CDD" w:rsidRDefault="00890CDD" w:rsidP="00980527">
      <w:pPr>
        <w:pStyle w:val="Paralevel1"/>
        <w:tabs>
          <w:tab w:val="clear" w:pos="1843"/>
          <w:tab w:val="left" w:pos="1701"/>
        </w:tabs>
        <w:ind w:left="1134" w:firstLine="0"/>
      </w:pPr>
      <w:r>
        <w:t xml:space="preserve">Article 4, paragraphs 2 (a) – (e) and 2 (g), contains key provisions of the Basel Convention directly pertaining to ESM, waste prevention and minimization and waste disposal practices </w:t>
      </w:r>
      <w:r w:rsidR="00D26290">
        <w:t xml:space="preserve">aimed at </w:t>
      </w:r>
      <w:r>
        <w:t>mitigat</w:t>
      </w:r>
      <w:r w:rsidR="00D26290">
        <w:t>ing</w:t>
      </w:r>
      <w:r>
        <w:t xml:space="preserve"> adverse effects on human health and the environment: </w:t>
      </w:r>
    </w:p>
    <w:p w:rsidR="00890CDD" w:rsidRDefault="00890CDD">
      <w:pPr>
        <w:autoSpaceDE w:val="0"/>
        <w:autoSpaceDN w:val="0"/>
        <w:adjustRightInd w:val="0"/>
        <w:spacing w:after="120"/>
        <w:ind w:left="1871" w:right="429"/>
      </w:pPr>
      <w:r>
        <w:t xml:space="preserve">Paragraphs 2 (a) – (e) and 2 (g): “Each Party shall take appropriate measures to: </w:t>
      </w:r>
    </w:p>
    <w:p w:rsidR="00890CDD" w:rsidRDefault="00890CDD">
      <w:pPr>
        <w:spacing w:after="120"/>
        <w:ind w:left="1871" w:firstLine="624"/>
      </w:pPr>
      <w:r>
        <w:t>(a)</w:t>
      </w:r>
      <w:r>
        <w:tab/>
        <w:t xml:space="preserve">Ensure that the generation of hazardous wastes and other wastes within it </w:t>
      </w:r>
      <w:proofErr w:type="gramStart"/>
      <w:r>
        <w:t>is</w:t>
      </w:r>
      <w:proofErr w:type="gramEnd"/>
      <w:r>
        <w:t xml:space="preserve"> reduced to a minimum, taking into account social, technological and economic aspects;</w:t>
      </w:r>
    </w:p>
    <w:p w:rsidR="00890CDD" w:rsidRDefault="00890CDD">
      <w:pPr>
        <w:spacing w:after="120"/>
        <w:ind w:left="1871" w:firstLine="624"/>
      </w:pPr>
      <w:r>
        <w:t>(b)</w:t>
      </w:r>
      <w:r>
        <w:tab/>
        <w:t>Ensure the availability of adequate disposal facilities, for the environmentally sound management of hazardous wastes and other wastes, that shall be located, to the extent possible, within it, whatever the place of their disposal;</w:t>
      </w:r>
    </w:p>
    <w:p w:rsidR="00890CDD" w:rsidRDefault="00890CDD">
      <w:pPr>
        <w:spacing w:after="120"/>
        <w:ind w:left="1871" w:firstLine="624"/>
      </w:pPr>
      <w:r>
        <w:t>(c)</w:t>
      </w:r>
      <w:r>
        <w:tab/>
        <w:t xml:space="preserve">Ensure that persons involved in the management of hazardous wastes or other wastes within it take such steps as are necessary to prevent pollution due to hazardous wastes and other wastes arising from such management and, if such pollution occurs, to minimize the consequences thereof for human health and the environment; </w:t>
      </w:r>
    </w:p>
    <w:p w:rsidR="00890CDD" w:rsidRDefault="00890CDD">
      <w:pPr>
        <w:spacing w:after="120"/>
        <w:ind w:left="1871" w:firstLine="624"/>
      </w:pPr>
      <w:r>
        <w:t>(d)</w:t>
      </w:r>
      <w:r>
        <w:tab/>
        <w:t xml:space="preserve">Ensure that the </w:t>
      </w:r>
      <w:proofErr w:type="spellStart"/>
      <w:r>
        <w:t>transboundary</w:t>
      </w:r>
      <w:proofErr w:type="spellEnd"/>
      <w:r>
        <w:t xml:space="preserve"> movement of hazardous wastes and other wastes is reduced to the minimum consistent with the environmentally sound and efficient management of such wastes, and is conducted in a manner which will protect human health and the environment against the adverse effects which may result from such movement</w:t>
      </w:r>
      <w:r w:rsidR="00D26290">
        <w:t>;</w:t>
      </w:r>
    </w:p>
    <w:p w:rsidR="00890CDD" w:rsidRDefault="00890CDD" w:rsidP="00DB1F61">
      <w:pPr>
        <w:spacing w:after="120"/>
        <w:ind w:left="1871" w:firstLine="624"/>
      </w:pPr>
      <w:r w:rsidRPr="006858FC">
        <w:t>(e)</w:t>
      </w:r>
      <w:r w:rsidRPr="006858FC">
        <w:tab/>
        <w:t xml:space="preserve">Not allow the export of hazardous wastes or other wastes to a State or group of States belonging to an economic and/or political integration organization that are Parties, particularly developing countries, which have prohibited by their legislation all imports, or if it has reason to believe that the wastes in question will not be managed in </w:t>
      </w:r>
      <w:r w:rsidRPr="00513541">
        <w:t>an environmentally sound manner, according to criteria to be decided on by the Parties at their first meeting</w:t>
      </w:r>
      <w:r w:rsidR="00DB1F61">
        <w:t>;</w:t>
      </w:r>
      <w:r>
        <w:t>”</w:t>
      </w:r>
    </w:p>
    <w:p w:rsidR="00890CDD" w:rsidRDefault="00890CDD">
      <w:pPr>
        <w:spacing w:after="120"/>
        <w:ind w:left="1871" w:firstLine="624"/>
        <w:rPr>
          <w:rFonts w:ascii="TimesNewRomanPSMT" w:hAnsi="TimesNewRomanPSMT" w:cs="TimesNewRomanPSMT"/>
          <w:lang w:eastAsia="de-DE"/>
        </w:rPr>
      </w:pPr>
      <w:r>
        <w:t>“</w:t>
      </w:r>
      <w:r w:rsidRPr="00513541">
        <w:t>(</w:t>
      </w:r>
      <w:r>
        <w:t>g</w:t>
      </w:r>
      <w:r w:rsidRPr="00513541">
        <w:t>)</w:t>
      </w:r>
      <w:r w:rsidRPr="00513541">
        <w:tab/>
        <w:t>Prevent the import of hazardous wastes and other wastes if it has reason to believe that the wastes in question</w:t>
      </w:r>
      <w:r w:rsidRPr="006858FC">
        <w:rPr>
          <w:rFonts w:ascii="TimesNewRomanPSMT" w:hAnsi="TimesNewRomanPSMT" w:cs="TimesNewRomanPSMT"/>
          <w:lang w:eastAsia="de-DE"/>
        </w:rPr>
        <w:t xml:space="preserve"> will not be managed in an environmentally sound manner.”</w:t>
      </w:r>
    </w:p>
    <w:p w:rsidR="00890CDD" w:rsidRDefault="00890CDD" w:rsidP="004756B6">
      <w:pPr>
        <w:pStyle w:val="Paralevel1"/>
        <w:numPr>
          <w:ilvl w:val="0"/>
          <w:numId w:val="0"/>
        </w:numPr>
        <w:ind w:left="1713"/>
      </w:pPr>
      <w:r>
        <w:t>Paragraph 8: “Each Party shall require that hazardous wastes or other wastes, to be exported, are manage</w:t>
      </w:r>
      <w:r w:rsidR="00D26290">
        <w:t>d</w:t>
      </w:r>
      <w:r>
        <w:t xml:space="preserve"> in an environmentally sound manner in the State of import or elsewhere.”</w:t>
      </w:r>
    </w:p>
    <w:p w:rsidR="00890CDD" w:rsidRDefault="00890CDD">
      <w:pPr>
        <w:pStyle w:val="Heading3"/>
        <w:spacing w:before="240" w:after="120"/>
        <w:ind w:left="1134" w:hanging="425"/>
      </w:pPr>
      <w:bookmarkStart w:id="149" w:name="_Toc58997086"/>
      <w:bookmarkStart w:id="150" w:name="_Toc58999162"/>
      <w:bookmarkStart w:id="151" w:name="_Toc58999234"/>
      <w:bookmarkStart w:id="152" w:name="_Toc59943335"/>
      <w:bookmarkStart w:id="153" w:name="_Toc59943500"/>
      <w:bookmarkStart w:id="154" w:name="_Toc59943558"/>
      <w:bookmarkStart w:id="155" w:name="_Toc59943651"/>
      <w:bookmarkStart w:id="156" w:name="_Toc61328000"/>
      <w:bookmarkStart w:id="157" w:name="_Toc61681645"/>
      <w:bookmarkStart w:id="158" w:name="_Toc61681727"/>
      <w:bookmarkStart w:id="159" w:name="_Toc61687435"/>
      <w:bookmarkStart w:id="160" w:name="_Toc95280647"/>
      <w:bookmarkStart w:id="161" w:name="_Toc145395091"/>
      <w:bookmarkStart w:id="162" w:name="_Toc161804547"/>
      <w:bookmarkStart w:id="163" w:name="_Toc405988623"/>
      <w:bookmarkStart w:id="164" w:name="_Toc437340516"/>
      <w:r w:rsidRPr="005E5BFF">
        <w:rPr>
          <w:szCs w:val="20"/>
        </w:rPr>
        <w:t>2.</w:t>
      </w:r>
      <w:r w:rsidRPr="005E5BFF">
        <w:rPr>
          <w:szCs w:val="20"/>
        </w:rPr>
        <w:tab/>
        <w:t>POP-</w:t>
      </w:r>
      <w:r w:rsidRPr="005E5BFF">
        <w:t>related</w:t>
      </w:r>
      <w:r w:rsidRPr="005E5BFF">
        <w:rPr>
          <w:szCs w:val="20"/>
        </w:rPr>
        <w:t xml:space="preserve"> provisions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890CDD" w:rsidRDefault="00890CDD" w:rsidP="00980527">
      <w:pPr>
        <w:pStyle w:val="Paralevel1"/>
        <w:tabs>
          <w:tab w:val="clear" w:pos="1843"/>
          <w:tab w:val="left" w:pos="1701"/>
        </w:tabs>
        <w:ind w:left="1134" w:firstLine="0"/>
      </w:pPr>
      <w:r>
        <w:t xml:space="preserve">Article 1 (“Scope of the Convention”) defines the </w:t>
      </w:r>
      <w:r w:rsidR="004A2E9D">
        <w:t xml:space="preserve">types of </w:t>
      </w:r>
      <w:r>
        <w:t xml:space="preserve">waste </w:t>
      </w:r>
      <w:r w:rsidR="004A2E9D">
        <w:t xml:space="preserve">that are </w:t>
      </w:r>
      <w:r>
        <w:t xml:space="preserve">subject to the Basel Convention. Subparagraph </w:t>
      </w:r>
      <w:r w:rsidR="00424862">
        <w:t xml:space="preserve">1 </w:t>
      </w:r>
      <w:r>
        <w:t xml:space="preserve">(a) of that </w:t>
      </w:r>
      <w:r w:rsidR="00405DFE" w:rsidRPr="00AF3EE2">
        <w:t>a</w:t>
      </w:r>
      <w:r>
        <w:t>rticle sets forth a two-step process for determining whether a “waste” is a “hazardous waste” subject to the Convention: first, the waste must belong to any category contained in Annex I to the Convention (“Categories of wastes to be controlled”), and second, the waste must possess at least one of the characteristics listed in Annex III to the Convention (“List of hazardous characteristics”).</w:t>
      </w:r>
    </w:p>
    <w:p w:rsidR="00890CDD" w:rsidRDefault="00890CDD" w:rsidP="00980527">
      <w:pPr>
        <w:pStyle w:val="Paralevel1"/>
        <w:tabs>
          <w:tab w:val="clear" w:pos="1843"/>
          <w:tab w:val="left" w:pos="1701"/>
        </w:tabs>
        <w:ind w:left="1134" w:firstLine="0"/>
      </w:pPr>
      <w:r>
        <w:t xml:space="preserve">For a list of Annex I and Annex II wastes </w:t>
      </w:r>
      <w:r w:rsidR="003923B9">
        <w:t xml:space="preserve">that </w:t>
      </w:r>
      <w:r>
        <w:t>may consist of, contain or be contaminated with a specific POP,</w:t>
      </w:r>
      <w:r w:rsidRPr="00B757E3">
        <w:t xml:space="preserve"> </w:t>
      </w:r>
      <w:r>
        <w:t xml:space="preserve">refer </w:t>
      </w:r>
      <w:r w:rsidRPr="00B757E3">
        <w:t xml:space="preserve">to the </w:t>
      </w:r>
      <w:r w:rsidRPr="00293F62">
        <w:t xml:space="preserve">specific technical guidelines </w:t>
      </w:r>
      <w:r w:rsidR="00405DFE" w:rsidRPr="00405DFE">
        <w:t xml:space="preserve">pertaining to </w:t>
      </w:r>
      <w:r w:rsidR="00293F62" w:rsidRPr="003923B9">
        <w:t xml:space="preserve">that </w:t>
      </w:r>
      <w:r w:rsidRPr="005E7599">
        <w:t>POP</w:t>
      </w:r>
      <w:r>
        <w:t xml:space="preserve">. </w:t>
      </w:r>
    </w:p>
    <w:p w:rsidR="00890CDD" w:rsidRDefault="00890CDD" w:rsidP="00980527">
      <w:pPr>
        <w:pStyle w:val="Paralevel1"/>
        <w:tabs>
          <w:tab w:val="clear" w:pos="1843"/>
          <w:tab w:val="left" w:pos="1701"/>
        </w:tabs>
        <w:ind w:left="1134" w:firstLine="0"/>
      </w:pPr>
      <w:r>
        <w:t>Annex I wastes are presumed to exhibit one or more Annex III hazard</w:t>
      </w:r>
      <w:r w:rsidR="00424862">
        <w:t>ous</w:t>
      </w:r>
      <w:r>
        <w:t xml:space="preserve"> characteristics, which may include H4.1</w:t>
      </w:r>
      <w:r w:rsidR="00B52931">
        <w:t xml:space="preserve"> </w:t>
      </w:r>
      <w:r>
        <w:t>“Flammable solids”, H6.1 “Poisonous (</w:t>
      </w:r>
      <w:r w:rsidR="00B52931">
        <w:t>A</w:t>
      </w:r>
      <w:r>
        <w:t>cute)”, H11 “Toxic (</w:t>
      </w:r>
      <w:r w:rsidR="00B52931">
        <w:t>D</w:t>
      </w:r>
      <w:r>
        <w:t>elayed or chronic)”, H12 “</w:t>
      </w:r>
      <w:proofErr w:type="spellStart"/>
      <w:r>
        <w:t>Ecotoxic</w:t>
      </w:r>
      <w:proofErr w:type="spellEnd"/>
      <w:r w:rsidR="00405DFE" w:rsidRPr="00AF3EE2">
        <w:t>”,</w:t>
      </w:r>
      <w:r>
        <w:t xml:space="preserve"> </w:t>
      </w:r>
      <w:r w:rsidR="00B52931">
        <w:t xml:space="preserve">or </w:t>
      </w:r>
      <w:r>
        <w:t>H13 “Capable, by any means, after disposal, of yielding another material, e.g.</w:t>
      </w:r>
      <w:r w:rsidR="00B52931">
        <w:t>,</w:t>
      </w:r>
      <w:r>
        <w:t xml:space="preserve"> </w:t>
      </w:r>
      <w:proofErr w:type="spellStart"/>
      <w:r>
        <w:t>leachate</w:t>
      </w:r>
      <w:proofErr w:type="spellEnd"/>
      <w:r>
        <w:t>, which possesses any of the characteristics listed above”, unless, through “national tests”, they can be shown not to exhibit such characteristics. National tests may be useful for identifying a particular hazard</w:t>
      </w:r>
      <w:r w:rsidR="00B52931">
        <w:t>ous</w:t>
      </w:r>
      <w:r>
        <w:t xml:space="preserve"> characteristic listed in Annex III until such time as the hazardous characteristic is fully defined. Guidance papers for Annex III hazardous characteristics H11, H12 and H13 were adopted on an interim basis by the Conference of the Parties to the Basel Convention at its sixth and seventh meetings. </w:t>
      </w:r>
    </w:p>
    <w:p w:rsidR="00890CDD" w:rsidRDefault="00890CDD" w:rsidP="00980527">
      <w:pPr>
        <w:pStyle w:val="Paralevel1"/>
        <w:tabs>
          <w:tab w:val="clear" w:pos="1843"/>
          <w:tab w:val="left" w:pos="1701"/>
        </w:tabs>
        <w:ind w:left="1134" w:firstLine="0"/>
      </w:pPr>
      <w:r>
        <w:t xml:space="preserve">List </w:t>
      </w:r>
      <w:proofErr w:type="gramStart"/>
      <w:r>
        <w:t>A</w:t>
      </w:r>
      <w:proofErr w:type="gramEnd"/>
      <w:r>
        <w:t xml:space="preserve"> of Annex VIII </w:t>
      </w:r>
      <w:r w:rsidR="00424862">
        <w:t xml:space="preserve">to </w:t>
      </w:r>
      <w:r>
        <w:t xml:space="preserve">the Convention </w:t>
      </w:r>
      <w:r w:rsidR="00B52931">
        <w:t xml:space="preserve">lists </w:t>
      </w:r>
      <w:r>
        <w:t>wastes that are “characterized as hazardous under Article 1</w:t>
      </w:r>
      <w:r w:rsidR="00B52931">
        <w:t>,</w:t>
      </w:r>
      <w:r>
        <w:t xml:space="preserve"> paragraph 1 (a)</w:t>
      </w:r>
      <w:r w:rsidR="00B52931">
        <w:t>,</w:t>
      </w:r>
      <w:r>
        <w:t xml:space="preserve"> of this Convention</w:t>
      </w:r>
      <w:r w:rsidR="00B52931">
        <w:t>.</w:t>
      </w:r>
      <w:r>
        <w:t xml:space="preserve">” </w:t>
      </w:r>
      <w:r w:rsidR="00B52931">
        <w:t xml:space="preserve">However, </w:t>
      </w:r>
      <w:r>
        <w:t>“</w:t>
      </w:r>
      <w:r w:rsidR="00424862">
        <w:t>[d]</w:t>
      </w:r>
      <w:proofErr w:type="spellStart"/>
      <w:r>
        <w:t>esignation</w:t>
      </w:r>
      <w:proofErr w:type="spellEnd"/>
      <w:r>
        <w:t xml:space="preserve"> of a waste on Annex VIII does not preclude</w:t>
      </w:r>
      <w:r w:rsidR="00550304">
        <w:t>,</w:t>
      </w:r>
      <w:r>
        <w:t xml:space="preserve"> the use of Annex III </w:t>
      </w:r>
      <w:r w:rsidR="00B52931">
        <w:t xml:space="preserve">[List of </w:t>
      </w:r>
      <w:r>
        <w:t>hazard</w:t>
      </w:r>
      <w:r w:rsidR="00B52931">
        <w:t>ous</w:t>
      </w:r>
      <w:r>
        <w:t xml:space="preserve"> characteristics</w:t>
      </w:r>
      <w:r w:rsidR="00B52931">
        <w:t>]</w:t>
      </w:r>
      <w:r>
        <w:t xml:space="preserve"> to demonstrate that a waste is not hazardous” (Annex I, paragraph (b)). List B of Annex IX lists wastes </w:t>
      </w:r>
      <w:r w:rsidR="00F56BF0">
        <w:t xml:space="preserve">that </w:t>
      </w:r>
      <w:r>
        <w:t>“will not be wastes covered by Article 1, paragraph 1 (a), of this Convention unless they contain Annex I material to an extent causing them to exhibit an Annex III characteristic</w:t>
      </w:r>
      <w:r w:rsidR="00907969">
        <w:t>.</w:t>
      </w:r>
      <w:r>
        <w:t xml:space="preserve">” </w:t>
      </w:r>
    </w:p>
    <w:p w:rsidR="00890CDD" w:rsidRPr="00C54679" w:rsidRDefault="00890CDD" w:rsidP="00980527">
      <w:pPr>
        <w:pStyle w:val="Paralevel1"/>
        <w:tabs>
          <w:tab w:val="clear" w:pos="1843"/>
          <w:tab w:val="left" w:pos="1701"/>
        </w:tabs>
        <w:ind w:left="1134" w:firstLine="0"/>
      </w:pPr>
      <w:bookmarkStart w:id="165" w:name="_Toc145395092"/>
      <w:r w:rsidRPr="00B757E3">
        <w:t xml:space="preserve">For a </w:t>
      </w:r>
      <w:bookmarkEnd w:id="165"/>
      <w:r w:rsidRPr="00B757E3">
        <w:t xml:space="preserve">list of Annex VIII waste characteristics </w:t>
      </w:r>
      <w:bookmarkStart w:id="166" w:name="_Toc145395093"/>
      <w:r>
        <w:t xml:space="preserve">that are applicable to </w:t>
      </w:r>
      <w:r w:rsidR="00293F62">
        <w:t xml:space="preserve">a specific </w:t>
      </w:r>
      <w:r>
        <w:t xml:space="preserve">POP, </w:t>
      </w:r>
      <w:bookmarkEnd w:id="166"/>
      <w:r w:rsidRPr="00B757E3">
        <w:t xml:space="preserve">refer to the </w:t>
      </w:r>
      <w:r w:rsidRPr="005E7599">
        <w:t xml:space="preserve">specific technical guidelines </w:t>
      </w:r>
      <w:r w:rsidR="00405DFE" w:rsidRPr="00405DFE">
        <w:t xml:space="preserve">pertaining to </w:t>
      </w:r>
      <w:r w:rsidR="00293F62" w:rsidRPr="005E7599">
        <w:t>that</w:t>
      </w:r>
      <w:r w:rsidR="00293F62" w:rsidRPr="00B4668C">
        <w:t xml:space="preserve"> </w:t>
      </w:r>
      <w:r w:rsidRPr="00B4668C">
        <w:t>POP</w:t>
      </w:r>
      <w:r w:rsidRPr="00C54679">
        <w:t xml:space="preserve">.  </w:t>
      </w:r>
    </w:p>
    <w:p w:rsidR="00890CDD" w:rsidRDefault="00890CDD" w:rsidP="00980527">
      <w:pPr>
        <w:pStyle w:val="Paralevel1"/>
        <w:tabs>
          <w:tab w:val="clear" w:pos="1843"/>
          <w:tab w:val="left" w:pos="1701"/>
        </w:tabs>
        <w:ind w:left="1134" w:firstLine="0"/>
      </w:pPr>
      <w:r>
        <w:t>As stated in Article 1, paragraph 1 (b), “Wastes that are not covered under paragraph (a) but are defined as, or are considered to be, hazardous wastes by the domestic legislation of the Party of export, import or transit” are also subject to the Basel Convention.</w:t>
      </w:r>
    </w:p>
    <w:p w:rsidR="00890CDD" w:rsidRDefault="00890CDD">
      <w:pPr>
        <w:pStyle w:val="Heading2"/>
        <w:spacing w:before="240" w:after="120"/>
        <w:ind w:left="1134" w:hanging="510"/>
      </w:pPr>
      <w:bookmarkStart w:id="167" w:name="_Toc58997087"/>
      <w:bookmarkStart w:id="168" w:name="_Toc58999163"/>
      <w:bookmarkStart w:id="169" w:name="_Toc58999235"/>
      <w:bookmarkStart w:id="170" w:name="_Toc59943336"/>
      <w:bookmarkStart w:id="171" w:name="_Toc59943501"/>
      <w:bookmarkStart w:id="172" w:name="_Toc59943559"/>
      <w:bookmarkStart w:id="173" w:name="_Toc59943652"/>
      <w:bookmarkStart w:id="174" w:name="_Toc61328001"/>
      <w:bookmarkStart w:id="175" w:name="_Toc61681646"/>
      <w:bookmarkStart w:id="176" w:name="_Toc61681728"/>
      <w:bookmarkStart w:id="177" w:name="_Toc61687436"/>
      <w:bookmarkStart w:id="178" w:name="_Toc161804548"/>
      <w:bookmarkStart w:id="179" w:name="_Toc405988624"/>
      <w:bookmarkStart w:id="180" w:name="_Toc437340517"/>
      <w:bookmarkStart w:id="181" w:name="_Toc49228101"/>
      <w:bookmarkStart w:id="182" w:name="_Toc49228152"/>
      <w:bookmarkStart w:id="183" w:name="_Toc49228274"/>
      <w:bookmarkStart w:id="184" w:name="_Toc49228406"/>
      <w:bookmarkStart w:id="185" w:name="_Toc49228456"/>
      <w:bookmarkStart w:id="186" w:name="_Toc52011546"/>
      <w:bookmarkStart w:id="187" w:name="_Toc52131786"/>
      <w:bookmarkStart w:id="188" w:name="_Toc52175459"/>
      <w:bookmarkStart w:id="189" w:name="_Toc52509361"/>
      <w:bookmarkStart w:id="190" w:name="_Toc52524000"/>
      <w:r>
        <w:t>B.</w:t>
      </w:r>
      <w:r>
        <w:tab/>
        <w:t>Stockholm Convention</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t xml:space="preserve"> </w:t>
      </w:r>
    </w:p>
    <w:p w:rsidR="00890CDD" w:rsidRDefault="00890CDD">
      <w:pPr>
        <w:pStyle w:val="Heading3"/>
        <w:spacing w:before="240" w:after="120"/>
        <w:ind w:left="1134" w:hanging="425"/>
      </w:pPr>
      <w:bookmarkStart w:id="191" w:name="_Toc58997088"/>
      <w:bookmarkStart w:id="192" w:name="_Toc58999164"/>
      <w:bookmarkStart w:id="193" w:name="_Toc58999236"/>
      <w:bookmarkStart w:id="194" w:name="_Toc59943337"/>
      <w:bookmarkStart w:id="195" w:name="_Toc59943502"/>
      <w:bookmarkStart w:id="196" w:name="_Toc59943560"/>
      <w:bookmarkStart w:id="197" w:name="_Toc59943653"/>
      <w:bookmarkStart w:id="198" w:name="_Toc61328002"/>
      <w:bookmarkStart w:id="199" w:name="_Toc61681647"/>
      <w:bookmarkStart w:id="200" w:name="_Toc61681729"/>
      <w:bookmarkStart w:id="201" w:name="_Toc61687437"/>
      <w:bookmarkStart w:id="202" w:name="_Toc95280649"/>
      <w:bookmarkStart w:id="203" w:name="_Toc145395096"/>
      <w:bookmarkStart w:id="204" w:name="_Toc161804549"/>
      <w:bookmarkStart w:id="205" w:name="_Toc405988625"/>
      <w:bookmarkStart w:id="206" w:name="_Toc437340518"/>
      <w:r w:rsidRPr="005E5BFF">
        <w:rPr>
          <w:szCs w:val="20"/>
        </w:rPr>
        <w:t>1.</w:t>
      </w:r>
      <w:r w:rsidRPr="005E5BFF">
        <w:rPr>
          <w:szCs w:val="20"/>
        </w:rPr>
        <w:tab/>
        <w:t>General provisions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890CDD" w:rsidRDefault="00890CDD" w:rsidP="00980527">
      <w:pPr>
        <w:pStyle w:val="Paralevel1"/>
        <w:tabs>
          <w:tab w:val="clear" w:pos="1843"/>
          <w:tab w:val="left" w:pos="1701"/>
        </w:tabs>
        <w:ind w:left="1134" w:firstLine="0"/>
      </w:pPr>
      <w:r>
        <w:t xml:space="preserve">The Stockholm Convention on Persistent Organic Pollutants (POPs) is a global treaty </w:t>
      </w:r>
      <w:r w:rsidR="00293F62">
        <w:t xml:space="preserve">aimed at </w:t>
      </w:r>
      <w:r>
        <w:t>protect</w:t>
      </w:r>
      <w:r w:rsidR="00293F62">
        <w:t>ing</w:t>
      </w:r>
      <w:r>
        <w:t xml:space="preserve"> human health and the environment from persistent organic pollutants. </w:t>
      </w:r>
    </w:p>
    <w:p w:rsidR="00890CDD" w:rsidRDefault="00890CDD" w:rsidP="00980527">
      <w:pPr>
        <w:pStyle w:val="Paralevel1"/>
        <w:tabs>
          <w:tab w:val="clear" w:pos="1843"/>
          <w:tab w:val="left" w:pos="1701"/>
        </w:tabs>
        <w:ind w:left="1134" w:firstLine="0"/>
      </w:pPr>
      <w:r>
        <w:t>The objective of the Stockholm Convention, which entered into force on 17 May 2004, is set forth in Article 1 (“Objective”): “Mindful of the precautionary approach as set forth in Principle 15 of the Rio Declaration on Environment and Development, the objective of this Convention is to protect human health and the environment from persistent organic pollutants</w:t>
      </w:r>
      <w:r w:rsidR="00625D2B">
        <w:t>.</w:t>
      </w:r>
      <w:r>
        <w:t xml:space="preserve">” </w:t>
      </w:r>
    </w:p>
    <w:p w:rsidR="00890CDD" w:rsidRDefault="00890CDD" w:rsidP="00980527">
      <w:pPr>
        <w:pStyle w:val="Paralevel1"/>
        <w:tabs>
          <w:tab w:val="clear" w:pos="1843"/>
          <w:tab w:val="left" w:pos="1701"/>
        </w:tabs>
        <w:ind w:left="1134" w:firstLine="0"/>
      </w:pPr>
      <w:r>
        <w:t>The Stockholm Convention differentiates between two categories of POPs:</w:t>
      </w:r>
    </w:p>
    <w:p w:rsidR="00890CDD" w:rsidRDefault="00890CDD" w:rsidP="00CD3CAA">
      <w:pPr>
        <w:tabs>
          <w:tab w:val="clear" w:pos="1247"/>
          <w:tab w:val="clear" w:pos="1814"/>
          <w:tab w:val="clear" w:pos="2381"/>
          <w:tab w:val="left" w:pos="2268"/>
        </w:tabs>
        <w:spacing w:after="120"/>
        <w:ind w:left="1134" w:firstLine="567"/>
      </w:pPr>
      <w:r>
        <w:t>(a)</w:t>
      </w:r>
      <w:r>
        <w:tab/>
      </w:r>
      <w:r w:rsidRPr="00890CDD">
        <w:rPr>
          <w:lang w:val="en-US"/>
        </w:rPr>
        <w:t>Intentionally</w:t>
      </w:r>
      <w:r>
        <w:t xml:space="preserve"> produced POPs, whose production and use are to be:</w:t>
      </w:r>
    </w:p>
    <w:p w:rsidR="00890CDD" w:rsidRDefault="00890CDD" w:rsidP="00CD3CAA">
      <w:pPr>
        <w:tabs>
          <w:tab w:val="clear" w:pos="1247"/>
          <w:tab w:val="clear" w:pos="1814"/>
          <w:tab w:val="clear" w:pos="2381"/>
          <w:tab w:val="clear" w:pos="2948"/>
          <w:tab w:val="clear" w:pos="3515"/>
        </w:tabs>
        <w:spacing w:after="120"/>
        <w:ind w:left="2268"/>
      </w:pPr>
      <w:r>
        <w:t>(</w:t>
      </w:r>
      <w:proofErr w:type="spellStart"/>
      <w:r>
        <w:t>i</w:t>
      </w:r>
      <w:proofErr w:type="spellEnd"/>
      <w:r>
        <w:t>)</w:t>
      </w:r>
      <w:r>
        <w:tab/>
        <w:t>Eliminated in accordance with the provisions of A</w:t>
      </w:r>
      <w:r w:rsidRPr="00E155F4">
        <w:t>rticle</w:t>
      </w:r>
      <w:r>
        <w:t xml:space="preserve"> 3 and </w:t>
      </w:r>
      <w:r w:rsidRPr="00E155F4">
        <w:t>Annex</w:t>
      </w:r>
      <w:r>
        <w:t xml:space="preserve"> A; or</w:t>
      </w:r>
    </w:p>
    <w:p w:rsidR="00890CDD" w:rsidRDefault="00890CDD" w:rsidP="00CD3CAA">
      <w:pPr>
        <w:tabs>
          <w:tab w:val="clear" w:pos="1247"/>
          <w:tab w:val="clear" w:pos="1814"/>
          <w:tab w:val="clear" w:pos="2381"/>
          <w:tab w:val="clear" w:pos="2948"/>
          <w:tab w:val="clear" w:pos="3515"/>
        </w:tabs>
        <w:spacing w:after="120"/>
        <w:ind w:left="2268"/>
      </w:pPr>
      <w:r>
        <w:t>(ii)</w:t>
      </w:r>
      <w:r>
        <w:tab/>
        <w:t>Restricted in accordance with the provisions of A</w:t>
      </w:r>
      <w:r w:rsidRPr="00E155F4">
        <w:t>rticle</w:t>
      </w:r>
      <w:r>
        <w:t xml:space="preserve"> 3 and Annex B;</w:t>
      </w:r>
      <w:r w:rsidR="007B2A95">
        <w:t xml:space="preserve"> and</w:t>
      </w:r>
    </w:p>
    <w:p w:rsidR="00890CDD" w:rsidRDefault="00890CDD" w:rsidP="00CD3CAA">
      <w:pPr>
        <w:tabs>
          <w:tab w:val="clear" w:pos="1247"/>
          <w:tab w:val="clear" w:pos="1814"/>
          <w:tab w:val="clear" w:pos="2381"/>
          <w:tab w:val="left" w:pos="2268"/>
        </w:tabs>
        <w:spacing w:after="120"/>
        <w:ind w:left="1134" w:firstLine="567"/>
      </w:pPr>
      <w:r>
        <w:t>(b)</w:t>
      </w:r>
      <w:r>
        <w:tab/>
        <w:t xml:space="preserve">Unintentionally produced POPs, for which Parties are required to take measures, in accordance with </w:t>
      </w:r>
      <w:r w:rsidR="007B2A95">
        <w:t>A</w:t>
      </w:r>
      <w:r>
        <w:t>rticle 5 and Annex C, to reduce total releases derived from anthropogenic sources with the goal of their continuing minimization and, where feasible, ultimate elimination.</w:t>
      </w:r>
    </w:p>
    <w:p w:rsidR="00340918" w:rsidRDefault="00340918" w:rsidP="00980527">
      <w:pPr>
        <w:pStyle w:val="Paralevel1"/>
        <w:tabs>
          <w:tab w:val="clear" w:pos="1843"/>
          <w:tab w:val="left" w:pos="1701"/>
        </w:tabs>
        <w:ind w:left="1134" w:firstLine="0"/>
      </w:pPr>
      <w:r>
        <w:t xml:space="preserve">Article </w:t>
      </w:r>
      <w:r w:rsidRPr="00340918">
        <w:t>5</w:t>
      </w:r>
      <w:r w:rsidR="007B2A95">
        <w:t xml:space="preserve">, paragraph </w:t>
      </w:r>
      <w:r w:rsidR="002131B8">
        <w:t>(a)</w:t>
      </w:r>
      <w:r w:rsidR="007B2A95">
        <w:t xml:space="preserve"> </w:t>
      </w:r>
      <w:r w:rsidRPr="00340918">
        <w:t>(</w:t>
      </w:r>
      <w:proofErr w:type="spellStart"/>
      <w:r w:rsidRPr="00340918">
        <w:t>i</w:t>
      </w:r>
      <w:proofErr w:type="spellEnd"/>
      <w:r w:rsidRPr="00340918">
        <w:t>)</w:t>
      </w:r>
      <w:r w:rsidR="007B2A95">
        <w:t>,</w:t>
      </w:r>
      <w:r w:rsidRPr="00340918">
        <w:t xml:space="preserve"> of the Stockholm Convention requires the development and maintenance of source inventories and release estimates for unintentionally produced POPs</w:t>
      </w:r>
      <w:r>
        <w:t>.</w:t>
      </w:r>
    </w:p>
    <w:p w:rsidR="00340918" w:rsidRDefault="00340918" w:rsidP="00980527">
      <w:pPr>
        <w:pStyle w:val="Paralevel1"/>
        <w:tabs>
          <w:tab w:val="clear" w:pos="1843"/>
          <w:tab w:val="left" w:pos="1701"/>
        </w:tabs>
        <w:ind w:left="1134" w:firstLine="0"/>
      </w:pPr>
      <w:r>
        <w:t>Under Article 7 (“Implementation plans”), paragraph 1, the Convention requires each Party to:</w:t>
      </w:r>
    </w:p>
    <w:p w:rsidR="00340918" w:rsidRDefault="00340918" w:rsidP="00CD3CAA">
      <w:pPr>
        <w:tabs>
          <w:tab w:val="clear" w:pos="1247"/>
          <w:tab w:val="clear" w:pos="1814"/>
          <w:tab w:val="clear" w:pos="2381"/>
          <w:tab w:val="left" w:pos="2268"/>
        </w:tabs>
        <w:spacing w:after="120"/>
        <w:ind w:left="1134" w:firstLine="567"/>
      </w:pPr>
      <w:r>
        <w:t>“(</w:t>
      </w:r>
      <w:proofErr w:type="gramStart"/>
      <w:r>
        <w:t>a</w:t>
      </w:r>
      <w:proofErr w:type="gramEnd"/>
      <w:r>
        <w:t>)</w:t>
      </w:r>
      <w:r>
        <w:tab/>
      </w:r>
      <w:r w:rsidRPr="00CD3CAA">
        <w:rPr>
          <w:lang w:val="en-US"/>
        </w:rPr>
        <w:t>Develop</w:t>
      </w:r>
      <w:r>
        <w:t xml:space="preserve"> and endeavour to implement a plan for the implementation of its obligations under th</w:t>
      </w:r>
      <w:r w:rsidR="008663DD">
        <w:t>is</w:t>
      </w:r>
      <w:r>
        <w:t xml:space="preserve"> Convention;</w:t>
      </w:r>
    </w:p>
    <w:p w:rsidR="00340918" w:rsidRDefault="00340918" w:rsidP="00CD3CAA">
      <w:pPr>
        <w:tabs>
          <w:tab w:val="clear" w:pos="1247"/>
          <w:tab w:val="clear" w:pos="1814"/>
          <w:tab w:val="clear" w:pos="2381"/>
          <w:tab w:val="left" w:pos="2268"/>
        </w:tabs>
        <w:spacing w:after="120"/>
        <w:ind w:left="1134" w:firstLine="567"/>
      </w:pPr>
      <w:r>
        <w:t xml:space="preserve">(b) </w:t>
      </w:r>
      <w:r>
        <w:tab/>
        <w:t>Transmit its implementation plan to the Conference of the Parties within two years of the date on which this Convention enters into force for it; and</w:t>
      </w:r>
    </w:p>
    <w:p w:rsidR="00340918" w:rsidRDefault="00340918" w:rsidP="00CD3CAA">
      <w:pPr>
        <w:tabs>
          <w:tab w:val="clear" w:pos="1247"/>
          <w:tab w:val="clear" w:pos="1814"/>
          <w:tab w:val="clear" w:pos="2381"/>
          <w:tab w:val="left" w:pos="2268"/>
        </w:tabs>
        <w:spacing w:after="120"/>
        <w:ind w:left="1134" w:firstLine="567"/>
      </w:pPr>
      <w:proofErr w:type="gramStart"/>
      <w:r>
        <w:t xml:space="preserve">(c) </w:t>
      </w:r>
      <w:r>
        <w:tab/>
        <w:t>Review and update, as appropriate, its implementation plan on a periodic basis and in a manner to be specified by a decision of the Conference of the Parties.”</w:t>
      </w:r>
      <w:proofErr w:type="gramEnd"/>
    </w:p>
    <w:p w:rsidR="00890CDD" w:rsidRDefault="00890CDD">
      <w:pPr>
        <w:pStyle w:val="Heading3"/>
        <w:spacing w:before="240" w:after="120"/>
        <w:ind w:left="1134" w:hanging="425"/>
      </w:pPr>
      <w:bookmarkStart w:id="207" w:name="_Toc49228102"/>
      <w:bookmarkStart w:id="208" w:name="_Toc49228153"/>
      <w:bookmarkStart w:id="209" w:name="_Toc49228275"/>
      <w:bookmarkStart w:id="210" w:name="_Toc49228407"/>
      <w:bookmarkStart w:id="211" w:name="_Toc49228457"/>
      <w:bookmarkStart w:id="212" w:name="_Toc52011547"/>
      <w:bookmarkStart w:id="213" w:name="_Toc52131787"/>
      <w:bookmarkStart w:id="214" w:name="_Toc52175460"/>
      <w:bookmarkStart w:id="215" w:name="_Toc52509362"/>
      <w:bookmarkStart w:id="216" w:name="_Toc52524001"/>
      <w:bookmarkStart w:id="217" w:name="_Toc58997089"/>
      <w:bookmarkStart w:id="218" w:name="_Toc58999165"/>
      <w:bookmarkStart w:id="219" w:name="_Toc58999237"/>
      <w:bookmarkStart w:id="220" w:name="_Toc59943338"/>
      <w:bookmarkStart w:id="221" w:name="_Toc59943503"/>
      <w:bookmarkStart w:id="222" w:name="_Toc59943561"/>
      <w:bookmarkStart w:id="223" w:name="_Toc59943654"/>
      <w:bookmarkStart w:id="224" w:name="_Toc61328003"/>
      <w:bookmarkStart w:id="225" w:name="_Toc61681648"/>
      <w:bookmarkStart w:id="226" w:name="_Toc61681730"/>
      <w:bookmarkStart w:id="227" w:name="_Toc61687438"/>
      <w:bookmarkStart w:id="228" w:name="_Toc95280650"/>
      <w:bookmarkStart w:id="229" w:name="_Toc145395097"/>
      <w:bookmarkStart w:id="230" w:name="_Toc161804550"/>
      <w:bookmarkStart w:id="231" w:name="_Toc405988626"/>
      <w:bookmarkStart w:id="232" w:name="_Toc437340519"/>
      <w:r w:rsidRPr="005E5BFF">
        <w:rPr>
          <w:szCs w:val="20"/>
        </w:rPr>
        <w:t>2.</w:t>
      </w:r>
      <w:r w:rsidRPr="005E5BFF">
        <w:rPr>
          <w:szCs w:val="20"/>
        </w:rPr>
        <w:tab/>
      </w:r>
      <w:bookmarkEnd w:id="207"/>
      <w:bookmarkEnd w:id="208"/>
      <w:bookmarkEnd w:id="209"/>
      <w:bookmarkEnd w:id="210"/>
      <w:bookmarkEnd w:id="211"/>
      <w:bookmarkEnd w:id="212"/>
      <w:bookmarkEnd w:id="213"/>
      <w:bookmarkEnd w:id="214"/>
      <w:bookmarkEnd w:id="215"/>
      <w:bookmarkEnd w:id="216"/>
      <w:r w:rsidRPr="005E5BFF">
        <w:rPr>
          <w:szCs w:val="20"/>
        </w:rPr>
        <w:t>Waste-related provisions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890CDD" w:rsidRDefault="00890CDD" w:rsidP="00980527">
      <w:pPr>
        <w:pStyle w:val="Paralevel1"/>
        <w:tabs>
          <w:tab w:val="clear" w:pos="1843"/>
          <w:tab w:val="left" w:pos="1701"/>
        </w:tabs>
        <w:ind w:left="1134" w:firstLine="0"/>
      </w:pPr>
      <w:r>
        <w:t>Article 6 (“Measures to reduce or eliminate releases from stockpiles and wastes”) sets forth waste</w:t>
      </w:r>
      <w:r w:rsidR="008663DD">
        <w:t>-</w:t>
      </w:r>
      <w:r>
        <w:t>related provisions as follows:</w:t>
      </w:r>
    </w:p>
    <w:p w:rsidR="00890CDD" w:rsidRDefault="00890CDD" w:rsidP="00CD3CAA">
      <w:pPr>
        <w:tabs>
          <w:tab w:val="clear" w:pos="1247"/>
          <w:tab w:val="clear" w:pos="1814"/>
          <w:tab w:val="clear" w:pos="2381"/>
          <w:tab w:val="left" w:pos="2268"/>
        </w:tabs>
        <w:spacing w:after="120"/>
        <w:ind w:left="1701"/>
      </w:pPr>
      <w:r>
        <w:t>“1.</w:t>
      </w:r>
      <w:r>
        <w:tab/>
        <w:t>In order to ensure that stockpiles consisting of or containing chemicals listed either in Annex A or Annex B and wastes, including products and articles upon becoming wastes, consisting of, containing or contaminated with a chemical listed in Annex A, B or C, are managed in a manner protective of human health and the environment, each Party shall:</w:t>
      </w:r>
    </w:p>
    <w:p w:rsidR="00890CDD" w:rsidRDefault="00890CDD" w:rsidP="00CD3CAA">
      <w:pPr>
        <w:tabs>
          <w:tab w:val="clear" w:pos="1814"/>
          <w:tab w:val="clear" w:pos="2381"/>
          <w:tab w:val="clear" w:pos="2948"/>
          <w:tab w:val="left" w:pos="2268"/>
          <w:tab w:val="left" w:pos="2835"/>
        </w:tabs>
        <w:spacing w:after="120"/>
        <w:ind w:left="1758"/>
      </w:pPr>
      <w:r>
        <w:tab/>
        <w:t>(a)</w:t>
      </w:r>
      <w:r>
        <w:tab/>
        <w:t>Develop appropriate strategies for identifying:</w:t>
      </w:r>
    </w:p>
    <w:p w:rsidR="00890CDD" w:rsidRDefault="00890CDD" w:rsidP="00CD3CAA">
      <w:pPr>
        <w:tabs>
          <w:tab w:val="clear" w:pos="2948"/>
          <w:tab w:val="clear" w:pos="3515"/>
          <w:tab w:val="left" w:pos="2835"/>
          <w:tab w:val="left" w:pos="3402"/>
        </w:tabs>
        <w:spacing w:after="120"/>
        <w:ind w:left="3402" w:hanging="567"/>
      </w:pPr>
      <w:r>
        <w:t>(</w:t>
      </w:r>
      <w:proofErr w:type="spellStart"/>
      <w:r>
        <w:t>i</w:t>
      </w:r>
      <w:proofErr w:type="spellEnd"/>
      <w:r>
        <w:t>)</w:t>
      </w:r>
      <w:r>
        <w:tab/>
        <w:t>Stockpiles consisting of or containing chemicals listed either in Annex A or Annex B; and</w:t>
      </w:r>
    </w:p>
    <w:p w:rsidR="00890CDD" w:rsidRDefault="00890CDD" w:rsidP="00CD3CAA">
      <w:pPr>
        <w:tabs>
          <w:tab w:val="clear" w:pos="2948"/>
          <w:tab w:val="clear" w:pos="3515"/>
          <w:tab w:val="left" w:pos="2835"/>
          <w:tab w:val="left" w:pos="3402"/>
        </w:tabs>
        <w:spacing w:after="120"/>
        <w:ind w:left="3402" w:hanging="567"/>
      </w:pPr>
      <w:r>
        <w:t>(ii)</w:t>
      </w:r>
      <w:r>
        <w:tab/>
        <w:t>Products and articles in use and wastes consisting of, containing or contaminated with a chemical listed in Annex A, B or C;</w:t>
      </w:r>
    </w:p>
    <w:p w:rsidR="00890CDD" w:rsidRDefault="00890CDD" w:rsidP="00CD3CAA">
      <w:pPr>
        <w:tabs>
          <w:tab w:val="clear" w:pos="1814"/>
          <w:tab w:val="clear" w:pos="2381"/>
          <w:tab w:val="clear" w:pos="2948"/>
          <w:tab w:val="left" w:pos="2268"/>
          <w:tab w:val="left" w:pos="2835"/>
        </w:tabs>
        <w:spacing w:after="120"/>
        <w:ind w:left="1758"/>
      </w:pPr>
      <w:r>
        <w:tab/>
        <w:t>(</w:t>
      </w:r>
      <w:proofErr w:type="gramStart"/>
      <w:r>
        <w:t>b</w:t>
      </w:r>
      <w:proofErr w:type="gramEnd"/>
      <w:r>
        <w:t>)</w:t>
      </w:r>
      <w:r>
        <w:tab/>
        <w:t>Identify, to the extent practicable, stockpiles consisting of or containing chemicals listed either in Annex A or Annex B on the basis of the strategies referred to in subparagraph (a);</w:t>
      </w:r>
    </w:p>
    <w:p w:rsidR="00890CDD" w:rsidRDefault="00890CDD" w:rsidP="00CD3CAA">
      <w:pPr>
        <w:tabs>
          <w:tab w:val="clear" w:pos="1814"/>
          <w:tab w:val="clear" w:pos="2381"/>
          <w:tab w:val="clear" w:pos="2948"/>
          <w:tab w:val="left" w:pos="2268"/>
          <w:tab w:val="left" w:pos="2835"/>
        </w:tabs>
        <w:spacing w:after="120"/>
        <w:ind w:left="1758"/>
      </w:pPr>
      <w:r>
        <w:tab/>
        <w:t>(c)</w:t>
      </w:r>
      <w:r>
        <w:tab/>
        <w:t>Manage stockpiles, as appropriate, in a safe, efficient and environmentally sound manner. Stockpiles of chemicals listed</w:t>
      </w:r>
      <w:r w:rsidR="001C2ACA">
        <w:t xml:space="preserve"> either in </w:t>
      </w:r>
      <w:r>
        <w:t>Annex A or Annex B, after they are no longer allowed to be used according to any specific exemption specified in Annex A or any specific exemption or acceptable purpose specified in Annex B, except stockpiles which are allowed to be exported according to paragraph 2 of Article 3, shall be deemed to be waste and shall be managed in accordance with subparagraph (d);</w:t>
      </w:r>
    </w:p>
    <w:p w:rsidR="00890CDD" w:rsidRDefault="00890CDD" w:rsidP="00CD3CAA">
      <w:pPr>
        <w:tabs>
          <w:tab w:val="clear" w:pos="1814"/>
          <w:tab w:val="clear" w:pos="2381"/>
          <w:tab w:val="clear" w:pos="2948"/>
          <w:tab w:val="left" w:pos="2268"/>
          <w:tab w:val="left" w:pos="2835"/>
        </w:tabs>
        <w:spacing w:after="120"/>
        <w:ind w:left="1758"/>
      </w:pPr>
      <w:r>
        <w:tab/>
        <w:t>(d)</w:t>
      </w:r>
      <w:r>
        <w:tab/>
        <w:t>Take appropriate measures so that such wastes, including products and articles upon becoming wastes, are:</w:t>
      </w:r>
    </w:p>
    <w:p w:rsidR="00890CDD" w:rsidRDefault="00890CDD" w:rsidP="00CD3CAA">
      <w:pPr>
        <w:tabs>
          <w:tab w:val="clear" w:pos="2948"/>
          <w:tab w:val="clear" w:pos="3515"/>
          <w:tab w:val="left" w:pos="2835"/>
          <w:tab w:val="left" w:pos="3402"/>
        </w:tabs>
        <w:spacing w:after="120"/>
        <w:ind w:left="3402" w:hanging="567"/>
      </w:pPr>
      <w:r>
        <w:t>(</w:t>
      </w:r>
      <w:proofErr w:type="spellStart"/>
      <w:r>
        <w:t>i</w:t>
      </w:r>
      <w:proofErr w:type="spellEnd"/>
      <w:r>
        <w:t>)</w:t>
      </w:r>
      <w:r>
        <w:tab/>
        <w:t>Handled, collected, transported and stored in an environmentally sound manner;</w:t>
      </w:r>
    </w:p>
    <w:p w:rsidR="00890CDD" w:rsidRDefault="00890CDD" w:rsidP="00CD3CAA">
      <w:pPr>
        <w:tabs>
          <w:tab w:val="clear" w:pos="2948"/>
          <w:tab w:val="clear" w:pos="3515"/>
          <w:tab w:val="left" w:pos="2835"/>
          <w:tab w:val="left" w:pos="3402"/>
        </w:tabs>
        <w:spacing w:after="120"/>
        <w:ind w:left="3402" w:hanging="567"/>
      </w:pPr>
      <w:r>
        <w:t>(ii)</w:t>
      </w:r>
      <w:r>
        <w:tab/>
        <w:t>Disposed of in such a way that the persistent organic pollutant content is destroyed or irreversibly transformed so that they do not exhibit the characteristics of persistent organic pollutants or otherwise disposed of in an environmentally sound manner when destruction or irreversible transformation does not represent the environmentally preferable option or the persistent organic pollutant content is low, taking into account international rules, standards, and guidelines, including those that may be developed pursuant to paragraph 2, and relevant global and regional regimes governing the management of hazardous wastes;</w:t>
      </w:r>
    </w:p>
    <w:p w:rsidR="00890CDD" w:rsidRDefault="00890CDD" w:rsidP="00CD3CAA">
      <w:pPr>
        <w:tabs>
          <w:tab w:val="clear" w:pos="2948"/>
          <w:tab w:val="clear" w:pos="3515"/>
          <w:tab w:val="left" w:pos="2835"/>
          <w:tab w:val="left" w:pos="3402"/>
        </w:tabs>
        <w:spacing w:after="120"/>
        <w:ind w:left="3402" w:hanging="567"/>
      </w:pPr>
      <w:r>
        <w:t>(iii)</w:t>
      </w:r>
      <w:r>
        <w:tab/>
        <w:t>Not permitted to be subjected to disposal operations that may lead to recovery, recycling, reclamation, direct reuse or alternative uses of persistent organic pollutants; and</w:t>
      </w:r>
    </w:p>
    <w:p w:rsidR="00890CDD" w:rsidRDefault="00890CDD" w:rsidP="00CD3CAA">
      <w:pPr>
        <w:tabs>
          <w:tab w:val="clear" w:pos="2948"/>
          <w:tab w:val="clear" w:pos="3515"/>
          <w:tab w:val="left" w:pos="2835"/>
          <w:tab w:val="left" w:pos="3402"/>
        </w:tabs>
        <w:spacing w:after="120"/>
        <w:ind w:left="3402" w:hanging="567"/>
      </w:pPr>
      <w:proofErr w:type="gramStart"/>
      <w:r>
        <w:t>(iv)</w:t>
      </w:r>
      <w:r>
        <w:tab/>
        <w:t>Not</w:t>
      </w:r>
      <w:proofErr w:type="gramEnd"/>
      <w:r>
        <w:t xml:space="preserve"> transported across international boundaries without taking into account relevant international rules, standards and guidelines;</w:t>
      </w:r>
    </w:p>
    <w:p w:rsidR="00890CDD" w:rsidRDefault="00890CDD" w:rsidP="00CD3CAA">
      <w:pPr>
        <w:tabs>
          <w:tab w:val="clear" w:pos="1814"/>
          <w:tab w:val="clear" w:pos="2381"/>
          <w:tab w:val="clear" w:pos="2948"/>
          <w:tab w:val="left" w:pos="2268"/>
          <w:tab w:val="left" w:pos="2835"/>
        </w:tabs>
        <w:spacing w:after="120"/>
        <w:ind w:left="1758"/>
      </w:pPr>
      <w:r>
        <w:tab/>
        <w:t>(e)</w:t>
      </w:r>
      <w:r>
        <w:tab/>
        <w:t>Endeavour to develop appropriate strategies for identifying sites contaminated by chemicals listed in Annex A, B or C; if remediation of those sites is undertaken it shall be performed in an environmentally sound manner.</w:t>
      </w:r>
    </w:p>
    <w:p w:rsidR="00890CDD" w:rsidRDefault="00890CDD" w:rsidP="00CD3CAA">
      <w:pPr>
        <w:tabs>
          <w:tab w:val="clear" w:pos="1247"/>
          <w:tab w:val="clear" w:pos="1814"/>
          <w:tab w:val="clear" w:pos="2381"/>
          <w:tab w:val="left" w:pos="2268"/>
        </w:tabs>
        <w:spacing w:after="120"/>
        <w:ind w:left="1701"/>
      </w:pPr>
      <w:r>
        <w:t>2.</w:t>
      </w:r>
      <w:r>
        <w:tab/>
        <w:t xml:space="preserve">The Conference of the Parties shall cooperate closely with the appropriate bodies of the Basel Convention on the Control of </w:t>
      </w:r>
      <w:proofErr w:type="spellStart"/>
      <w:r>
        <w:t>Transboundary</w:t>
      </w:r>
      <w:proofErr w:type="spellEnd"/>
      <w:r>
        <w:t xml:space="preserve"> Movements of Hazardous Wastes and Their Disposal to, </w:t>
      </w:r>
      <w:r w:rsidR="00405DFE" w:rsidRPr="00405DFE">
        <w:rPr>
          <w:i/>
        </w:rPr>
        <w:t>inter alia</w:t>
      </w:r>
      <w:r>
        <w:t xml:space="preserve">: </w:t>
      </w:r>
    </w:p>
    <w:p w:rsidR="00890CDD" w:rsidRDefault="00890CDD" w:rsidP="00CD3CAA">
      <w:pPr>
        <w:tabs>
          <w:tab w:val="clear" w:pos="1814"/>
          <w:tab w:val="clear" w:pos="2381"/>
          <w:tab w:val="clear" w:pos="2948"/>
          <w:tab w:val="left" w:pos="2268"/>
          <w:tab w:val="left" w:pos="2835"/>
        </w:tabs>
        <w:spacing w:after="120"/>
        <w:ind w:left="1758"/>
      </w:pPr>
      <w:r>
        <w:tab/>
        <w:t xml:space="preserve">(a) </w:t>
      </w:r>
      <w:r>
        <w:tab/>
        <w:t>Establish levels of destruction and irreversible transformation necessary to ensure that the characteristics of persistent organic pollutants as specified in paragraph 1 of Annex D are not exhibited;</w:t>
      </w:r>
    </w:p>
    <w:p w:rsidR="00890CDD" w:rsidRDefault="00890CDD" w:rsidP="00CD3CAA">
      <w:pPr>
        <w:tabs>
          <w:tab w:val="clear" w:pos="1814"/>
          <w:tab w:val="clear" w:pos="2381"/>
          <w:tab w:val="clear" w:pos="2948"/>
          <w:tab w:val="left" w:pos="2268"/>
          <w:tab w:val="left" w:pos="2835"/>
        </w:tabs>
        <w:spacing w:after="120"/>
        <w:ind w:left="1758"/>
      </w:pPr>
      <w:r>
        <w:tab/>
        <w:t>(b)</w:t>
      </w:r>
      <w:r>
        <w:tab/>
        <w:t xml:space="preserve">Determine what they consider to be the methods that constitute environmentally sound disposal referred to above; and </w:t>
      </w:r>
    </w:p>
    <w:p w:rsidR="00890CDD" w:rsidRDefault="00890CDD" w:rsidP="00CD3CAA">
      <w:pPr>
        <w:tabs>
          <w:tab w:val="clear" w:pos="1814"/>
          <w:tab w:val="clear" w:pos="2381"/>
          <w:tab w:val="clear" w:pos="2948"/>
          <w:tab w:val="left" w:pos="2268"/>
          <w:tab w:val="left" w:pos="2835"/>
        </w:tabs>
        <w:spacing w:after="120"/>
        <w:ind w:left="1758"/>
      </w:pPr>
      <w:r>
        <w:tab/>
        <w:t>(c)</w:t>
      </w:r>
      <w:r>
        <w:tab/>
        <w:t>Work to establish, as appropriate, the concentration levels of the chemicals listed in Annexes A, B and C in order to define the low persistent organic pollutant content referred to in paragraph 1 (d) (ii).”</w:t>
      </w:r>
    </w:p>
    <w:p w:rsidR="00890CDD" w:rsidRDefault="00890CDD" w:rsidP="00980527">
      <w:pPr>
        <w:pStyle w:val="Paralevel1"/>
        <w:tabs>
          <w:tab w:val="clear" w:pos="1843"/>
          <w:tab w:val="left" w:pos="1701"/>
        </w:tabs>
        <w:ind w:left="1134" w:firstLine="0"/>
      </w:pPr>
      <w:r>
        <w:t>Article 3, paragraph 2 (a) (</w:t>
      </w:r>
      <w:proofErr w:type="spellStart"/>
      <w:r>
        <w:t>i</w:t>
      </w:r>
      <w:proofErr w:type="spellEnd"/>
      <w:r>
        <w:t>), pertaining to imports</w:t>
      </w:r>
      <w:r w:rsidRPr="00D861E0">
        <w:t>, stipulates: “Each Party shall take measures to ensure that a chemical listed in Annex A or Annex B is imported</w:t>
      </w:r>
      <w:r>
        <w:t xml:space="preserve"> only for the purpose of environmentally sound disposal as set forth in paragraph 1 (d) of Article 6.” Similarly, </w:t>
      </w:r>
      <w:r w:rsidR="006A7F79">
        <w:t>A</w:t>
      </w:r>
      <w:r>
        <w:t>rticle 3, paragraph 2 (b) (</w:t>
      </w:r>
      <w:proofErr w:type="spellStart"/>
      <w:r>
        <w:t>i</w:t>
      </w:r>
      <w:proofErr w:type="spellEnd"/>
      <w:r>
        <w:t xml:space="preserve">), requires that: “Each Party take measures to ensure that a chemical listed in Annex A for which any production or use specific exemption is in effect or a chemical listed in Annex B for which any production or use specific exemption or acceptable purpose is in effect, taking into account any relevant provisions in existing international prior informed consent instruments, is </w:t>
      </w:r>
      <w:r w:rsidRPr="00C54679">
        <w:t xml:space="preserve">exported only </w:t>
      </w:r>
      <w:r>
        <w:t>for the purpose of environmentally sound disposal as set forth in paragraph 1 (d) of Article 6.”</w:t>
      </w:r>
    </w:p>
    <w:p w:rsidR="00890CDD" w:rsidRDefault="00890CDD" w:rsidP="00980527">
      <w:pPr>
        <w:pStyle w:val="Paralevel1"/>
        <w:tabs>
          <w:tab w:val="clear" w:pos="1843"/>
          <w:tab w:val="left" w:pos="1701"/>
        </w:tabs>
        <w:ind w:left="1134" w:firstLine="0"/>
      </w:pPr>
      <w:r>
        <w:t>Annex C, Part II, outlines industrial source categories that have the potential for comparatively high formation and release to the environment of POPs listed in Annex C. Part III outlines source categories from which POPs listed in Annex C may be unintentionally formed and released. Part V outlines general guidance on BAT and BEP.</w:t>
      </w:r>
    </w:p>
    <w:p w:rsidR="00890CDD" w:rsidRDefault="00890CDD">
      <w:pPr>
        <w:pStyle w:val="Heading1"/>
        <w:tabs>
          <w:tab w:val="left" w:pos="1134"/>
        </w:tabs>
        <w:spacing w:before="240"/>
        <w:ind w:left="1134" w:hanging="567"/>
      </w:pPr>
      <w:bookmarkStart w:id="233" w:name="_Toc49228108"/>
      <w:bookmarkStart w:id="234" w:name="_Toc49228159"/>
      <w:bookmarkStart w:id="235" w:name="_Toc49228281"/>
      <w:bookmarkStart w:id="236" w:name="_Toc49228413"/>
      <w:bookmarkStart w:id="237" w:name="_Toc49228463"/>
      <w:bookmarkStart w:id="238" w:name="_Toc52011553"/>
      <w:bookmarkStart w:id="239" w:name="_Toc52131793"/>
      <w:bookmarkStart w:id="240" w:name="_Toc52175466"/>
      <w:bookmarkStart w:id="241" w:name="_Toc52509367"/>
      <w:bookmarkStart w:id="242" w:name="_Toc52524007"/>
      <w:bookmarkStart w:id="243" w:name="_Toc58997095"/>
      <w:bookmarkStart w:id="244" w:name="_Toc58999167"/>
      <w:bookmarkStart w:id="245" w:name="_Toc58999239"/>
      <w:bookmarkStart w:id="246" w:name="_Toc59943340"/>
      <w:bookmarkStart w:id="247" w:name="_Toc59943505"/>
      <w:bookmarkStart w:id="248" w:name="_Toc59943563"/>
      <w:bookmarkStart w:id="249" w:name="_Toc59943656"/>
      <w:bookmarkStart w:id="250" w:name="_Toc61328005"/>
      <w:bookmarkStart w:id="251" w:name="_Toc61681649"/>
      <w:bookmarkStart w:id="252" w:name="_Toc61681731"/>
      <w:bookmarkStart w:id="253" w:name="_Toc61687439"/>
      <w:bookmarkStart w:id="254" w:name="_Toc405988627"/>
      <w:bookmarkStart w:id="255" w:name="_Toc437340520"/>
      <w:r w:rsidRPr="00053865">
        <w:rPr>
          <w:rFonts w:ascii="Times New Roman" w:hAnsi="Times New Roman"/>
          <w:sz w:val="28"/>
          <w:szCs w:val="28"/>
        </w:rPr>
        <w:t>III.</w:t>
      </w:r>
      <w:r w:rsidRPr="00053865">
        <w:rPr>
          <w:rFonts w:ascii="Times New Roman" w:hAnsi="Times New Roman"/>
          <w:sz w:val="28"/>
          <w:szCs w:val="28"/>
        </w:rPr>
        <w:tab/>
      </w:r>
      <w:bookmarkStart w:id="256" w:name="_Toc161804551"/>
      <w:bookmarkEnd w:id="233"/>
      <w:bookmarkEnd w:id="234"/>
      <w:bookmarkEnd w:id="235"/>
      <w:bookmarkEnd w:id="236"/>
      <w:bookmarkEnd w:id="237"/>
      <w:bookmarkEnd w:id="238"/>
      <w:bookmarkEnd w:id="239"/>
      <w:bookmarkEnd w:id="240"/>
      <w:bookmarkEnd w:id="241"/>
      <w:bookmarkEnd w:id="242"/>
      <w:r w:rsidRPr="00053865">
        <w:rPr>
          <w:rFonts w:ascii="Times New Roman" w:hAnsi="Times New Roman"/>
          <w:sz w:val="28"/>
          <w:szCs w:val="28"/>
        </w:rPr>
        <w:t>Issues under the Stockholm Convention to be addressed cooperatively with the Basel Convention</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890CDD" w:rsidRDefault="00890CDD">
      <w:pPr>
        <w:pStyle w:val="Heading2"/>
        <w:spacing w:before="240" w:after="120"/>
        <w:ind w:left="1134" w:hanging="510"/>
      </w:pPr>
      <w:bookmarkStart w:id="257" w:name="_Toc161804552"/>
      <w:bookmarkStart w:id="258" w:name="_Toc405988628"/>
      <w:bookmarkStart w:id="259" w:name="_Toc437340521"/>
      <w:r>
        <w:t>A.</w:t>
      </w:r>
      <w:r>
        <w:tab/>
        <w:t>Low POP content</w:t>
      </w:r>
      <w:bookmarkEnd w:id="257"/>
      <w:bookmarkEnd w:id="258"/>
      <w:bookmarkEnd w:id="259"/>
      <w:r w:rsidR="00E97684">
        <w:t xml:space="preserve"> </w:t>
      </w:r>
    </w:p>
    <w:p w:rsidR="00890CDD" w:rsidRDefault="00890CDD" w:rsidP="00980527">
      <w:pPr>
        <w:pStyle w:val="Paralevel1"/>
        <w:tabs>
          <w:tab w:val="clear" w:pos="1843"/>
          <w:tab w:val="left" w:pos="1701"/>
        </w:tabs>
        <w:ind w:left="1134" w:firstLine="0"/>
      </w:pPr>
      <w:r>
        <w:t xml:space="preserve">As stated in Article 6, paragraph 2 (c), of the Stockholm Convention, </w:t>
      </w:r>
      <w:r w:rsidRPr="00A26B89">
        <w:t xml:space="preserve">the </w:t>
      </w:r>
      <w:r w:rsidR="00424862" w:rsidRPr="00A26B89">
        <w:t xml:space="preserve">Conference of the Parties to the </w:t>
      </w:r>
      <w:r w:rsidRPr="00A26B89">
        <w:t xml:space="preserve">Stockholm </w:t>
      </w:r>
      <w:r w:rsidR="00405DFE" w:rsidRPr="00405DFE">
        <w:t>C</w:t>
      </w:r>
      <w:r w:rsidR="00424862" w:rsidRPr="00A26B89">
        <w:t>onvention</w:t>
      </w:r>
      <w:r w:rsidR="00424862">
        <w:t xml:space="preserve"> </w:t>
      </w:r>
      <w:r>
        <w:t xml:space="preserve">shall cooperate closely with the appropriate bodies of the Basel Convention to “work to establish, as appropriate, the concentration levels of the chemicals listed in </w:t>
      </w:r>
      <w:r w:rsidR="00102AD6">
        <w:t>a</w:t>
      </w:r>
      <w:r>
        <w:t xml:space="preserve">nnexes A, B and C in order to define the low persistent organic pollutant </w:t>
      </w:r>
      <w:r w:rsidR="003B43A6">
        <w:t xml:space="preserve">content </w:t>
      </w:r>
      <w:r>
        <w:t>referred to in paragraph 1 (d) (ii).”</w:t>
      </w:r>
    </w:p>
    <w:p w:rsidR="000E79E2" w:rsidRDefault="00462541" w:rsidP="00980527">
      <w:pPr>
        <w:pStyle w:val="Paralevel1"/>
        <w:tabs>
          <w:tab w:val="clear" w:pos="1843"/>
          <w:tab w:val="left" w:pos="1701"/>
        </w:tabs>
        <w:ind w:left="1134" w:firstLine="0"/>
      </w:pPr>
      <w:r>
        <w:t xml:space="preserve">Under the Stockholm Convention, </w:t>
      </w:r>
      <w:r w:rsidR="007D293F">
        <w:t xml:space="preserve">POP </w:t>
      </w:r>
      <w:r w:rsidR="00050194">
        <w:t>w</w:t>
      </w:r>
      <w:r w:rsidR="00890CDD">
        <w:t>astes</w:t>
      </w:r>
      <w:r w:rsidR="007D293F">
        <w:t xml:space="preserve"> are,</w:t>
      </w:r>
      <w:r w:rsidR="00890CDD">
        <w:t xml:space="preserve"> in accordance with Article 6, paragraph 1 (d) (ii), </w:t>
      </w:r>
      <w:r w:rsidR="007D293F">
        <w:t>to</w:t>
      </w:r>
      <w:r w:rsidR="00050194">
        <w:t xml:space="preserve"> </w:t>
      </w:r>
      <w:r w:rsidR="00890CDD">
        <w:t>be disposed of in such a way that the POP content is destroyed or irreversibly transformed so that they do not exhibit the characteristics of POPs</w:t>
      </w:r>
      <w:r w:rsidR="00181933">
        <w:t>. O</w:t>
      </w:r>
      <w:r w:rsidR="00890CDD">
        <w:t>therwise</w:t>
      </w:r>
      <w:r w:rsidR="00181933">
        <w:t>, they may be</w:t>
      </w:r>
      <w:r w:rsidR="00890CDD">
        <w:t xml:space="preserve"> disposed of in an environmentally sound manner when destruction or irreversible transformation does not represent the environmentally preferable option</w:t>
      </w:r>
      <w:r w:rsidR="00181933">
        <w:t>,</w:t>
      </w:r>
      <w:r w:rsidR="00890CDD">
        <w:t xml:space="preserve"> or the POP content is low, taking into account international rules, standards, and guidelines, including those that may be developed pursuant to paragraph 2, </w:t>
      </w:r>
      <w:r w:rsidR="00181933">
        <w:t>as well as</w:t>
      </w:r>
      <w:r w:rsidR="00890CDD">
        <w:t xml:space="preserve"> relevant global and regional regimes governing the management of hazardous wastes. </w:t>
      </w:r>
    </w:p>
    <w:p w:rsidR="000E79E2" w:rsidRDefault="00890CDD" w:rsidP="00980527">
      <w:pPr>
        <w:pStyle w:val="Paralevel1"/>
        <w:tabs>
          <w:tab w:val="clear" w:pos="1843"/>
          <w:tab w:val="left" w:pos="1701"/>
        </w:tabs>
        <w:ind w:left="1134" w:firstLine="0"/>
      </w:pPr>
      <w:r w:rsidRPr="00B17CD7">
        <w:t>The</w:t>
      </w:r>
      <w:r w:rsidR="001C2ACA">
        <w:t xml:space="preserve"> l</w:t>
      </w:r>
      <w:r w:rsidRPr="00B17CD7">
        <w:t xml:space="preserve">ow POP content </w:t>
      </w:r>
      <w:r w:rsidR="006A7F79">
        <w:t>described in</w:t>
      </w:r>
      <w:r w:rsidR="001C2ACA">
        <w:t xml:space="preserve"> </w:t>
      </w:r>
      <w:r w:rsidRPr="00B17CD7">
        <w:t xml:space="preserve">the Stockholm Convention is </w:t>
      </w:r>
      <w:r w:rsidRPr="0061392D">
        <w:t>independent f</w:t>
      </w:r>
      <w:r w:rsidRPr="00B17CD7">
        <w:t xml:space="preserve">rom </w:t>
      </w:r>
      <w:r w:rsidR="00462541">
        <w:t>the provisions</w:t>
      </w:r>
      <w:r w:rsidRPr="00B17CD7">
        <w:t xml:space="preserve"> o</w:t>
      </w:r>
      <w:r w:rsidR="00462541">
        <w:t>n</w:t>
      </w:r>
      <w:r w:rsidRPr="00B17CD7">
        <w:t xml:space="preserve"> hazardous waste under the Basel Convention</w:t>
      </w:r>
      <w:r w:rsidR="008951D3">
        <w:t>.</w:t>
      </w:r>
      <w:r w:rsidR="00462541">
        <w:t xml:space="preserve"> </w:t>
      </w:r>
      <w:r w:rsidR="007F5505">
        <w:t xml:space="preserve"> </w:t>
      </w:r>
    </w:p>
    <w:p w:rsidR="00890CDD" w:rsidRDefault="00890CDD" w:rsidP="00980527">
      <w:pPr>
        <w:pStyle w:val="Paralevel1"/>
        <w:tabs>
          <w:tab w:val="clear" w:pos="1843"/>
          <w:tab w:val="left" w:pos="1701"/>
        </w:tabs>
        <w:ind w:left="1134" w:firstLine="0"/>
      </w:pPr>
      <w:r>
        <w:t xml:space="preserve">Under the Stockholm Convention, wastes with a POP content </w:t>
      </w:r>
      <w:r w:rsidRPr="00062FBD">
        <w:t>above</w:t>
      </w:r>
      <w:r>
        <w:t xml:space="preserve"> the defined low POP content must be disposed of in such a way that the POP content is destroyed or irreversibly transformed </w:t>
      </w:r>
      <w:r w:rsidR="00405DFE" w:rsidRPr="00AF3EE2">
        <w:t>in accordance with</w:t>
      </w:r>
      <w:r w:rsidR="00B6432C" w:rsidRPr="00AF3EE2">
        <w:t xml:space="preserve"> </w:t>
      </w:r>
      <w:r>
        <w:t>the methods described in section IV.G.2</w:t>
      </w:r>
      <w:r w:rsidR="008515D2">
        <w:t xml:space="preserve">. They should </w:t>
      </w:r>
      <w:r>
        <w:t xml:space="preserve">otherwise </w:t>
      </w:r>
      <w:r w:rsidR="008515D2">
        <w:t xml:space="preserve">be </w:t>
      </w:r>
      <w:r>
        <w:t>disposed of in an environmentally sound manner when destruction o</w:t>
      </w:r>
      <w:r w:rsidR="00462541">
        <w:t>r</w:t>
      </w:r>
      <w:r>
        <w:t xml:space="preserve"> irreversible transformation does not represent the environmentally preferable option </w:t>
      </w:r>
      <w:r w:rsidR="00405DFE" w:rsidRPr="00AF3EE2">
        <w:t>in accordance with</w:t>
      </w:r>
      <w:r>
        <w:t xml:space="preserve"> the methods described in section IV.G.3. </w:t>
      </w:r>
    </w:p>
    <w:p w:rsidR="00890CDD" w:rsidRDefault="00890CDD" w:rsidP="00980527">
      <w:pPr>
        <w:pStyle w:val="Paralevel1"/>
        <w:tabs>
          <w:tab w:val="clear" w:pos="1843"/>
          <w:tab w:val="left" w:pos="1701"/>
        </w:tabs>
        <w:ind w:left="1134" w:firstLine="0"/>
      </w:pPr>
      <w:r>
        <w:t xml:space="preserve">Wastes with a POP </w:t>
      </w:r>
      <w:r w:rsidR="00492A44">
        <w:t xml:space="preserve">content </w:t>
      </w:r>
      <w:r w:rsidR="00462541">
        <w:t xml:space="preserve">at or </w:t>
      </w:r>
      <w:r>
        <w:t xml:space="preserve">below the defined low POP content should be disposed of in accordance with </w:t>
      </w:r>
      <w:r w:rsidR="00462541">
        <w:t>the methods referred to</w:t>
      </w:r>
      <w:r>
        <w:t xml:space="preserve"> in section IV.G.4</w:t>
      </w:r>
      <w:r w:rsidR="00462541">
        <w:t>.</w:t>
      </w:r>
    </w:p>
    <w:p w:rsidR="00890CDD" w:rsidRDefault="001C2ACA" w:rsidP="00980527">
      <w:pPr>
        <w:pStyle w:val="Paralevel1"/>
        <w:tabs>
          <w:tab w:val="clear" w:pos="1843"/>
          <w:tab w:val="left" w:pos="1701"/>
        </w:tabs>
        <w:ind w:left="1134" w:firstLine="0"/>
      </w:pPr>
      <w:r w:rsidRPr="00BC0E59">
        <w:t xml:space="preserve">Low POP content </w:t>
      </w:r>
      <w:r w:rsidR="003C61BC" w:rsidRPr="00BC0E59">
        <w:t xml:space="preserve">definitions </w:t>
      </w:r>
      <w:r w:rsidR="00462541" w:rsidRPr="00BC0E59">
        <w:t>should be established taking into account the main objectives of the</w:t>
      </w:r>
      <w:r w:rsidR="00CF2BA7" w:rsidRPr="00BC0E59">
        <w:t xml:space="preserve"> </w:t>
      </w:r>
      <w:r w:rsidR="00462541" w:rsidRPr="00BC0E59">
        <w:t>Basel and Stockholm</w:t>
      </w:r>
      <w:r w:rsidR="00462541">
        <w:t xml:space="preserve"> conventions</w:t>
      </w:r>
      <w:r w:rsidR="00A301F7">
        <w:t>,</w:t>
      </w:r>
      <w:r w:rsidR="00462541">
        <w:t xml:space="preserve"> which are t</w:t>
      </w:r>
      <w:r w:rsidR="00890CDD">
        <w:t>he</w:t>
      </w:r>
      <w:r w:rsidR="00462541">
        <w:t xml:space="preserve"> protection o</w:t>
      </w:r>
      <w:r w:rsidR="008866D3">
        <w:t>f</w:t>
      </w:r>
      <w:r w:rsidR="00462541">
        <w:t xml:space="preserve"> the environment and human health. The</w:t>
      </w:r>
      <w:r w:rsidR="00890CDD">
        <w:t xml:space="preserve"> following </w:t>
      </w:r>
      <w:r w:rsidR="00462541">
        <w:t>have been recognized</w:t>
      </w:r>
      <w:r w:rsidR="006F1496">
        <w:t xml:space="preserve"> </w:t>
      </w:r>
      <w:r w:rsidR="00890CDD">
        <w:t xml:space="preserve">in the determination of low </w:t>
      </w:r>
      <w:r w:rsidR="00890CDD" w:rsidRPr="000C4E45">
        <w:t>POP content</w:t>
      </w:r>
      <w:r w:rsidR="000C4E45" w:rsidRPr="000C4E45">
        <w:t xml:space="preserve"> (</w:t>
      </w:r>
      <w:r w:rsidR="00D9135E">
        <w:t xml:space="preserve">See </w:t>
      </w:r>
      <w:r w:rsidR="007E7CE0">
        <w:t>European Commission</w:t>
      </w:r>
      <w:r w:rsidR="00B7486A">
        <w:t>/ESWI</w:t>
      </w:r>
      <w:r w:rsidR="000C4E45" w:rsidRPr="000C4E45">
        <w:t>, 2011</w:t>
      </w:r>
      <w:r w:rsidR="001A1CC4">
        <w:t>,</w:t>
      </w:r>
      <w:r w:rsidR="000C4E45" w:rsidRPr="000C4E45">
        <w:t xml:space="preserve"> </w:t>
      </w:r>
      <w:r w:rsidR="00B7486A" w:rsidRPr="001A1CC4">
        <w:t>German Federal Environment Agency</w:t>
      </w:r>
      <w:r w:rsidR="001A1CC4" w:rsidRPr="001A1CC4">
        <w:t>, 2015</w:t>
      </w:r>
      <w:r w:rsidR="001A1CC4">
        <w:t xml:space="preserve">, </w:t>
      </w:r>
      <w:r w:rsidR="000C4E45" w:rsidRPr="00A935F7">
        <w:t xml:space="preserve">and </w:t>
      </w:r>
      <w:r w:rsidR="00405DFE" w:rsidRPr="00405DFE">
        <w:t>UNEP/CHW/OEWG.9/INF/9/Add.1</w:t>
      </w:r>
      <w:r w:rsidR="00405DFE" w:rsidRPr="00405DFE">
        <w:rPr>
          <w:vertAlign w:val="superscript"/>
          <w:lang w:val="en-GB"/>
        </w:rPr>
        <w:footnoteReference w:id="3"/>
      </w:r>
      <w:r w:rsidR="00405DFE" w:rsidRPr="00405DFE">
        <w:t xml:space="preserve"> and </w:t>
      </w:r>
      <w:r w:rsidR="00D9135E">
        <w:t>/</w:t>
      </w:r>
      <w:r w:rsidR="00405DFE" w:rsidRPr="00405DFE">
        <w:t>Add.2</w:t>
      </w:r>
      <w:r w:rsidR="005773D3" w:rsidRPr="00A301F7">
        <w:rPr>
          <w:rStyle w:val="FootnoteReference"/>
          <w:szCs w:val="20"/>
        </w:rPr>
        <w:footnoteReference w:id="4"/>
      </w:r>
      <w:r w:rsidR="000C4E45" w:rsidRPr="000C4E45">
        <w:t>)</w:t>
      </w:r>
      <w:r w:rsidR="00616F9D">
        <w:t>:</w:t>
      </w:r>
    </w:p>
    <w:p w:rsidR="00231B9E" w:rsidRDefault="00231B9E" w:rsidP="00CD3CAA">
      <w:pPr>
        <w:tabs>
          <w:tab w:val="clear" w:pos="1247"/>
          <w:tab w:val="clear" w:pos="1814"/>
          <w:tab w:val="clear" w:pos="2381"/>
          <w:tab w:val="left" w:pos="2268"/>
        </w:tabs>
        <w:spacing w:after="120"/>
        <w:ind w:left="1134" w:firstLine="567"/>
      </w:pPr>
      <w:r>
        <w:t>(a)</w:t>
      </w:r>
      <w:r>
        <w:tab/>
        <w:t>Environmental and human health considerations;</w:t>
      </w:r>
    </w:p>
    <w:p w:rsidR="00231B9E" w:rsidRDefault="00231B9E" w:rsidP="00CD3CAA">
      <w:pPr>
        <w:tabs>
          <w:tab w:val="clear" w:pos="1247"/>
          <w:tab w:val="clear" w:pos="1814"/>
          <w:tab w:val="clear" w:pos="2381"/>
          <w:tab w:val="left" w:pos="2268"/>
        </w:tabs>
        <w:spacing w:after="120"/>
        <w:ind w:left="1134" w:firstLine="567"/>
      </w:pPr>
      <w:r>
        <w:t xml:space="preserve">(b) </w:t>
      </w:r>
      <w:r>
        <w:tab/>
        <w:t xml:space="preserve">Availability of adequate capacity for analysis; </w:t>
      </w:r>
    </w:p>
    <w:p w:rsidR="00231B9E" w:rsidRDefault="00231B9E" w:rsidP="00CD3CAA">
      <w:pPr>
        <w:tabs>
          <w:tab w:val="clear" w:pos="1247"/>
          <w:tab w:val="clear" w:pos="1814"/>
          <w:tab w:val="clear" w:pos="2381"/>
          <w:tab w:val="left" w:pos="2268"/>
        </w:tabs>
        <w:spacing w:after="120"/>
        <w:ind w:left="1134" w:firstLine="567"/>
      </w:pPr>
      <w:r>
        <w:t>(c)</w:t>
      </w:r>
      <w:r>
        <w:tab/>
        <w:t xml:space="preserve">Range of concentrations in articles, materials and waste; </w:t>
      </w:r>
    </w:p>
    <w:p w:rsidR="00231B9E" w:rsidRDefault="00231B9E" w:rsidP="00CD3CAA">
      <w:pPr>
        <w:tabs>
          <w:tab w:val="clear" w:pos="1247"/>
          <w:tab w:val="clear" w:pos="1814"/>
          <w:tab w:val="clear" w:pos="2381"/>
          <w:tab w:val="left" w:pos="2268"/>
        </w:tabs>
        <w:spacing w:after="120"/>
        <w:ind w:left="1134" w:firstLine="567"/>
      </w:pPr>
      <w:r>
        <w:t>(d)</w:t>
      </w:r>
      <w:r>
        <w:tab/>
        <w:t>Limit values within national legislation;</w:t>
      </w:r>
    </w:p>
    <w:p w:rsidR="00231B9E" w:rsidRDefault="00231B9E" w:rsidP="00CD3CAA">
      <w:pPr>
        <w:tabs>
          <w:tab w:val="clear" w:pos="1247"/>
          <w:tab w:val="clear" w:pos="1814"/>
          <w:tab w:val="clear" w:pos="2381"/>
          <w:tab w:val="left" w:pos="2268"/>
        </w:tabs>
        <w:spacing w:after="120"/>
        <w:ind w:left="1134" w:firstLine="567"/>
      </w:pPr>
      <w:r>
        <w:t>(e)</w:t>
      </w:r>
      <w:r>
        <w:tab/>
        <w:t>Availability of treatment capacity;</w:t>
      </w:r>
    </w:p>
    <w:p w:rsidR="00231B9E" w:rsidRDefault="00231B9E" w:rsidP="00CD3CAA">
      <w:pPr>
        <w:tabs>
          <w:tab w:val="clear" w:pos="1247"/>
          <w:tab w:val="clear" w:pos="1814"/>
          <w:tab w:val="clear" w:pos="2381"/>
          <w:tab w:val="left" w:pos="2268"/>
        </w:tabs>
        <w:spacing w:after="120"/>
        <w:ind w:left="1134" w:firstLine="567"/>
      </w:pPr>
      <w:r>
        <w:t>(f)</w:t>
      </w:r>
      <w:r>
        <w:tab/>
        <w:t>Limitations of knowledge and data;</w:t>
      </w:r>
      <w:r w:rsidR="00A301F7">
        <w:t xml:space="preserve"> and</w:t>
      </w:r>
    </w:p>
    <w:p w:rsidR="00231B9E" w:rsidRDefault="00231B9E" w:rsidP="00CD3CAA">
      <w:pPr>
        <w:tabs>
          <w:tab w:val="clear" w:pos="1247"/>
          <w:tab w:val="clear" w:pos="1814"/>
          <w:tab w:val="clear" w:pos="2381"/>
          <w:tab w:val="left" w:pos="2268"/>
        </w:tabs>
        <w:spacing w:after="120"/>
        <w:ind w:left="1134" w:firstLine="567"/>
      </w:pPr>
      <w:r>
        <w:t>(g)</w:t>
      </w:r>
      <w:r>
        <w:tab/>
        <w:t>Economic considerations.</w:t>
      </w:r>
    </w:p>
    <w:p w:rsidR="00194391" w:rsidRPr="00B442D3" w:rsidRDefault="00194391" w:rsidP="00980527">
      <w:pPr>
        <w:pStyle w:val="Paralevel1"/>
        <w:tabs>
          <w:tab w:val="clear" w:pos="1843"/>
          <w:tab w:val="left" w:pos="1701"/>
        </w:tabs>
        <w:ind w:left="1134" w:firstLine="0"/>
      </w:pPr>
      <w:r w:rsidRPr="00B442D3">
        <w:t>The provisional definition</w:t>
      </w:r>
      <w:r>
        <w:t>s</w:t>
      </w:r>
      <w:r w:rsidRPr="00B442D3">
        <w:t xml:space="preserve"> </w:t>
      </w:r>
      <w:r w:rsidR="00A301F7">
        <w:t xml:space="preserve">of </w:t>
      </w:r>
      <w:r w:rsidRPr="00B442D3">
        <w:t xml:space="preserve">low POP content contained in </w:t>
      </w:r>
      <w:r w:rsidR="001760AA">
        <w:t>t</w:t>
      </w:r>
      <w:r w:rsidRPr="00B442D3">
        <w:t xml:space="preserve">able 2 </w:t>
      </w:r>
      <w:r w:rsidR="006272B1">
        <w:t xml:space="preserve">below </w:t>
      </w:r>
      <w:r w:rsidRPr="00B442D3">
        <w:t xml:space="preserve">should be applied. </w:t>
      </w:r>
    </w:p>
    <w:p w:rsidR="00231B9E" w:rsidRPr="002C71F0" w:rsidRDefault="00231B9E" w:rsidP="00CD3CAA">
      <w:pPr>
        <w:pStyle w:val="Paralevel1"/>
        <w:numPr>
          <w:ilvl w:val="0"/>
          <w:numId w:val="0"/>
        </w:numPr>
        <w:ind w:left="1713"/>
      </w:pPr>
      <w:r w:rsidRPr="00231B9E">
        <w:rPr>
          <w:b/>
        </w:rPr>
        <w:t>Table 2:</w:t>
      </w:r>
      <w:r>
        <w:t xml:space="preserve"> P</w:t>
      </w:r>
      <w:r w:rsidRPr="00FB5201">
        <w:t>rovisional</w:t>
      </w:r>
      <w:r>
        <w:t xml:space="preserve"> definitions </w:t>
      </w:r>
      <w:r w:rsidR="00A301F7">
        <w:t xml:space="preserve">of </w:t>
      </w:r>
      <w:r>
        <w:t xml:space="preserve">low POP content </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3491"/>
      </w:tblGrid>
      <w:tr w:rsidR="00231B9E" w:rsidRPr="00680AAA" w:rsidTr="00EF6166">
        <w:trPr>
          <w:tblHeader/>
        </w:trPr>
        <w:tc>
          <w:tcPr>
            <w:tcW w:w="4503" w:type="dxa"/>
            <w:shd w:val="clear" w:color="auto" w:fill="D6E3BC"/>
          </w:tcPr>
          <w:p w:rsidR="00231B9E" w:rsidRPr="00B90A58" w:rsidRDefault="001C2ACA" w:rsidP="001C2ACA">
            <w:pPr>
              <w:spacing w:after="120"/>
              <w:jc w:val="center"/>
              <w:rPr>
                <w:b/>
                <w:lang w:val="en-US"/>
              </w:rPr>
            </w:pPr>
            <w:r>
              <w:rPr>
                <w:b/>
                <w:lang w:val="en-US"/>
              </w:rPr>
              <w:t>POP</w:t>
            </w:r>
          </w:p>
        </w:tc>
        <w:tc>
          <w:tcPr>
            <w:tcW w:w="3491" w:type="dxa"/>
            <w:shd w:val="clear" w:color="auto" w:fill="D6E3BC"/>
          </w:tcPr>
          <w:p w:rsidR="00231B9E" w:rsidRPr="00B90A58" w:rsidRDefault="00231B9E" w:rsidP="00B90A58">
            <w:pPr>
              <w:spacing w:after="120"/>
              <w:jc w:val="center"/>
              <w:rPr>
                <w:b/>
                <w:lang w:val="en-US"/>
              </w:rPr>
            </w:pPr>
            <w:r w:rsidRPr="00B90A58">
              <w:rPr>
                <w:b/>
                <w:lang w:val="en-US"/>
              </w:rPr>
              <w:t>Low POP content</w:t>
            </w:r>
          </w:p>
        </w:tc>
      </w:tr>
      <w:tr w:rsidR="00231B9E" w:rsidRPr="002C71F0" w:rsidTr="00B90A58">
        <w:tc>
          <w:tcPr>
            <w:tcW w:w="4503" w:type="dxa"/>
          </w:tcPr>
          <w:p w:rsidR="00231B9E" w:rsidRPr="00B90A58" w:rsidRDefault="00231B9E" w:rsidP="00B90A58">
            <w:pPr>
              <w:spacing w:after="120"/>
              <w:rPr>
                <w:lang w:val="en-US"/>
              </w:rPr>
            </w:pPr>
            <w:r w:rsidRPr="00B90A58">
              <w:rPr>
                <w:lang w:val="de-CH"/>
              </w:rPr>
              <w:t>Aldrin</w:t>
            </w:r>
            <w:r w:rsidR="00383795" w:rsidRPr="00B90A58">
              <w:rPr>
                <w:rStyle w:val="FootnoteReference"/>
                <w:lang w:val="de-CH"/>
              </w:rPr>
              <w:footnoteReference w:id="5"/>
            </w:r>
          </w:p>
        </w:tc>
        <w:tc>
          <w:tcPr>
            <w:tcW w:w="3491" w:type="dxa"/>
          </w:tcPr>
          <w:p w:rsidR="00231B9E" w:rsidRPr="00F73023" w:rsidRDefault="00231B9E" w:rsidP="00B90A58">
            <w:pPr>
              <w:spacing w:after="120"/>
            </w:pPr>
            <w:r w:rsidRPr="00F73023">
              <w:t xml:space="preserve">50 mg/kg </w:t>
            </w:r>
          </w:p>
        </w:tc>
      </w:tr>
      <w:tr w:rsidR="00231B9E" w:rsidRPr="002C71F0" w:rsidTr="00B90A58">
        <w:tc>
          <w:tcPr>
            <w:tcW w:w="4503" w:type="dxa"/>
          </w:tcPr>
          <w:p w:rsidR="00231B9E" w:rsidRPr="00B90A58" w:rsidRDefault="00231B9E" w:rsidP="00B90A58">
            <w:pPr>
              <w:spacing w:after="120"/>
              <w:rPr>
                <w:lang w:val="en-US"/>
              </w:rPr>
            </w:pPr>
            <w:r w:rsidRPr="00B90A58">
              <w:rPr>
                <w:color w:val="000000"/>
              </w:rPr>
              <w:t xml:space="preserve">Alpha-HCH, beta-HCH and </w:t>
            </w:r>
            <w:proofErr w:type="spellStart"/>
            <w:r w:rsidRPr="00B90A58">
              <w:rPr>
                <w:color w:val="000000"/>
              </w:rPr>
              <w:t>lindane</w:t>
            </w:r>
            <w:proofErr w:type="spellEnd"/>
            <w:r w:rsidR="00CF59BC" w:rsidRPr="00B90A58">
              <w:rPr>
                <w:color w:val="000000"/>
              </w:rPr>
              <w:t xml:space="preserve"> </w:t>
            </w:r>
            <w:r w:rsidR="00CF59BC">
              <w:rPr>
                <w:rStyle w:val="FootnoteReference"/>
              </w:rPr>
              <w:footnoteReference w:id="6"/>
            </w:r>
            <w:r w:rsidRPr="00B90A58">
              <w:rPr>
                <w:color w:val="000000"/>
              </w:rPr>
              <w:t xml:space="preserve"> </w:t>
            </w:r>
          </w:p>
        </w:tc>
        <w:tc>
          <w:tcPr>
            <w:tcW w:w="3491" w:type="dxa"/>
          </w:tcPr>
          <w:p w:rsidR="00231B9E" w:rsidRPr="00B90A58" w:rsidRDefault="00231B9E" w:rsidP="00B90A58">
            <w:pPr>
              <w:spacing w:after="120"/>
              <w:rPr>
                <w:lang w:val="en-US"/>
              </w:rPr>
            </w:pPr>
            <w:r w:rsidRPr="00B90A58">
              <w:rPr>
                <w:color w:val="000000"/>
              </w:rPr>
              <w:t>50 mg/kg as a sum</w:t>
            </w:r>
            <w:r w:rsidR="00AE7DB2">
              <w:rPr>
                <w:rStyle w:val="FootnoteReference"/>
              </w:rPr>
              <w:footnoteReference w:id="7"/>
            </w:r>
          </w:p>
        </w:tc>
      </w:tr>
      <w:tr w:rsidR="00231B9E" w:rsidRPr="002C71F0" w:rsidTr="00B90A58">
        <w:tc>
          <w:tcPr>
            <w:tcW w:w="4503" w:type="dxa"/>
          </w:tcPr>
          <w:p w:rsidR="00231B9E" w:rsidRPr="00B90A58" w:rsidRDefault="00231B9E" w:rsidP="00B90A58">
            <w:pPr>
              <w:spacing w:after="120"/>
              <w:rPr>
                <w:lang w:val="en-US"/>
              </w:rPr>
            </w:pPr>
            <w:r w:rsidRPr="00B90A58">
              <w:rPr>
                <w:lang w:val="de-CH"/>
              </w:rPr>
              <w:t>Chlordane</w:t>
            </w:r>
            <w:r w:rsidR="00383795" w:rsidRPr="00B90A58">
              <w:rPr>
                <w:rStyle w:val="FootnoteReference"/>
                <w:lang w:val="de-CH"/>
              </w:rPr>
              <w:footnoteReference w:id="8"/>
            </w:r>
          </w:p>
        </w:tc>
        <w:tc>
          <w:tcPr>
            <w:tcW w:w="3491" w:type="dxa"/>
          </w:tcPr>
          <w:p w:rsidR="00231B9E" w:rsidRPr="00F73023" w:rsidRDefault="00231B9E" w:rsidP="00B90A58">
            <w:pPr>
              <w:spacing w:after="120"/>
            </w:pPr>
            <w:r w:rsidRPr="00F73023">
              <w:t xml:space="preserve">50 mg/kg </w:t>
            </w:r>
          </w:p>
        </w:tc>
      </w:tr>
      <w:tr w:rsidR="00231B9E" w:rsidRPr="002C71F0" w:rsidTr="00B90A58">
        <w:tc>
          <w:tcPr>
            <w:tcW w:w="4503" w:type="dxa"/>
          </w:tcPr>
          <w:p w:rsidR="00231B9E" w:rsidRPr="00B90A58" w:rsidRDefault="00231B9E" w:rsidP="00B90A58">
            <w:pPr>
              <w:spacing w:after="120"/>
              <w:rPr>
                <w:lang w:val="en-US"/>
              </w:rPr>
            </w:pPr>
            <w:r w:rsidRPr="00B90A58">
              <w:rPr>
                <w:lang w:val="de-CH"/>
              </w:rPr>
              <w:t>Chlordecone</w:t>
            </w:r>
            <w:r w:rsidR="00383795" w:rsidRPr="00B90A58">
              <w:rPr>
                <w:rStyle w:val="FootnoteReference"/>
                <w:lang w:val="de-CH"/>
              </w:rPr>
              <w:footnoteReference w:id="9"/>
            </w:r>
          </w:p>
        </w:tc>
        <w:tc>
          <w:tcPr>
            <w:tcW w:w="3491" w:type="dxa"/>
          </w:tcPr>
          <w:p w:rsidR="00231B9E" w:rsidRPr="00F73023" w:rsidRDefault="00231B9E" w:rsidP="00B90A58">
            <w:pPr>
              <w:spacing w:after="120"/>
            </w:pPr>
            <w:r w:rsidRPr="00F73023">
              <w:t xml:space="preserve">50 mg/kg </w:t>
            </w:r>
          </w:p>
        </w:tc>
      </w:tr>
      <w:tr w:rsidR="00231B9E" w:rsidRPr="002C71F0" w:rsidTr="00B90A58">
        <w:tc>
          <w:tcPr>
            <w:tcW w:w="4503" w:type="dxa"/>
          </w:tcPr>
          <w:p w:rsidR="00231B9E" w:rsidRPr="00B90A58" w:rsidRDefault="00231B9E" w:rsidP="00B90A58">
            <w:pPr>
              <w:spacing w:after="120"/>
              <w:rPr>
                <w:lang w:val="en-US"/>
              </w:rPr>
            </w:pPr>
            <w:r w:rsidRPr="00B90A58">
              <w:rPr>
                <w:lang w:val="de-CH"/>
              </w:rPr>
              <w:t>DDT</w:t>
            </w:r>
            <w:r w:rsidR="00383795" w:rsidRPr="00B90A58">
              <w:rPr>
                <w:rStyle w:val="FootnoteReference"/>
                <w:lang w:val="de-CH"/>
              </w:rPr>
              <w:footnoteReference w:id="10"/>
            </w:r>
          </w:p>
        </w:tc>
        <w:tc>
          <w:tcPr>
            <w:tcW w:w="3491" w:type="dxa"/>
          </w:tcPr>
          <w:p w:rsidR="00231B9E" w:rsidRPr="00F73023" w:rsidRDefault="00231B9E" w:rsidP="00B90A58">
            <w:pPr>
              <w:spacing w:after="120"/>
            </w:pPr>
            <w:r w:rsidRPr="00F73023">
              <w:t xml:space="preserve">50 mg/kg </w:t>
            </w:r>
          </w:p>
        </w:tc>
      </w:tr>
      <w:tr w:rsidR="00231B9E" w:rsidRPr="002C71F0" w:rsidTr="00B90A58">
        <w:tc>
          <w:tcPr>
            <w:tcW w:w="4503" w:type="dxa"/>
          </w:tcPr>
          <w:p w:rsidR="00231B9E" w:rsidRPr="00B90A58" w:rsidRDefault="00383795" w:rsidP="00B90A58">
            <w:pPr>
              <w:spacing w:after="120"/>
              <w:rPr>
                <w:lang w:val="en-US"/>
              </w:rPr>
            </w:pPr>
            <w:r w:rsidRPr="00B90A58">
              <w:rPr>
                <w:lang w:val="de-CH"/>
              </w:rPr>
              <w:t>Dieldrin</w:t>
            </w:r>
            <w:r w:rsidRPr="00B90A58">
              <w:rPr>
                <w:rStyle w:val="FootnoteReference"/>
                <w:lang w:val="de-CH"/>
              </w:rPr>
              <w:footnoteReference w:id="11"/>
            </w:r>
          </w:p>
        </w:tc>
        <w:tc>
          <w:tcPr>
            <w:tcW w:w="3491" w:type="dxa"/>
          </w:tcPr>
          <w:p w:rsidR="00231B9E" w:rsidRPr="00F73023" w:rsidRDefault="00231B9E" w:rsidP="00B90A58">
            <w:pPr>
              <w:spacing w:after="120"/>
            </w:pPr>
            <w:r w:rsidRPr="00F73023">
              <w:t xml:space="preserve">50 mg/kg </w:t>
            </w:r>
          </w:p>
        </w:tc>
      </w:tr>
      <w:tr w:rsidR="00231B9E" w:rsidRPr="002C71F0" w:rsidTr="00B90A58">
        <w:tc>
          <w:tcPr>
            <w:tcW w:w="4503" w:type="dxa"/>
          </w:tcPr>
          <w:p w:rsidR="00231B9E" w:rsidRPr="00B90A58" w:rsidRDefault="00383795" w:rsidP="00B90A58">
            <w:pPr>
              <w:spacing w:after="120"/>
              <w:rPr>
                <w:lang w:val="en-US"/>
              </w:rPr>
            </w:pPr>
            <w:r w:rsidRPr="00B90A58">
              <w:rPr>
                <w:lang w:val="de-CH"/>
              </w:rPr>
              <w:t>Endrin</w:t>
            </w:r>
            <w:r w:rsidRPr="00B90A58">
              <w:rPr>
                <w:rStyle w:val="FootnoteReference"/>
                <w:lang w:val="de-CH"/>
              </w:rPr>
              <w:footnoteReference w:id="12"/>
            </w:r>
          </w:p>
        </w:tc>
        <w:tc>
          <w:tcPr>
            <w:tcW w:w="3491" w:type="dxa"/>
          </w:tcPr>
          <w:p w:rsidR="00231B9E" w:rsidRPr="00F73023" w:rsidRDefault="00231B9E" w:rsidP="00B90A58">
            <w:pPr>
              <w:spacing w:after="120"/>
            </w:pPr>
            <w:r w:rsidRPr="00F73023">
              <w:t xml:space="preserve">50 mg/kg </w:t>
            </w:r>
          </w:p>
        </w:tc>
      </w:tr>
      <w:tr w:rsidR="00231B9E" w:rsidRPr="002C71F0" w:rsidTr="00B90A58">
        <w:tc>
          <w:tcPr>
            <w:tcW w:w="4503" w:type="dxa"/>
          </w:tcPr>
          <w:p w:rsidR="00231B9E" w:rsidRPr="00B90A58" w:rsidRDefault="00231B9E" w:rsidP="00B90A58">
            <w:pPr>
              <w:spacing w:after="120"/>
              <w:rPr>
                <w:lang w:val="en-US"/>
              </w:rPr>
            </w:pPr>
            <w:r w:rsidRPr="00F73023">
              <w:t>HBB</w:t>
            </w:r>
            <w:r w:rsidR="00383795">
              <w:rPr>
                <w:rStyle w:val="FootnoteReference"/>
              </w:rPr>
              <w:footnoteReference w:id="13"/>
            </w:r>
          </w:p>
        </w:tc>
        <w:tc>
          <w:tcPr>
            <w:tcW w:w="3491" w:type="dxa"/>
          </w:tcPr>
          <w:p w:rsidR="00231B9E" w:rsidRPr="00F73023" w:rsidRDefault="00231B9E" w:rsidP="00B90A58">
            <w:pPr>
              <w:spacing w:after="120"/>
            </w:pPr>
            <w:r w:rsidRPr="00F73023">
              <w:t xml:space="preserve">50 mg/kg </w:t>
            </w:r>
          </w:p>
        </w:tc>
      </w:tr>
      <w:tr w:rsidR="00B442D3" w:rsidRPr="002C71F0" w:rsidTr="00B90A58">
        <w:trPr>
          <w:trHeight w:val="290"/>
        </w:trPr>
        <w:tc>
          <w:tcPr>
            <w:tcW w:w="4503" w:type="dxa"/>
          </w:tcPr>
          <w:p w:rsidR="00B442D3" w:rsidRPr="00B90A58" w:rsidRDefault="00B442D3" w:rsidP="00AF3EE2">
            <w:pPr>
              <w:spacing w:after="120"/>
              <w:rPr>
                <w:lang w:val="en-US"/>
              </w:rPr>
            </w:pPr>
            <w:r w:rsidRPr="00F73023">
              <w:t>HBCD</w:t>
            </w:r>
            <w:r w:rsidR="005F6B1F">
              <w:rPr>
                <w:rStyle w:val="FootnoteReference"/>
              </w:rPr>
              <w:footnoteReference w:id="14"/>
            </w:r>
          </w:p>
        </w:tc>
        <w:tc>
          <w:tcPr>
            <w:tcW w:w="3491" w:type="dxa"/>
          </w:tcPr>
          <w:p w:rsidR="00B442D3" w:rsidRPr="00F73023" w:rsidRDefault="00B442D3" w:rsidP="00B90A58">
            <w:pPr>
              <w:spacing w:after="120"/>
            </w:pPr>
            <w:r w:rsidRPr="00F73023">
              <w:t>100 mg/kg or 1000 mg/kg</w:t>
            </w:r>
            <w:r w:rsidR="00AF3EE2">
              <w:rPr>
                <w:rStyle w:val="FootnoteReference"/>
              </w:rPr>
              <w:footnoteReference w:id="15"/>
            </w:r>
          </w:p>
        </w:tc>
      </w:tr>
      <w:tr w:rsidR="00231B9E" w:rsidRPr="002C71F0" w:rsidTr="00B90A58">
        <w:tc>
          <w:tcPr>
            <w:tcW w:w="4503" w:type="dxa"/>
          </w:tcPr>
          <w:p w:rsidR="00231B9E" w:rsidRPr="00B90A58" w:rsidRDefault="00383795" w:rsidP="00B90A58">
            <w:pPr>
              <w:spacing w:after="120"/>
              <w:rPr>
                <w:lang w:val="en-US"/>
              </w:rPr>
            </w:pPr>
            <w:r w:rsidRPr="00B90A58">
              <w:rPr>
                <w:lang w:val="de-CH"/>
              </w:rPr>
              <w:t>Heptachlor</w:t>
            </w:r>
            <w:r w:rsidRPr="00B90A58">
              <w:rPr>
                <w:rStyle w:val="FootnoteReference"/>
                <w:lang w:val="de-CH"/>
              </w:rPr>
              <w:footnoteReference w:id="16"/>
            </w:r>
          </w:p>
        </w:tc>
        <w:tc>
          <w:tcPr>
            <w:tcW w:w="3491" w:type="dxa"/>
          </w:tcPr>
          <w:p w:rsidR="00231B9E" w:rsidRPr="00F73023" w:rsidRDefault="00231B9E" w:rsidP="00B90A58">
            <w:pPr>
              <w:spacing w:after="120"/>
            </w:pPr>
            <w:r w:rsidRPr="00F73023">
              <w:t xml:space="preserve">50 mg/kg </w:t>
            </w:r>
          </w:p>
        </w:tc>
      </w:tr>
      <w:tr w:rsidR="00B442D3" w:rsidRPr="002C71F0" w:rsidTr="00B90A58">
        <w:tc>
          <w:tcPr>
            <w:tcW w:w="4503" w:type="dxa"/>
          </w:tcPr>
          <w:p w:rsidR="00B442D3" w:rsidRPr="00B90A58" w:rsidRDefault="00B442D3" w:rsidP="005F6B1F">
            <w:pPr>
              <w:spacing w:after="120"/>
              <w:rPr>
                <w:lang w:val="en-US"/>
              </w:rPr>
            </w:pPr>
            <w:proofErr w:type="spellStart"/>
            <w:r w:rsidRPr="00F73023">
              <w:t>Hexabromodiphenyl</w:t>
            </w:r>
            <w:proofErr w:type="spellEnd"/>
            <w:r w:rsidRPr="00F73023">
              <w:t xml:space="preserve"> ether and </w:t>
            </w:r>
            <w:proofErr w:type="spellStart"/>
            <w:r w:rsidRPr="00F73023">
              <w:t>heptabromodiphenyl</w:t>
            </w:r>
            <w:proofErr w:type="spellEnd"/>
            <w:r w:rsidRPr="00F73023">
              <w:t xml:space="preserve"> ether and </w:t>
            </w:r>
            <w:proofErr w:type="spellStart"/>
            <w:r w:rsidRPr="00F73023">
              <w:t>tetrabromodiphenyl</w:t>
            </w:r>
            <w:proofErr w:type="spellEnd"/>
            <w:r w:rsidRPr="00F73023">
              <w:t xml:space="preserve"> ether and </w:t>
            </w:r>
            <w:proofErr w:type="spellStart"/>
            <w:r w:rsidRPr="00F73023">
              <w:t>pentabromodiphenyl</w:t>
            </w:r>
            <w:proofErr w:type="spellEnd"/>
            <w:r w:rsidRPr="00F73023">
              <w:t xml:space="preserve"> ether</w:t>
            </w:r>
            <w:r w:rsidR="005F6B1F">
              <w:rPr>
                <w:rStyle w:val="FootnoteReference"/>
              </w:rPr>
              <w:footnoteReference w:id="17"/>
            </w:r>
            <w:r w:rsidR="00EA5EA1" w:rsidRPr="00B90A58">
              <w:rPr>
                <w:vertAlign w:val="superscript"/>
              </w:rPr>
              <w:t>,</w:t>
            </w:r>
            <w:r w:rsidR="00383795">
              <w:rPr>
                <w:rStyle w:val="FootnoteReference"/>
              </w:rPr>
              <w:footnoteReference w:id="18"/>
            </w:r>
          </w:p>
        </w:tc>
        <w:tc>
          <w:tcPr>
            <w:tcW w:w="3491" w:type="dxa"/>
          </w:tcPr>
          <w:p w:rsidR="00B442D3" w:rsidRPr="00F73023" w:rsidRDefault="00B442D3" w:rsidP="00B90A58">
            <w:pPr>
              <w:spacing w:after="120"/>
            </w:pPr>
            <w:r w:rsidRPr="00582CC1">
              <w:t>50 mg/kg or 1000</w:t>
            </w:r>
            <w:r w:rsidRPr="00F73023">
              <w:t xml:space="preserve"> mg/kg as a sum</w:t>
            </w:r>
            <w:r>
              <w:rPr>
                <w:rStyle w:val="FootnoteReference"/>
              </w:rPr>
              <w:footnoteReference w:id="19"/>
            </w:r>
          </w:p>
        </w:tc>
      </w:tr>
      <w:tr w:rsidR="00B442D3" w:rsidRPr="002C71F0" w:rsidTr="00B90A58">
        <w:tc>
          <w:tcPr>
            <w:tcW w:w="4503" w:type="dxa"/>
          </w:tcPr>
          <w:p w:rsidR="00B442D3" w:rsidRPr="00B90A58" w:rsidRDefault="00B442D3" w:rsidP="00B90A58">
            <w:pPr>
              <w:spacing w:after="120"/>
              <w:rPr>
                <w:lang w:val="en-US"/>
              </w:rPr>
            </w:pPr>
            <w:r w:rsidRPr="00B90A58">
              <w:rPr>
                <w:lang w:val="de-CH"/>
              </w:rPr>
              <w:t>HCB</w:t>
            </w:r>
            <w:r w:rsidR="00383795" w:rsidRPr="00B90A58">
              <w:rPr>
                <w:rStyle w:val="FootnoteReference"/>
                <w:lang w:val="de-CH"/>
              </w:rPr>
              <w:footnoteReference w:id="20"/>
            </w:r>
          </w:p>
        </w:tc>
        <w:tc>
          <w:tcPr>
            <w:tcW w:w="3491" w:type="dxa"/>
          </w:tcPr>
          <w:p w:rsidR="00B442D3" w:rsidRPr="00F73023" w:rsidRDefault="00B442D3" w:rsidP="00B90A58">
            <w:pPr>
              <w:spacing w:after="120"/>
            </w:pPr>
            <w:r w:rsidRPr="00F73023">
              <w:t xml:space="preserve">50 mg/kg </w:t>
            </w:r>
          </w:p>
        </w:tc>
      </w:tr>
      <w:tr w:rsidR="00B442D3" w:rsidRPr="002C71F0" w:rsidTr="00B90A58">
        <w:tc>
          <w:tcPr>
            <w:tcW w:w="4503" w:type="dxa"/>
          </w:tcPr>
          <w:p w:rsidR="00B442D3" w:rsidRPr="00B90A58" w:rsidRDefault="00B442D3" w:rsidP="00B90A58">
            <w:pPr>
              <w:spacing w:after="120"/>
              <w:rPr>
                <w:lang w:val="en-US"/>
              </w:rPr>
            </w:pPr>
            <w:r w:rsidRPr="00B90A58">
              <w:rPr>
                <w:lang w:val="de-CH"/>
              </w:rPr>
              <w:t>Mirex</w:t>
            </w:r>
            <w:r w:rsidR="00383795" w:rsidRPr="00B90A58">
              <w:rPr>
                <w:rStyle w:val="FootnoteReference"/>
                <w:lang w:val="de-CH"/>
              </w:rPr>
              <w:footnoteReference w:id="21"/>
            </w:r>
          </w:p>
        </w:tc>
        <w:tc>
          <w:tcPr>
            <w:tcW w:w="3491" w:type="dxa"/>
          </w:tcPr>
          <w:p w:rsidR="00B442D3" w:rsidRPr="00F73023" w:rsidRDefault="00B442D3" w:rsidP="00B90A58">
            <w:pPr>
              <w:spacing w:after="120"/>
            </w:pPr>
            <w:r w:rsidRPr="00F73023">
              <w:t xml:space="preserve">50 mg/kg </w:t>
            </w:r>
          </w:p>
        </w:tc>
      </w:tr>
      <w:tr w:rsidR="00B442D3" w:rsidRPr="002C71F0" w:rsidTr="00B90A58">
        <w:tc>
          <w:tcPr>
            <w:tcW w:w="4503" w:type="dxa"/>
          </w:tcPr>
          <w:p w:rsidR="00B442D3" w:rsidRPr="00B90A58" w:rsidRDefault="00B442D3" w:rsidP="00B90A58">
            <w:pPr>
              <w:spacing w:after="120"/>
              <w:rPr>
                <w:lang w:val="en-US"/>
              </w:rPr>
            </w:pPr>
            <w:r w:rsidRPr="00F73023">
              <w:t>PCBs</w:t>
            </w:r>
            <w:r w:rsidR="00383795">
              <w:rPr>
                <w:rStyle w:val="FootnoteReference"/>
              </w:rPr>
              <w:footnoteReference w:id="22"/>
            </w:r>
          </w:p>
        </w:tc>
        <w:tc>
          <w:tcPr>
            <w:tcW w:w="3491" w:type="dxa"/>
          </w:tcPr>
          <w:p w:rsidR="00B442D3" w:rsidRPr="00B90A58" w:rsidRDefault="00B442D3" w:rsidP="00B90A58">
            <w:pPr>
              <w:spacing w:after="120"/>
              <w:rPr>
                <w:lang w:val="en-US"/>
              </w:rPr>
            </w:pPr>
            <w:r w:rsidRPr="00F73023">
              <w:t>50 mg/kg</w:t>
            </w:r>
          </w:p>
        </w:tc>
      </w:tr>
      <w:tr w:rsidR="00B442D3" w:rsidRPr="002C71F0" w:rsidTr="00B90A58">
        <w:tc>
          <w:tcPr>
            <w:tcW w:w="4503" w:type="dxa"/>
          </w:tcPr>
          <w:p w:rsidR="00B442D3" w:rsidRPr="00B90A58" w:rsidRDefault="00B442D3" w:rsidP="00B90A58">
            <w:pPr>
              <w:spacing w:after="120"/>
              <w:rPr>
                <w:lang w:val="en-US"/>
              </w:rPr>
            </w:pPr>
            <w:r w:rsidRPr="00F73023">
              <w:t>PCDDs</w:t>
            </w:r>
            <w:r>
              <w:t xml:space="preserve"> and </w:t>
            </w:r>
            <w:r w:rsidRPr="00F73023">
              <w:t>PCDFs</w:t>
            </w:r>
            <w:r>
              <w:rPr>
                <w:rStyle w:val="FootnoteReference"/>
              </w:rPr>
              <w:footnoteReference w:id="23"/>
            </w:r>
            <w:r>
              <w:t xml:space="preserve"> </w:t>
            </w:r>
          </w:p>
        </w:tc>
        <w:tc>
          <w:tcPr>
            <w:tcW w:w="3491" w:type="dxa"/>
          </w:tcPr>
          <w:p w:rsidR="00B442D3" w:rsidRPr="00B90A58" w:rsidRDefault="00B442D3" w:rsidP="00B90A58">
            <w:pPr>
              <w:spacing w:after="120"/>
              <w:rPr>
                <w:lang w:val="en-US"/>
              </w:rPr>
            </w:pPr>
            <w:r w:rsidRPr="00F73023">
              <w:t xml:space="preserve">15 </w:t>
            </w:r>
            <w:r w:rsidRPr="00B90A58">
              <w:sym w:font="Symbol" w:char="F06D"/>
            </w:r>
            <w:r w:rsidRPr="00F73023">
              <w:t>g TEQ/kg</w:t>
            </w:r>
            <w:r>
              <w:t xml:space="preserve"> </w:t>
            </w:r>
          </w:p>
        </w:tc>
      </w:tr>
      <w:tr w:rsidR="00B442D3" w:rsidRPr="002C71F0" w:rsidTr="00B90A58">
        <w:tc>
          <w:tcPr>
            <w:tcW w:w="4503" w:type="dxa"/>
          </w:tcPr>
          <w:p w:rsidR="00B442D3" w:rsidRPr="00B90A58" w:rsidRDefault="00B442D3" w:rsidP="00B90A58">
            <w:pPr>
              <w:spacing w:after="120"/>
              <w:rPr>
                <w:lang w:val="en-US"/>
              </w:rPr>
            </w:pPr>
            <w:proofErr w:type="spellStart"/>
            <w:r>
              <w:t>PeCB</w:t>
            </w:r>
            <w:proofErr w:type="spellEnd"/>
            <w:r w:rsidR="00383795">
              <w:rPr>
                <w:rStyle w:val="FootnoteReference"/>
              </w:rPr>
              <w:footnoteReference w:id="24"/>
            </w:r>
          </w:p>
        </w:tc>
        <w:tc>
          <w:tcPr>
            <w:tcW w:w="3491" w:type="dxa"/>
          </w:tcPr>
          <w:p w:rsidR="00B442D3" w:rsidRPr="00B90A58" w:rsidRDefault="00B442D3" w:rsidP="00B90A58">
            <w:pPr>
              <w:spacing w:after="120"/>
              <w:rPr>
                <w:lang w:val="en-US"/>
              </w:rPr>
            </w:pPr>
            <w:r w:rsidRPr="00F73023">
              <w:t>50 mg/kg</w:t>
            </w:r>
          </w:p>
        </w:tc>
      </w:tr>
      <w:tr w:rsidR="00B442D3" w:rsidRPr="002C71F0" w:rsidTr="00B90A58">
        <w:tc>
          <w:tcPr>
            <w:tcW w:w="4503" w:type="dxa"/>
          </w:tcPr>
          <w:p w:rsidR="00B442D3" w:rsidRPr="00B90A58" w:rsidRDefault="00B442D3" w:rsidP="00B90A58">
            <w:pPr>
              <w:spacing w:after="120"/>
              <w:rPr>
                <w:lang w:val="en-US"/>
              </w:rPr>
            </w:pPr>
            <w:r w:rsidRPr="00F73023">
              <w:t>PFOS</w:t>
            </w:r>
            <w:r>
              <w:t xml:space="preserve">, its </w:t>
            </w:r>
            <w:r w:rsidRPr="00F73023">
              <w:t>salts</w:t>
            </w:r>
            <w:r>
              <w:t xml:space="preserve"> and </w:t>
            </w:r>
            <w:r w:rsidRPr="00F73023">
              <w:t>PFOSF</w:t>
            </w:r>
            <w:r w:rsidR="00383795">
              <w:rPr>
                <w:rStyle w:val="FootnoteReference"/>
              </w:rPr>
              <w:footnoteReference w:id="25"/>
            </w:r>
          </w:p>
        </w:tc>
        <w:tc>
          <w:tcPr>
            <w:tcW w:w="3491" w:type="dxa"/>
          </w:tcPr>
          <w:p w:rsidR="00B442D3" w:rsidRPr="00B90A58" w:rsidRDefault="00B442D3" w:rsidP="00B90A58">
            <w:pPr>
              <w:spacing w:after="120"/>
              <w:rPr>
                <w:lang w:val="en-US"/>
              </w:rPr>
            </w:pPr>
            <w:r w:rsidRPr="00F73023">
              <w:t>50 mg/kg</w:t>
            </w:r>
            <w:r>
              <w:t xml:space="preserve"> </w:t>
            </w:r>
          </w:p>
        </w:tc>
      </w:tr>
      <w:tr w:rsidR="00B442D3" w:rsidRPr="002C71F0" w:rsidTr="00B90A58">
        <w:tc>
          <w:tcPr>
            <w:tcW w:w="4503" w:type="dxa"/>
          </w:tcPr>
          <w:p w:rsidR="00B442D3" w:rsidRPr="00B90A58" w:rsidRDefault="00B442D3" w:rsidP="00B90A58">
            <w:pPr>
              <w:spacing w:after="120"/>
              <w:rPr>
                <w:lang w:val="en-US"/>
              </w:rPr>
            </w:pPr>
            <w:r w:rsidRPr="00F73023">
              <w:t xml:space="preserve">Technical </w:t>
            </w:r>
            <w:proofErr w:type="spellStart"/>
            <w:r w:rsidRPr="00F73023">
              <w:t>endosulfan</w:t>
            </w:r>
            <w:proofErr w:type="spellEnd"/>
            <w:r w:rsidRPr="00F73023">
              <w:t xml:space="preserve"> and its related isomers</w:t>
            </w:r>
            <w:r w:rsidR="00383795">
              <w:rPr>
                <w:rStyle w:val="FootnoteReference"/>
              </w:rPr>
              <w:footnoteReference w:id="26"/>
            </w:r>
          </w:p>
        </w:tc>
        <w:tc>
          <w:tcPr>
            <w:tcW w:w="3491" w:type="dxa"/>
          </w:tcPr>
          <w:p w:rsidR="00B442D3" w:rsidRPr="00B90A58" w:rsidRDefault="00B442D3" w:rsidP="00B90A58">
            <w:pPr>
              <w:spacing w:after="120"/>
              <w:rPr>
                <w:lang w:val="en-US"/>
              </w:rPr>
            </w:pPr>
            <w:r w:rsidRPr="00F73023">
              <w:t>50 mg/kg</w:t>
            </w:r>
          </w:p>
        </w:tc>
      </w:tr>
      <w:tr w:rsidR="00B442D3" w:rsidRPr="002C71F0" w:rsidTr="00B90A58">
        <w:tc>
          <w:tcPr>
            <w:tcW w:w="4503" w:type="dxa"/>
          </w:tcPr>
          <w:p w:rsidR="00B442D3" w:rsidRPr="00B90A58" w:rsidRDefault="00B442D3" w:rsidP="00B90A58">
            <w:pPr>
              <w:spacing w:after="120"/>
              <w:rPr>
                <w:lang w:val="en-US"/>
              </w:rPr>
            </w:pPr>
            <w:proofErr w:type="spellStart"/>
            <w:r w:rsidRPr="00F73023">
              <w:t>Toxaphene</w:t>
            </w:r>
            <w:proofErr w:type="spellEnd"/>
            <w:r w:rsidR="00383795">
              <w:rPr>
                <w:rStyle w:val="FootnoteReference"/>
              </w:rPr>
              <w:footnoteReference w:id="27"/>
            </w:r>
          </w:p>
        </w:tc>
        <w:tc>
          <w:tcPr>
            <w:tcW w:w="3491" w:type="dxa"/>
          </w:tcPr>
          <w:p w:rsidR="00B442D3" w:rsidRPr="00B90A58" w:rsidRDefault="00B442D3" w:rsidP="00B90A58">
            <w:pPr>
              <w:tabs>
                <w:tab w:val="clear" w:pos="2948"/>
                <w:tab w:val="clear" w:pos="3515"/>
                <w:tab w:val="left" w:pos="2248"/>
              </w:tabs>
              <w:spacing w:after="120"/>
              <w:rPr>
                <w:lang w:val="en-US"/>
              </w:rPr>
            </w:pPr>
            <w:r w:rsidRPr="00F73023">
              <w:t>50 mg/kg</w:t>
            </w:r>
          </w:p>
        </w:tc>
      </w:tr>
    </w:tbl>
    <w:p w:rsidR="00890CDD" w:rsidRPr="00A5384A" w:rsidRDefault="00890CDD" w:rsidP="00A5384A">
      <w:pPr>
        <w:pStyle w:val="Heading2"/>
        <w:spacing w:before="240" w:after="120"/>
        <w:ind w:left="1134" w:hanging="510"/>
        <w:rPr>
          <w:bCs/>
        </w:rPr>
      </w:pPr>
      <w:bookmarkStart w:id="260" w:name="_Toc52011563"/>
      <w:bookmarkStart w:id="261" w:name="_Toc52131803"/>
      <w:bookmarkStart w:id="262" w:name="_Toc52175474"/>
      <w:bookmarkStart w:id="263" w:name="_Toc52512364"/>
      <w:bookmarkStart w:id="264" w:name="_Toc52512415"/>
      <w:bookmarkStart w:id="265" w:name="_Toc52524016"/>
      <w:bookmarkStart w:id="266" w:name="_Toc58997105"/>
      <w:bookmarkStart w:id="267" w:name="_Toc58999190"/>
      <w:bookmarkStart w:id="268" w:name="_Toc58999249"/>
      <w:bookmarkStart w:id="269" w:name="_Toc59943344"/>
      <w:bookmarkStart w:id="270" w:name="_Toc59943509"/>
      <w:bookmarkStart w:id="271" w:name="_Toc59943567"/>
      <w:bookmarkStart w:id="272" w:name="_Toc59943660"/>
      <w:bookmarkStart w:id="273" w:name="_Toc61328023"/>
      <w:bookmarkStart w:id="274" w:name="_Toc61681666"/>
      <w:bookmarkStart w:id="275" w:name="_Toc61681735"/>
      <w:bookmarkStart w:id="276" w:name="_Toc62220531"/>
      <w:bookmarkStart w:id="277" w:name="_Toc161804553"/>
      <w:bookmarkStart w:id="278" w:name="_Toc405988629"/>
      <w:bookmarkStart w:id="279" w:name="_Toc437340522"/>
      <w:r w:rsidRPr="00A5384A">
        <w:rPr>
          <w:bCs/>
        </w:rPr>
        <w:t>B.</w:t>
      </w:r>
      <w:r w:rsidRPr="00A5384A">
        <w:rPr>
          <w:bCs/>
        </w:rPr>
        <w:tab/>
        <w:t>Levels of destruction and irreversible transformation</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890CDD" w:rsidRPr="008C6B3D" w:rsidRDefault="00865C1F" w:rsidP="00980527">
      <w:pPr>
        <w:pStyle w:val="Paralevel1"/>
        <w:tabs>
          <w:tab w:val="clear" w:pos="1843"/>
          <w:tab w:val="left" w:pos="1701"/>
        </w:tabs>
        <w:ind w:left="1134" w:firstLine="0"/>
      </w:pPr>
      <w:r>
        <w:t>D</w:t>
      </w:r>
      <w:r w:rsidR="00890CDD" w:rsidRPr="008C6B3D">
        <w:t>estruction efficiency</w:t>
      </w:r>
      <w:r w:rsidR="00890CDD" w:rsidRPr="008C6B3D">
        <w:rPr>
          <w:rStyle w:val="FootnoteReference"/>
        </w:rPr>
        <w:footnoteReference w:id="28"/>
      </w:r>
      <w:r w:rsidR="00890CDD" w:rsidRPr="008C6B3D">
        <w:t xml:space="preserve"> (DE) is the percentage of originating POPs destroyed or irreversibly transformed by a particular method or technology. </w:t>
      </w:r>
      <w:r>
        <w:t>D</w:t>
      </w:r>
      <w:r w:rsidR="00890CDD" w:rsidRPr="008C6B3D">
        <w:t>estruction removal efficiency</w:t>
      </w:r>
      <w:r w:rsidR="00890CDD" w:rsidRPr="008C6B3D">
        <w:rPr>
          <w:rStyle w:val="FootnoteReference"/>
        </w:rPr>
        <w:footnoteReference w:id="29"/>
      </w:r>
      <w:r w:rsidR="00890CDD" w:rsidRPr="008C6B3D">
        <w:t xml:space="preserve"> (DRE) only considers emissions to air and is the percentage of original POPs irreversibly transformed and removed from gaseous emissions.</w:t>
      </w:r>
      <w:r w:rsidR="0038760A">
        <w:t xml:space="preserve"> </w:t>
      </w:r>
    </w:p>
    <w:p w:rsidR="00890CDD" w:rsidRPr="008C6B3D" w:rsidRDefault="00E5161D" w:rsidP="00980527">
      <w:pPr>
        <w:pStyle w:val="Paralevel1"/>
        <w:tabs>
          <w:tab w:val="clear" w:pos="1843"/>
          <w:tab w:val="left" w:pos="1701"/>
        </w:tabs>
        <w:ind w:left="1134" w:firstLine="0"/>
        <w:rPr>
          <w:b/>
        </w:rPr>
      </w:pPr>
      <w:r>
        <w:t xml:space="preserve">The </w:t>
      </w:r>
      <w:r w:rsidRPr="00FA4AB4">
        <w:t xml:space="preserve">provisional definition </w:t>
      </w:r>
      <w:r>
        <w:t xml:space="preserve">set out in </w:t>
      </w:r>
      <w:r w:rsidR="00093BCE" w:rsidRPr="00093BCE">
        <w:t>paragraph 41</w:t>
      </w:r>
      <w:r>
        <w:t xml:space="preserve"> below r</w:t>
      </w:r>
      <w:r w:rsidR="00890CDD" w:rsidRPr="008C6B3D">
        <w:t>ecogniz</w:t>
      </w:r>
      <w:r>
        <w:t>es</w:t>
      </w:r>
      <w:r w:rsidR="00890CDD" w:rsidRPr="008C6B3D">
        <w:t xml:space="preserve"> the following:</w:t>
      </w:r>
    </w:p>
    <w:p w:rsidR="00890CDD" w:rsidRDefault="00890CDD" w:rsidP="00A5384A">
      <w:pPr>
        <w:tabs>
          <w:tab w:val="clear" w:pos="1247"/>
          <w:tab w:val="clear" w:pos="1814"/>
          <w:tab w:val="clear" w:pos="2381"/>
          <w:tab w:val="left" w:pos="2268"/>
        </w:tabs>
        <w:spacing w:after="120"/>
        <w:ind w:left="1134" w:firstLine="567"/>
      </w:pPr>
      <w:r>
        <w:t>(a)</w:t>
      </w:r>
      <w:r>
        <w:tab/>
      </w:r>
      <w:r w:rsidRPr="008C6B3D">
        <w:t xml:space="preserve">Both DE and DRE are a function of the initial POP content and </w:t>
      </w:r>
      <w:r w:rsidRPr="002500AF">
        <w:t xml:space="preserve">do not cover </w:t>
      </w:r>
      <w:r w:rsidR="007203EE" w:rsidRPr="002500AF">
        <w:t xml:space="preserve">any fraction of other unintentionally produced </w:t>
      </w:r>
      <w:r w:rsidRPr="002500AF">
        <w:t>POPs during destruction or irreversible</w:t>
      </w:r>
      <w:r w:rsidR="00183EA0">
        <w:t xml:space="preserve"> </w:t>
      </w:r>
      <w:r w:rsidRPr="002500AF">
        <w:t>transformation;</w:t>
      </w:r>
    </w:p>
    <w:p w:rsidR="00890CDD" w:rsidRDefault="00890CDD" w:rsidP="00A5384A">
      <w:pPr>
        <w:tabs>
          <w:tab w:val="clear" w:pos="1247"/>
          <w:tab w:val="clear" w:pos="1814"/>
          <w:tab w:val="clear" w:pos="2381"/>
          <w:tab w:val="left" w:pos="2268"/>
        </w:tabs>
        <w:spacing w:after="120"/>
        <w:ind w:left="1134" w:firstLine="567"/>
      </w:pPr>
      <w:r>
        <w:t>(b)</w:t>
      </w:r>
      <w:r>
        <w:tab/>
      </w:r>
      <w:r w:rsidRPr="008C6B3D">
        <w:t>DE is an important criterion to assess technologies performance for destruction and irreversible transformation, but can be difficult to measure in a reproducible and comparable manner;</w:t>
      </w:r>
    </w:p>
    <w:p w:rsidR="00890CDD" w:rsidRDefault="00890CDD" w:rsidP="00A5384A">
      <w:pPr>
        <w:tabs>
          <w:tab w:val="clear" w:pos="1247"/>
          <w:tab w:val="clear" w:pos="1814"/>
          <w:tab w:val="clear" w:pos="2381"/>
          <w:tab w:val="left" w:pos="2268"/>
        </w:tabs>
        <w:spacing w:after="120"/>
        <w:ind w:left="1134" w:firstLine="567"/>
      </w:pPr>
      <w:r>
        <w:t>(c)</w:t>
      </w:r>
      <w:r>
        <w:tab/>
      </w:r>
      <w:r w:rsidRPr="008C6B3D">
        <w:t>BAT and BEP are available in order to ensure the anticipated environmental performance is achieved, including expected DE</w:t>
      </w:r>
      <w:r>
        <w:t>; and</w:t>
      </w:r>
    </w:p>
    <w:p w:rsidR="00890CDD" w:rsidRDefault="00890CDD" w:rsidP="00A5384A">
      <w:pPr>
        <w:tabs>
          <w:tab w:val="clear" w:pos="1247"/>
          <w:tab w:val="clear" w:pos="1814"/>
          <w:tab w:val="clear" w:pos="2381"/>
          <w:tab w:val="left" w:pos="2268"/>
        </w:tabs>
        <w:spacing w:after="120"/>
        <w:ind w:left="1134" w:firstLine="567"/>
      </w:pPr>
      <w:r>
        <w:t>(d)</w:t>
      </w:r>
      <w:r>
        <w:tab/>
      </w:r>
      <w:r w:rsidRPr="008C6B3D">
        <w:t>Pertinent national legislation</w:t>
      </w:r>
      <w:r w:rsidR="0062719B">
        <w:rPr>
          <w:rStyle w:val="FootnoteReference"/>
        </w:rPr>
        <w:footnoteReference w:id="30"/>
      </w:r>
      <w:r w:rsidR="00BC0E59">
        <w:t>,</w:t>
      </w:r>
      <w:r w:rsidR="00E5161D">
        <w:rPr>
          <w:bCs/>
        </w:rPr>
        <w:t xml:space="preserve"> </w:t>
      </w:r>
      <w:r w:rsidRPr="008C6B3D">
        <w:rPr>
          <w:bCs/>
        </w:rPr>
        <w:t>international rules, standards and guidelines</w:t>
      </w:r>
      <w:r w:rsidRPr="008C6B3D">
        <w:t xml:space="preserve"> apply </w:t>
      </w:r>
      <w:r w:rsidR="00057DC4">
        <w:t>to</w:t>
      </w:r>
      <w:r w:rsidR="00057DC4" w:rsidRPr="008C6B3D">
        <w:t xml:space="preserve"> </w:t>
      </w:r>
      <w:r w:rsidRPr="008C6B3D">
        <w:t>these operations</w:t>
      </w:r>
      <w:r w:rsidR="00E5161D">
        <w:rPr>
          <w:bCs/>
        </w:rPr>
        <w:t>.</w:t>
      </w:r>
      <w:r w:rsidR="001B4542">
        <w:rPr>
          <w:bCs/>
        </w:rPr>
        <w:t xml:space="preserve"> </w:t>
      </w:r>
    </w:p>
    <w:p w:rsidR="00890CDD" w:rsidRDefault="00717A92" w:rsidP="007F0174">
      <w:pPr>
        <w:pStyle w:val="Paralevel1"/>
        <w:tabs>
          <w:tab w:val="clear" w:pos="1843"/>
          <w:tab w:val="left" w:pos="1701"/>
        </w:tabs>
        <w:ind w:left="1134" w:firstLine="0"/>
      </w:pPr>
      <w:r w:rsidRPr="007F0174">
        <w:t>T</w:t>
      </w:r>
      <w:r w:rsidR="00890CDD" w:rsidRPr="007F0174">
        <w:t>he following provisional definition for levels of destruction and irreversible transformation, based upon absolute levels (i.e., waste output streams of treatment processes) should be applied:</w:t>
      </w:r>
      <w:r w:rsidR="00890CDD" w:rsidRPr="008C6B3D">
        <w:t xml:space="preserve"> </w:t>
      </w:r>
    </w:p>
    <w:p w:rsidR="00890CDD" w:rsidRDefault="00890CDD" w:rsidP="00A5384A">
      <w:pPr>
        <w:tabs>
          <w:tab w:val="clear" w:pos="1247"/>
          <w:tab w:val="clear" w:pos="1814"/>
          <w:tab w:val="clear" w:pos="2381"/>
          <w:tab w:val="left" w:pos="2268"/>
        </w:tabs>
        <w:spacing w:after="120"/>
        <w:ind w:left="1134" w:firstLine="567"/>
      </w:pPr>
      <w:r w:rsidRPr="008C6B3D">
        <w:t>(a)</w:t>
      </w:r>
      <w:r w:rsidRPr="008C6B3D">
        <w:tab/>
        <w:t xml:space="preserve">Atmospheric emissions: </w:t>
      </w:r>
    </w:p>
    <w:p w:rsidR="00890CDD" w:rsidRDefault="00890CDD" w:rsidP="004E098D">
      <w:pPr>
        <w:keepNext/>
        <w:tabs>
          <w:tab w:val="clear" w:pos="2381"/>
          <w:tab w:val="clear" w:pos="2948"/>
          <w:tab w:val="left" w:pos="2835"/>
        </w:tabs>
        <w:spacing w:after="120"/>
        <w:ind w:left="2268" w:hanging="1021"/>
      </w:pPr>
      <w:r w:rsidRPr="008C6B3D">
        <w:tab/>
      </w:r>
      <w:r>
        <w:tab/>
        <w:t>(</w:t>
      </w:r>
      <w:proofErr w:type="spellStart"/>
      <w:r>
        <w:t>i</w:t>
      </w:r>
      <w:proofErr w:type="spellEnd"/>
      <w:r>
        <w:t>)</w:t>
      </w:r>
      <w:r>
        <w:tab/>
      </w:r>
      <w:r w:rsidRPr="008C6B3D">
        <w:t>PCDDs and PCDFs:</w:t>
      </w:r>
      <w:r>
        <w:t xml:space="preserve"> </w:t>
      </w:r>
      <w:r w:rsidRPr="008C6B3D">
        <w:t xml:space="preserve">0.1 </w:t>
      </w:r>
      <w:proofErr w:type="spellStart"/>
      <w:r w:rsidRPr="008C6B3D">
        <w:t>ng</w:t>
      </w:r>
      <w:proofErr w:type="spellEnd"/>
      <w:r w:rsidRPr="008C6B3D">
        <w:t xml:space="preserve"> TEQ/</w:t>
      </w:r>
      <w:r w:rsidRPr="00DF7289">
        <w:t>Nm</w:t>
      </w:r>
      <w:r w:rsidRPr="00DF7289">
        <w:rPr>
          <w:vertAlign w:val="superscript"/>
        </w:rPr>
        <w:t>3</w:t>
      </w:r>
      <w:r w:rsidRPr="00DF7289">
        <w:t>;</w:t>
      </w:r>
      <w:r w:rsidRPr="00DF7289">
        <w:rPr>
          <w:rStyle w:val="FootnoteReference"/>
          <w:rFonts w:eastAsia="SimSun"/>
          <w:szCs w:val="20"/>
        </w:rPr>
        <w:footnoteReference w:id="31"/>
      </w:r>
    </w:p>
    <w:p w:rsidR="00890CDD" w:rsidRDefault="00890CDD" w:rsidP="004E098D">
      <w:pPr>
        <w:keepNext/>
        <w:tabs>
          <w:tab w:val="clear" w:pos="2381"/>
          <w:tab w:val="clear" w:pos="2948"/>
          <w:tab w:val="left" w:pos="2835"/>
        </w:tabs>
        <w:spacing w:after="120"/>
        <w:ind w:left="2835" w:hanging="567"/>
      </w:pPr>
      <w:r>
        <w:t>(ii)</w:t>
      </w:r>
      <w:r>
        <w:tab/>
      </w:r>
      <w:r w:rsidRPr="008C6B3D">
        <w:t>All other POPs: pertinent national legislation and international rules, standards and guidelines, examples of pertinent national legislation can be found in annex II;</w:t>
      </w:r>
    </w:p>
    <w:p w:rsidR="00890CDD" w:rsidRPr="009164FA" w:rsidRDefault="00890CDD" w:rsidP="00A5384A">
      <w:pPr>
        <w:tabs>
          <w:tab w:val="clear" w:pos="1247"/>
          <w:tab w:val="clear" w:pos="1814"/>
          <w:tab w:val="clear" w:pos="2381"/>
          <w:tab w:val="left" w:pos="2268"/>
        </w:tabs>
        <w:spacing w:after="120"/>
        <w:ind w:left="1134" w:firstLine="567"/>
        <w:rPr>
          <w:highlight w:val="yellow"/>
        </w:rPr>
      </w:pPr>
      <w:r w:rsidRPr="008C6B3D">
        <w:t>(b)</w:t>
      </w:r>
      <w:r w:rsidRPr="008C6B3D">
        <w:tab/>
      </w:r>
      <w:r w:rsidRPr="00EE4405">
        <w:t>Aqueous releases: pertinent national legislation and international rules, standards and guidelines, examples of pertinent national legislation can be found in annex II;</w:t>
      </w:r>
    </w:p>
    <w:p w:rsidR="00890CDD" w:rsidRDefault="00890CDD" w:rsidP="00A5384A">
      <w:pPr>
        <w:tabs>
          <w:tab w:val="clear" w:pos="1247"/>
          <w:tab w:val="clear" w:pos="1814"/>
          <w:tab w:val="clear" w:pos="2381"/>
          <w:tab w:val="left" w:pos="2268"/>
        </w:tabs>
        <w:spacing w:after="120"/>
        <w:ind w:left="1134" w:firstLine="567"/>
      </w:pPr>
      <w:r w:rsidRPr="00B57045">
        <w:t>(c)</w:t>
      </w:r>
      <w:r w:rsidRPr="00B57045">
        <w:tab/>
        <w:t>Solid residues: POP contents should be below the low POP contents defined in section A of this chapter. However, if the POP content is above the low POP content defined in section A, the solid residues should be treated in accordance with section IV.G.</w:t>
      </w:r>
    </w:p>
    <w:p w:rsidR="00890CDD" w:rsidRDefault="00890CDD" w:rsidP="007F0174">
      <w:pPr>
        <w:pStyle w:val="Paralevel1"/>
        <w:tabs>
          <w:tab w:val="clear" w:pos="1843"/>
          <w:tab w:val="left" w:pos="1701"/>
        </w:tabs>
        <w:ind w:left="1134" w:firstLine="0"/>
      </w:pPr>
      <w:r w:rsidRPr="008C6B3D">
        <w:t>In addition, technologies for destruction and irreversible transformation should be operated in accordance with BAT and BEP.</w:t>
      </w:r>
    </w:p>
    <w:p w:rsidR="00890CDD" w:rsidRDefault="00890CDD">
      <w:pPr>
        <w:pStyle w:val="Heading2"/>
        <w:spacing w:before="240" w:after="120"/>
        <w:ind w:left="1134" w:hanging="510"/>
      </w:pPr>
      <w:bookmarkStart w:id="280" w:name="_Toc161804554"/>
      <w:bookmarkStart w:id="281" w:name="_Toc405988630"/>
      <w:bookmarkStart w:id="282" w:name="_Toc437340523"/>
      <w:r>
        <w:t>C.</w:t>
      </w:r>
      <w:r>
        <w:tab/>
        <w:t>Methods that constitute environmentally sound disposal</w:t>
      </w:r>
      <w:bookmarkEnd w:id="280"/>
      <w:bookmarkEnd w:id="281"/>
      <w:bookmarkEnd w:id="282"/>
    </w:p>
    <w:p w:rsidR="00890CDD" w:rsidRPr="00AC5720" w:rsidRDefault="00890CDD" w:rsidP="00980527">
      <w:pPr>
        <w:pStyle w:val="Paralevel1"/>
        <w:tabs>
          <w:tab w:val="clear" w:pos="1843"/>
          <w:tab w:val="left" w:pos="1701"/>
        </w:tabs>
        <w:ind w:left="1134" w:firstLine="0"/>
        <w:rPr>
          <w:b/>
        </w:rPr>
      </w:pPr>
      <w:r>
        <w:t>Section G of chapter IV below contains a description of methods that are considered to constitute environmentally sound disposal of POP wastes.</w:t>
      </w:r>
    </w:p>
    <w:p w:rsidR="00890CDD" w:rsidRDefault="00890CDD">
      <w:pPr>
        <w:pStyle w:val="Heading1"/>
        <w:tabs>
          <w:tab w:val="left" w:pos="1134"/>
        </w:tabs>
        <w:spacing w:before="240"/>
        <w:ind w:left="1134" w:hanging="567"/>
        <w:rPr>
          <w:rFonts w:ascii="Times New Roman" w:hAnsi="Times New Roman"/>
          <w:sz w:val="28"/>
          <w:szCs w:val="28"/>
        </w:rPr>
      </w:pPr>
      <w:bookmarkStart w:id="283" w:name="_Toc393962936"/>
      <w:bookmarkStart w:id="284" w:name="_Toc405988631"/>
      <w:bookmarkStart w:id="285" w:name="_Toc437340524"/>
      <w:r>
        <w:rPr>
          <w:rFonts w:ascii="Times New Roman" w:hAnsi="Times New Roman"/>
          <w:sz w:val="28"/>
          <w:szCs w:val="28"/>
        </w:rPr>
        <w:t>IV.</w:t>
      </w:r>
      <w:bookmarkEnd w:id="283"/>
      <w:r>
        <w:rPr>
          <w:rFonts w:ascii="Times New Roman" w:hAnsi="Times New Roman"/>
          <w:sz w:val="28"/>
          <w:szCs w:val="28"/>
        </w:rPr>
        <w:tab/>
      </w:r>
      <w:bookmarkStart w:id="286" w:name="_Toc52512367"/>
      <w:bookmarkStart w:id="287" w:name="_Toc52512418"/>
      <w:bookmarkStart w:id="288" w:name="_Toc52524019"/>
      <w:bookmarkStart w:id="289" w:name="_Toc58997111"/>
      <w:bookmarkStart w:id="290" w:name="_Toc58999195"/>
      <w:bookmarkStart w:id="291" w:name="_Toc58999254"/>
      <w:bookmarkStart w:id="292" w:name="_Toc59943349"/>
      <w:bookmarkStart w:id="293" w:name="_Toc59943514"/>
      <w:bookmarkStart w:id="294" w:name="_Toc59943572"/>
      <w:bookmarkStart w:id="295" w:name="_Toc59943665"/>
      <w:bookmarkStart w:id="296" w:name="_Toc61328030"/>
      <w:bookmarkStart w:id="297" w:name="_Toc61681671"/>
      <w:bookmarkStart w:id="298" w:name="_Toc61681740"/>
      <w:bookmarkStart w:id="299" w:name="_Toc62220536"/>
      <w:bookmarkStart w:id="300" w:name="_Toc161804555"/>
      <w:bookmarkStart w:id="301" w:name="_Toc49228123"/>
      <w:bookmarkStart w:id="302" w:name="_Toc49228174"/>
      <w:bookmarkStart w:id="303" w:name="_Toc49228296"/>
      <w:bookmarkStart w:id="304" w:name="_Toc49228428"/>
      <w:bookmarkStart w:id="305" w:name="_Toc49228478"/>
      <w:bookmarkStart w:id="306" w:name="_Toc52011572"/>
      <w:bookmarkStart w:id="307" w:name="_Toc52131811"/>
      <w:bookmarkStart w:id="308" w:name="_Toc52175488"/>
      <w:r w:rsidRPr="00053865">
        <w:rPr>
          <w:rFonts w:ascii="Times New Roman" w:hAnsi="Times New Roman"/>
          <w:sz w:val="28"/>
          <w:szCs w:val="28"/>
        </w:rPr>
        <w:t>Guidance on environmentally sound management (ESM</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053865">
        <w:rPr>
          <w:rFonts w:ascii="Times New Roman" w:hAnsi="Times New Roman"/>
          <w:sz w:val="28"/>
          <w:szCs w:val="28"/>
        </w:rPr>
        <w:t>)</w:t>
      </w:r>
      <w:bookmarkEnd w:id="284"/>
      <w:bookmarkEnd w:id="285"/>
      <w:bookmarkEnd w:id="300"/>
    </w:p>
    <w:p w:rsidR="00890CDD" w:rsidRDefault="00890CDD">
      <w:pPr>
        <w:pStyle w:val="Heading2"/>
        <w:spacing w:before="240" w:after="120"/>
        <w:ind w:left="1134" w:hanging="510"/>
      </w:pPr>
      <w:bookmarkStart w:id="309" w:name="_Toc49228119"/>
      <w:bookmarkStart w:id="310" w:name="_Toc49228170"/>
      <w:bookmarkStart w:id="311" w:name="_Toc49228292"/>
      <w:bookmarkStart w:id="312" w:name="_Toc49228424"/>
      <w:bookmarkStart w:id="313" w:name="_Toc49228474"/>
      <w:bookmarkStart w:id="314" w:name="_Toc52011568"/>
      <w:bookmarkStart w:id="315" w:name="_Toc52131807"/>
      <w:bookmarkStart w:id="316" w:name="_Toc52175478"/>
      <w:bookmarkStart w:id="317" w:name="_Toc52512368"/>
      <w:bookmarkStart w:id="318" w:name="_Toc52512419"/>
      <w:bookmarkStart w:id="319" w:name="_Toc52524020"/>
      <w:bookmarkStart w:id="320" w:name="_Toc58997112"/>
      <w:bookmarkStart w:id="321" w:name="_Toc58999196"/>
      <w:bookmarkStart w:id="322" w:name="_Toc58999255"/>
      <w:bookmarkStart w:id="323" w:name="_Toc59943350"/>
      <w:bookmarkStart w:id="324" w:name="_Toc59943515"/>
      <w:bookmarkStart w:id="325" w:name="_Toc59943573"/>
      <w:bookmarkStart w:id="326" w:name="_Toc59943666"/>
      <w:bookmarkStart w:id="327" w:name="_Toc61328031"/>
      <w:bookmarkStart w:id="328" w:name="_Toc61681672"/>
      <w:bookmarkStart w:id="329" w:name="_Toc61681741"/>
      <w:bookmarkStart w:id="330" w:name="_Toc62220537"/>
      <w:bookmarkStart w:id="331" w:name="_Toc161804556"/>
      <w:bookmarkStart w:id="332" w:name="_Toc405988632"/>
      <w:bookmarkStart w:id="333" w:name="_Toc437340525"/>
      <w:r>
        <w:t>A.</w:t>
      </w:r>
      <w:r>
        <w:tab/>
        <w:t xml:space="preserve">General </w:t>
      </w:r>
      <w:bookmarkStart w:id="334" w:name="_Toc49228120"/>
      <w:bookmarkStart w:id="335" w:name="_Toc49228171"/>
      <w:bookmarkStart w:id="336" w:name="_Toc49228293"/>
      <w:bookmarkStart w:id="337" w:name="_Toc49228425"/>
      <w:bookmarkStart w:id="338" w:name="_Toc49228475"/>
      <w:bookmarkStart w:id="339" w:name="_Toc52011569"/>
      <w:bookmarkEnd w:id="309"/>
      <w:bookmarkEnd w:id="310"/>
      <w:bookmarkEnd w:id="311"/>
      <w:bookmarkEnd w:id="312"/>
      <w:bookmarkEnd w:id="313"/>
      <w:bookmarkEnd w:id="314"/>
      <w:bookmarkEnd w:id="315"/>
      <w:bookmarkEnd w:id="316"/>
      <w:bookmarkEnd w:id="317"/>
      <w:bookmarkEnd w:id="318"/>
      <w:bookmarkEnd w:id="319"/>
      <w:r>
        <w:t>considerations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890CDD" w:rsidRPr="004D50ED" w:rsidRDefault="00890CDD" w:rsidP="00980527">
      <w:pPr>
        <w:pStyle w:val="Paralevel1"/>
        <w:tabs>
          <w:tab w:val="clear" w:pos="1843"/>
          <w:tab w:val="left" w:pos="1701"/>
        </w:tabs>
        <w:ind w:left="1134" w:firstLine="0"/>
      </w:pPr>
      <w:r>
        <w:t xml:space="preserve">ESM is a broad policy concept that is understood and implemented in various ways by </w:t>
      </w:r>
      <w:r w:rsidR="008856CE">
        <w:t xml:space="preserve">different </w:t>
      </w:r>
      <w:r>
        <w:t xml:space="preserve">countries, stakeholders and organizations. </w:t>
      </w:r>
      <w:r w:rsidR="008856CE">
        <w:t>The p</w:t>
      </w:r>
      <w:r>
        <w:t xml:space="preserve">rovisions and guidance documents pertaining to ESM of hazardous wastes as it applies to POP wastes within the Basel and Stockholm conventions, </w:t>
      </w:r>
      <w:r w:rsidR="008856CE">
        <w:t xml:space="preserve">together with performance elements produced by </w:t>
      </w:r>
      <w:r>
        <w:t xml:space="preserve">the </w:t>
      </w:r>
      <w:proofErr w:type="spellStart"/>
      <w:r>
        <w:t>Organisation</w:t>
      </w:r>
      <w:proofErr w:type="spellEnd"/>
      <w:r>
        <w:t xml:space="preserve"> for Economic Co-operation and Development (OECD)</w:t>
      </w:r>
      <w:r w:rsidR="008856CE">
        <w:t>,</w:t>
      </w:r>
      <w:r>
        <w:t xml:space="preserve"> core performance elements provide for a common understanding and international guidance to support and </w:t>
      </w:r>
      <w:r w:rsidRPr="00135F41">
        <w:t>implement the ESM of</w:t>
      </w:r>
      <w:r w:rsidRPr="00752009">
        <w:t xml:space="preserve"> hazardous waste</w:t>
      </w:r>
      <w:r>
        <w:t xml:space="preserve">s </w:t>
      </w:r>
      <w:r w:rsidRPr="004D50ED">
        <w:t xml:space="preserve">and other wastes. </w:t>
      </w:r>
      <w:bookmarkStart w:id="340" w:name="_Toc58997113"/>
      <w:bookmarkStart w:id="341" w:name="_Toc58999197"/>
      <w:bookmarkStart w:id="342" w:name="_Toc58999256"/>
      <w:bookmarkStart w:id="343" w:name="_Toc59943351"/>
      <w:bookmarkStart w:id="344" w:name="_Toc59943516"/>
      <w:bookmarkStart w:id="345" w:name="_Toc59943574"/>
      <w:bookmarkStart w:id="346" w:name="_Toc59943667"/>
      <w:bookmarkStart w:id="347" w:name="_Toc61328032"/>
      <w:bookmarkStart w:id="348" w:name="_Toc61681673"/>
      <w:bookmarkStart w:id="349" w:name="_Toc61681742"/>
      <w:bookmarkStart w:id="350" w:name="_Toc62220538"/>
      <w:bookmarkStart w:id="351" w:name="_Toc95280657"/>
      <w:bookmarkStart w:id="352" w:name="_Toc145395104"/>
      <w:bookmarkStart w:id="353" w:name="_Toc161804557"/>
    </w:p>
    <w:p w:rsidR="00890CDD" w:rsidRPr="004D50ED" w:rsidRDefault="00890CDD" w:rsidP="00980527">
      <w:pPr>
        <w:pStyle w:val="Paralevel1"/>
        <w:tabs>
          <w:tab w:val="clear" w:pos="1843"/>
          <w:tab w:val="left" w:pos="1701"/>
        </w:tabs>
        <w:ind w:left="1134" w:firstLine="0"/>
      </w:pPr>
      <w:r>
        <w:t xml:space="preserve">The 2013 </w:t>
      </w:r>
      <w:r w:rsidRPr="00FF0EAF">
        <w:rPr>
          <w:i/>
        </w:rPr>
        <w:t xml:space="preserve">Framework for the environmentally sound management of hazardous wastes and other wastes </w:t>
      </w:r>
      <w:r>
        <w:t xml:space="preserve">(“ESM framework”) </w:t>
      </w:r>
      <w:r w:rsidRPr="00E252AD">
        <w:t xml:space="preserve">was adopted at the eleventh </w:t>
      </w:r>
      <w:r>
        <w:t xml:space="preserve">meeting of the </w:t>
      </w:r>
      <w:r w:rsidRPr="00E252AD">
        <w:t xml:space="preserve">Conference of the Parties to the </w:t>
      </w:r>
      <w:r w:rsidRPr="004D50ED">
        <w:t>Basel Convention.</w:t>
      </w:r>
      <w:r w:rsidRPr="004D50ED">
        <w:rPr>
          <w:rStyle w:val="FootnoteReference"/>
        </w:rPr>
        <w:footnoteReference w:id="32"/>
      </w:r>
      <w:r w:rsidRPr="004D50ED">
        <w:t xml:space="preserve"> The framework establishes a common understanding of what ESM encompasses and identifies tools and strategies to support and promote the implementation of ESM. It is intended as a practical guide for governments and other stakeholders participating in the management of hazardous wastes and other wastes and constitutes the most comprehensive </w:t>
      </w:r>
      <w:r w:rsidR="00855012">
        <w:t xml:space="preserve">guidance on </w:t>
      </w:r>
      <w:r w:rsidRPr="004D50ED">
        <w:t>ESM to complement the Basel technical guidelines.</w:t>
      </w:r>
    </w:p>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rsidR="00890CDD" w:rsidRPr="004D50ED" w:rsidRDefault="00890CDD" w:rsidP="00980527">
      <w:pPr>
        <w:pStyle w:val="Paralevel1"/>
        <w:tabs>
          <w:tab w:val="clear" w:pos="1843"/>
          <w:tab w:val="left" w:pos="1701"/>
        </w:tabs>
        <w:ind w:left="1134" w:firstLine="0"/>
      </w:pPr>
      <w:r>
        <w:t xml:space="preserve">As presented in </w:t>
      </w:r>
      <w:r w:rsidR="00093BCE" w:rsidRPr="00093BCE">
        <w:t>paragraph 17</w:t>
      </w:r>
      <w:r>
        <w:t xml:space="preserve"> of this document, Article 4 of the </w:t>
      </w:r>
      <w:r w:rsidRPr="004D50ED">
        <w:t>Basel Convention</w:t>
      </w:r>
      <w:r>
        <w:t xml:space="preserve"> contains provisions related to the </w:t>
      </w:r>
      <w:r w:rsidRPr="004D50ED">
        <w:t xml:space="preserve">ESM </w:t>
      </w:r>
      <w:r>
        <w:t xml:space="preserve">of hazardous wastes and other wastes. ESM is also </w:t>
      </w:r>
      <w:r w:rsidRPr="004D50ED">
        <w:t xml:space="preserve">the subject </w:t>
      </w:r>
      <w:r>
        <w:t xml:space="preserve">of </w:t>
      </w:r>
      <w:r w:rsidRPr="004D50ED">
        <w:t xml:space="preserve">the following declarations: </w:t>
      </w:r>
    </w:p>
    <w:p w:rsidR="00890CDD" w:rsidRDefault="00890CDD" w:rsidP="004E098D">
      <w:pPr>
        <w:tabs>
          <w:tab w:val="clear" w:pos="1247"/>
          <w:tab w:val="clear" w:pos="1814"/>
          <w:tab w:val="clear" w:pos="2381"/>
          <w:tab w:val="left" w:pos="2268"/>
        </w:tabs>
        <w:spacing w:after="120"/>
        <w:ind w:left="1134" w:firstLine="567"/>
      </w:pPr>
      <w:r>
        <w:t>(a)</w:t>
      </w:r>
      <w:r>
        <w:tab/>
      </w:r>
      <w:r w:rsidRPr="004D50ED">
        <w:t>The 1999</w:t>
      </w:r>
      <w:r w:rsidR="00B92CF8">
        <w:t xml:space="preserve"> Basel</w:t>
      </w:r>
      <w:r w:rsidRPr="004D50ED">
        <w:t xml:space="preserve"> Declaration on Environmentally Sound Management, which was adopted at the fifth meeting of the Conference of the Parties to the Basel Convention</w:t>
      </w:r>
      <w:r>
        <w:t xml:space="preserve"> calls on the </w:t>
      </w:r>
      <w:r w:rsidR="00CB463E">
        <w:t>p</w:t>
      </w:r>
      <w:r>
        <w:t>arties to enhance and strengthen their efforts and cooperation to achieve ESM, including through prevention, minimization, recycling, recovery and disposal of hazardous and other wastes subject to the Basel Convention, taking into account social, technological and economic concerns</w:t>
      </w:r>
      <w:r w:rsidR="00CB463E">
        <w:t>,</w:t>
      </w:r>
      <w:r>
        <w:t xml:space="preserve"> and through further reduction of </w:t>
      </w:r>
      <w:proofErr w:type="spellStart"/>
      <w:r>
        <w:t>transboundary</w:t>
      </w:r>
      <w:proofErr w:type="spellEnd"/>
      <w:r>
        <w:t xml:space="preserve"> movements of hazardous and other wastes subject to the Basel Convention;</w:t>
      </w:r>
    </w:p>
    <w:p w:rsidR="00890CDD" w:rsidRDefault="00890CDD" w:rsidP="004E098D">
      <w:pPr>
        <w:tabs>
          <w:tab w:val="clear" w:pos="1247"/>
          <w:tab w:val="clear" w:pos="1814"/>
          <w:tab w:val="clear" w:pos="2381"/>
          <w:tab w:val="left" w:pos="2268"/>
        </w:tabs>
        <w:spacing w:after="120"/>
        <w:ind w:left="1134" w:firstLine="567"/>
      </w:pPr>
      <w:r>
        <w:t>(b)</w:t>
      </w:r>
      <w:r>
        <w:tab/>
        <w:t>The 2011 Cartagena Declaration on the Prevention, Minimization and Recovery of Hazardous Wastes and Other Wastes</w:t>
      </w:r>
      <w:r w:rsidR="00D8507C">
        <w:t>, which</w:t>
      </w:r>
      <w:r>
        <w:t xml:space="preserve"> was adopted at the tenth meeting of the Conference of the Parties to the Basel Convention</w:t>
      </w:r>
      <w:r w:rsidR="00D8507C">
        <w:t xml:space="preserve"> and </w:t>
      </w:r>
      <w:r>
        <w:t>reaffirms that the Basel Convention is the primary global legal instrument for guiding the ESM of hazardous wastes and other wastes and their disposal.</w:t>
      </w:r>
    </w:p>
    <w:p w:rsidR="00890CDD" w:rsidRDefault="00890CDD" w:rsidP="00980527">
      <w:pPr>
        <w:pStyle w:val="Paralevel1"/>
        <w:tabs>
          <w:tab w:val="clear" w:pos="1843"/>
          <w:tab w:val="left" w:pos="1701"/>
        </w:tabs>
        <w:ind w:left="1134" w:firstLine="0"/>
      </w:pPr>
      <w:bookmarkStart w:id="354" w:name="_Toc52131808"/>
      <w:bookmarkStart w:id="355" w:name="_Toc52175479"/>
      <w:bookmarkStart w:id="356" w:name="_Toc52512369"/>
      <w:bookmarkStart w:id="357" w:name="_Toc52512420"/>
      <w:bookmarkStart w:id="358" w:name="_Toc52524021"/>
      <w:bookmarkStart w:id="359" w:name="_Toc58997114"/>
      <w:bookmarkStart w:id="360" w:name="_Toc58999198"/>
      <w:bookmarkStart w:id="361" w:name="_Toc58999257"/>
      <w:bookmarkStart w:id="362" w:name="_Toc59943352"/>
      <w:bookmarkStart w:id="363" w:name="_Toc59943517"/>
      <w:bookmarkStart w:id="364" w:name="_Toc59943575"/>
      <w:bookmarkStart w:id="365" w:name="_Toc59943668"/>
      <w:bookmarkStart w:id="366" w:name="_Toc61328033"/>
      <w:bookmarkStart w:id="367" w:name="_Toc61681674"/>
      <w:bookmarkStart w:id="368" w:name="_Toc61681743"/>
      <w:bookmarkStart w:id="369" w:name="_Toc62220539"/>
      <w:bookmarkStart w:id="370" w:name="_Toc95280658"/>
      <w:bookmarkStart w:id="371" w:name="_Toc145395105"/>
      <w:bookmarkStart w:id="372" w:name="_Toc161804558"/>
      <w:bookmarkEnd w:id="334"/>
      <w:bookmarkEnd w:id="335"/>
      <w:bookmarkEnd w:id="336"/>
      <w:bookmarkEnd w:id="337"/>
      <w:bookmarkEnd w:id="338"/>
      <w:bookmarkEnd w:id="339"/>
      <w:r>
        <w:t>Under the Stockholm Convention</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t>, the term “environmentally sound management” is not defined. Environmentally sound methods for disposal of POP wastes are, however, to be determined by the Conference of the Parties in cooperation with the appropriate bodies of the Basel Convention.</w:t>
      </w:r>
    </w:p>
    <w:p w:rsidR="00890CDD" w:rsidRDefault="00890CDD" w:rsidP="00980527">
      <w:pPr>
        <w:pStyle w:val="Paralevel1"/>
        <w:tabs>
          <w:tab w:val="clear" w:pos="1843"/>
          <w:tab w:val="left" w:pos="1701"/>
        </w:tabs>
        <w:ind w:left="1134" w:firstLine="0"/>
        <w:rPr>
          <w:lang w:eastAsia="en-CA"/>
        </w:rPr>
      </w:pPr>
      <w:r>
        <w:t xml:space="preserve">The OECD has adopted a recommendation on ESM of wastes which includes various items, </w:t>
      </w:r>
      <w:r w:rsidR="00405DFE" w:rsidRPr="00405DFE">
        <w:rPr>
          <w:i/>
        </w:rPr>
        <w:t xml:space="preserve">inter alia </w:t>
      </w:r>
      <w:r>
        <w:t>core performance elements of ESM guidelines applying to waste recovery facilities, including elements of performance that precede collection, transport, treatment and storage and also elements subsequent to storage, transport, treatment and disposal of pertinent residues (OECD, 20</w:t>
      </w:r>
      <w:r w:rsidR="000241DE">
        <w:t>04</w:t>
      </w:r>
      <w:r>
        <w:t>).</w:t>
      </w:r>
    </w:p>
    <w:p w:rsidR="00890CDD" w:rsidRDefault="00C02799" w:rsidP="00980527">
      <w:pPr>
        <w:pStyle w:val="Paralevel1"/>
        <w:tabs>
          <w:tab w:val="clear" w:pos="1843"/>
          <w:tab w:val="left" w:pos="1701"/>
        </w:tabs>
        <w:ind w:left="1134" w:firstLine="0"/>
        <w:rPr>
          <w:lang w:eastAsia="en-CA"/>
        </w:rPr>
      </w:pPr>
      <w:r w:rsidRPr="007E6287">
        <w:rPr>
          <w:lang w:eastAsia="en-CA"/>
        </w:rPr>
        <w:t xml:space="preserve">Parties should develop a range of measures (strategies, policies, legislation, regulations and </w:t>
      </w:r>
      <w:proofErr w:type="spellStart"/>
      <w:r w:rsidRPr="007E6287">
        <w:rPr>
          <w:lang w:eastAsia="en-CA"/>
        </w:rPr>
        <w:t>programmes</w:t>
      </w:r>
      <w:proofErr w:type="spellEnd"/>
      <w:r w:rsidRPr="007E6287">
        <w:rPr>
          <w:lang w:eastAsia="en-CA"/>
        </w:rPr>
        <w:t>) and monitor their implementation to support the meeting of ESM objectives. The</w:t>
      </w:r>
      <w:r w:rsidR="00890CDD" w:rsidRPr="007E6287">
        <w:rPr>
          <w:lang w:eastAsia="en-CA"/>
        </w:rPr>
        <w:t xml:space="preserve"> implementation of </w:t>
      </w:r>
      <w:r w:rsidRPr="007E6287">
        <w:rPr>
          <w:lang w:eastAsia="en-CA"/>
        </w:rPr>
        <w:t xml:space="preserve">national </w:t>
      </w:r>
      <w:r w:rsidR="003F6F8E" w:rsidRPr="007E6287">
        <w:rPr>
          <w:lang w:eastAsia="en-CA"/>
        </w:rPr>
        <w:t xml:space="preserve">strategies, </w:t>
      </w:r>
      <w:r w:rsidR="00890CDD" w:rsidRPr="007E6287">
        <w:rPr>
          <w:lang w:eastAsia="en-CA"/>
        </w:rPr>
        <w:t xml:space="preserve">policies </w:t>
      </w:r>
      <w:r w:rsidRPr="007E6287">
        <w:rPr>
          <w:lang w:eastAsia="en-CA"/>
        </w:rPr>
        <w:t xml:space="preserve">and </w:t>
      </w:r>
      <w:proofErr w:type="spellStart"/>
      <w:r w:rsidRPr="007E6287">
        <w:rPr>
          <w:lang w:eastAsia="en-CA"/>
        </w:rPr>
        <w:t>programmes</w:t>
      </w:r>
      <w:proofErr w:type="spellEnd"/>
      <w:r w:rsidRPr="007E6287">
        <w:rPr>
          <w:lang w:eastAsia="en-CA"/>
        </w:rPr>
        <w:t xml:space="preserve"> are effective tools to complement the implementation of </w:t>
      </w:r>
      <w:r w:rsidR="00890CDD" w:rsidRPr="007E6287">
        <w:rPr>
          <w:lang w:eastAsia="en-CA"/>
        </w:rPr>
        <w:t>legislation and regulations;</w:t>
      </w:r>
      <w:r w:rsidR="00890CDD">
        <w:rPr>
          <w:lang w:eastAsia="en-CA"/>
        </w:rPr>
        <w:t xml:space="preserve"> monitoring and enforcement; incentives and penalties; technologies; and other tools in which all key stakeholders participate and cooperate (</w:t>
      </w:r>
      <w:r w:rsidR="00827D93">
        <w:rPr>
          <w:lang w:eastAsia="en-CA"/>
        </w:rPr>
        <w:t>UNEP</w:t>
      </w:r>
      <w:r w:rsidR="00890CDD">
        <w:rPr>
          <w:lang w:eastAsia="en-CA"/>
        </w:rPr>
        <w:t>, 2013</w:t>
      </w:r>
      <w:r w:rsidR="00827D93">
        <w:rPr>
          <w:lang w:eastAsia="en-CA"/>
        </w:rPr>
        <w:t>a</w:t>
      </w:r>
      <w:r w:rsidR="00890CDD">
        <w:rPr>
          <w:lang w:eastAsia="en-CA"/>
        </w:rPr>
        <w:t>). The following sections should be taken into account when establishing, implementing or evaluating ESM.</w:t>
      </w:r>
      <w:r w:rsidR="003F6F8E">
        <w:rPr>
          <w:lang w:eastAsia="en-CA"/>
        </w:rPr>
        <w:t xml:space="preserve"> </w:t>
      </w:r>
    </w:p>
    <w:p w:rsidR="00890CDD" w:rsidRDefault="00890CDD">
      <w:pPr>
        <w:pStyle w:val="Heading2"/>
        <w:spacing w:before="240" w:after="120"/>
        <w:ind w:left="1134" w:hanging="510"/>
      </w:pPr>
      <w:bookmarkStart w:id="373" w:name="_Toc49228124"/>
      <w:bookmarkStart w:id="374" w:name="_Toc49228175"/>
      <w:bookmarkStart w:id="375" w:name="_Toc49228297"/>
      <w:bookmarkStart w:id="376" w:name="_Toc49228429"/>
      <w:bookmarkStart w:id="377" w:name="_Toc49228479"/>
      <w:bookmarkStart w:id="378" w:name="_Toc52011573"/>
      <w:bookmarkStart w:id="379" w:name="_Toc52131812"/>
      <w:bookmarkStart w:id="380" w:name="_Toc52175489"/>
      <w:bookmarkStart w:id="381" w:name="_Toc52512373"/>
      <w:bookmarkStart w:id="382" w:name="_Toc52512424"/>
      <w:bookmarkStart w:id="383" w:name="_Toc52524025"/>
      <w:bookmarkStart w:id="384" w:name="_Toc58997118"/>
      <w:bookmarkStart w:id="385" w:name="_Toc58999200"/>
      <w:bookmarkStart w:id="386" w:name="_Toc58999259"/>
      <w:bookmarkStart w:id="387" w:name="_Toc59943354"/>
      <w:bookmarkStart w:id="388" w:name="_Toc59943519"/>
      <w:bookmarkStart w:id="389" w:name="_Toc59943577"/>
      <w:bookmarkStart w:id="390" w:name="_Toc59943670"/>
      <w:bookmarkStart w:id="391" w:name="_Toc61328035"/>
      <w:bookmarkStart w:id="392" w:name="_Toc61681676"/>
      <w:bookmarkStart w:id="393" w:name="_Toc61681745"/>
      <w:bookmarkStart w:id="394" w:name="_Toc62220541"/>
      <w:bookmarkStart w:id="395" w:name="_Toc161804560"/>
      <w:bookmarkStart w:id="396" w:name="_Toc405988633"/>
      <w:bookmarkStart w:id="397" w:name="_Toc437340526"/>
      <w:bookmarkEnd w:id="301"/>
      <w:bookmarkEnd w:id="302"/>
      <w:bookmarkEnd w:id="303"/>
      <w:bookmarkEnd w:id="304"/>
      <w:bookmarkEnd w:id="305"/>
      <w:bookmarkEnd w:id="306"/>
      <w:bookmarkEnd w:id="307"/>
      <w:bookmarkEnd w:id="308"/>
      <w:r>
        <w:t>B.</w:t>
      </w:r>
      <w:r>
        <w:tab/>
        <w:t>L</w:t>
      </w:r>
      <w:bookmarkEnd w:id="373"/>
      <w:bookmarkEnd w:id="374"/>
      <w:bookmarkEnd w:id="375"/>
      <w:bookmarkEnd w:id="376"/>
      <w:bookmarkEnd w:id="377"/>
      <w:bookmarkEnd w:id="378"/>
      <w:bookmarkEnd w:id="379"/>
      <w:bookmarkEnd w:id="380"/>
      <w:r>
        <w:t>egislative and regulatory framework</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rsidR="00890CDD" w:rsidRDefault="00890CDD" w:rsidP="00980527">
      <w:pPr>
        <w:pStyle w:val="Paralevel1"/>
        <w:tabs>
          <w:tab w:val="clear" w:pos="1843"/>
          <w:tab w:val="left" w:pos="1701"/>
        </w:tabs>
        <w:ind w:left="1134" w:firstLine="0"/>
      </w:pPr>
      <w:r>
        <w:t xml:space="preserve">Parties to the Basel and Stockholm conventions should examine </w:t>
      </w:r>
      <w:r w:rsidR="00405DFE" w:rsidRPr="00AF3EE2">
        <w:t>their</w:t>
      </w:r>
      <w:r w:rsidR="00B6432C">
        <w:t xml:space="preserve"> </w:t>
      </w:r>
      <w:r>
        <w:t xml:space="preserve">national </w:t>
      </w:r>
      <w:r w:rsidR="007C20D4">
        <w:t xml:space="preserve">strategies, policies, </w:t>
      </w:r>
      <w:r>
        <w:t xml:space="preserve">controls, standards and procedures to ensure that they are in agreement with the </w:t>
      </w:r>
      <w:r w:rsidR="00EF2912">
        <w:t xml:space="preserve">two </w:t>
      </w:r>
      <w:r>
        <w:t xml:space="preserve">conventions and with their obligations under them, including those </w:t>
      </w:r>
      <w:r w:rsidR="00EF2912">
        <w:t xml:space="preserve">that </w:t>
      </w:r>
      <w:r>
        <w:t>pertain to ESM of POP wastes.</w:t>
      </w:r>
    </w:p>
    <w:p w:rsidR="00890CDD" w:rsidRPr="00C73465" w:rsidRDefault="00890CDD" w:rsidP="00980527">
      <w:pPr>
        <w:pStyle w:val="Paralevel1"/>
        <w:tabs>
          <w:tab w:val="clear" w:pos="1843"/>
          <w:tab w:val="left" w:pos="1701"/>
        </w:tabs>
        <w:ind w:left="1134" w:firstLine="0"/>
      </w:pPr>
      <w:r w:rsidRPr="00C73465">
        <w:t xml:space="preserve">Most countries already have in place some form of legislation that outlines broad environmental protection principles, powers and rights. Such legislation should make ESM operational and include requirements for protection of both human health and the environment. Such enabling legislation can give governments the power to enact </w:t>
      </w:r>
      <w:r w:rsidR="00D8507C">
        <w:t xml:space="preserve">and enforce </w:t>
      </w:r>
      <w:r w:rsidRPr="00C73465">
        <w:t>specific rules and regulations</w:t>
      </w:r>
      <w:r w:rsidR="005843E2">
        <w:t xml:space="preserve"> on hazardous wastes</w:t>
      </w:r>
      <w:r w:rsidRPr="00C73465">
        <w:t xml:space="preserve">, </w:t>
      </w:r>
      <w:r w:rsidR="005843E2">
        <w:t xml:space="preserve">conduct </w:t>
      </w:r>
      <w:r w:rsidRPr="00C73465">
        <w:t>inspect</w:t>
      </w:r>
      <w:r w:rsidR="005843E2">
        <w:t>ions</w:t>
      </w:r>
      <w:r w:rsidRPr="00C73465">
        <w:t xml:space="preserve"> and establish penalties for violations. </w:t>
      </w:r>
    </w:p>
    <w:p w:rsidR="00890CDD" w:rsidRPr="00C73465" w:rsidRDefault="00890CDD" w:rsidP="00980527">
      <w:pPr>
        <w:pStyle w:val="Paralevel1"/>
        <w:tabs>
          <w:tab w:val="clear" w:pos="1843"/>
          <w:tab w:val="left" w:pos="1701"/>
        </w:tabs>
        <w:ind w:left="1134" w:firstLine="0"/>
        <w:rPr>
          <w:u w:val="single"/>
        </w:rPr>
      </w:pPr>
      <w:r w:rsidRPr="00C73465">
        <w:t xml:space="preserve">Such legislation on hazardous wastes should also define hazardous wastes. </w:t>
      </w:r>
      <w:r>
        <w:t xml:space="preserve">Waste with </w:t>
      </w:r>
      <w:r w:rsidR="00BC6B83">
        <w:t xml:space="preserve">a </w:t>
      </w:r>
      <w:r w:rsidR="00E85604">
        <w:t xml:space="preserve">POP </w:t>
      </w:r>
      <w:r w:rsidR="00B3046E">
        <w:t xml:space="preserve">content </w:t>
      </w:r>
      <w:r w:rsidRPr="00C73465">
        <w:t>above the low POP content</w:t>
      </w:r>
      <w:r w:rsidR="002E5819">
        <w:t xml:space="preserve"> </w:t>
      </w:r>
      <w:r w:rsidR="00E85604">
        <w:t xml:space="preserve">specified in the </w:t>
      </w:r>
      <w:r w:rsidR="00AF60D6">
        <w:t xml:space="preserve">definition </w:t>
      </w:r>
      <w:r w:rsidRPr="00C73465">
        <w:t>referred to in section III.A should be included in the definition</w:t>
      </w:r>
      <w:r w:rsidR="00855012">
        <w:t>, as</w:t>
      </w:r>
      <w:r w:rsidRPr="00C73465">
        <w:t xml:space="preserve"> appropriate.</w:t>
      </w:r>
    </w:p>
    <w:p w:rsidR="00890CDD" w:rsidRDefault="00890CDD" w:rsidP="00980527">
      <w:pPr>
        <w:pStyle w:val="Paralevel1"/>
        <w:tabs>
          <w:tab w:val="clear" w:pos="1843"/>
          <w:tab w:val="left" w:pos="1701"/>
        </w:tabs>
        <w:ind w:left="1134" w:firstLine="0"/>
      </w:pPr>
      <w:r w:rsidRPr="00C73465">
        <w:t>The legislation could define ESM and require adherence to ESM principles, ensuring that countries satisfy provisions for ESM of POP wastes, including their environmentally sound disposal as described in the present guidelines and the Stockholm Convention. Specific components or features of a regulatory framework that would meet the requirements</w:t>
      </w:r>
      <w:r>
        <w:t xml:space="preserve"> of the Basel and Stockholm conventions and other international agreements are discussed below.</w:t>
      </w:r>
      <w:r>
        <w:rPr>
          <w:rStyle w:val="FootnoteReference"/>
        </w:rPr>
        <w:footnoteReference w:id="33"/>
      </w:r>
    </w:p>
    <w:p w:rsidR="00890CDD" w:rsidRDefault="00890CDD">
      <w:pPr>
        <w:pStyle w:val="Heading3"/>
        <w:spacing w:before="240" w:after="120"/>
        <w:ind w:left="1134" w:hanging="425"/>
      </w:pPr>
      <w:bookmarkStart w:id="398" w:name="_Toc95280661"/>
      <w:bookmarkStart w:id="399" w:name="_Toc145395108"/>
      <w:bookmarkStart w:id="400" w:name="_Toc161804561"/>
      <w:bookmarkStart w:id="401" w:name="_Toc405988634"/>
      <w:bookmarkStart w:id="402" w:name="_Toc437340527"/>
      <w:r w:rsidRPr="005E5BFF">
        <w:rPr>
          <w:szCs w:val="20"/>
        </w:rPr>
        <w:t>1.</w:t>
      </w:r>
      <w:r w:rsidRPr="005E5BFF">
        <w:rPr>
          <w:szCs w:val="20"/>
        </w:rPr>
        <w:tab/>
        <w:t>Phase-out dates for production and use of POPs</w:t>
      </w:r>
      <w:bookmarkEnd w:id="398"/>
      <w:bookmarkEnd w:id="399"/>
      <w:bookmarkEnd w:id="400"/>
      <w:bookmarkEnd w:id="401"/>
      <w:bookmarkEnd w:id="402"/>
      <w:r w:rsidRPr="005E5BFF">
        <w:rPr>
          <w:szCs w:val="20"/>
        </w:rPr>
        <w:t xml:space="preserve"> </w:t>
      </w:r>
    </w:p>
    <w:p w:rsidR="00890CDD" w:rsidRPr="009E6809" w:rsidRDefault="00405DFE" w:rsidP="00980527">
      <w:pPr>
        <w:pStyle w:val="Paralevel1"/>
        <w:tabs>
          <w:tab w:val="clear" w:pos="1843"/>
          <w:tab w:val="left" w:pos="1701"/>
        </w:tabs>
        <w:ind w:left="1134" w:firstLine="0"/>
      </w:pPr>
      <w:r w:rsidRPr="009E6809">
        <w:t xml:space="preserve">Legislation and voluntary commitments, as applicable, should differentiate between the phase-out dates for the production of POPs and their use </w:t>
      </w:r>
      <w:r w:rsidRPr="009E6809">
        <w:rPr>
          <w:rStyle w:val="FootnoteReference"/>
        </w:rPr>
        <w:footnoteReference w:id="34"/>
      </w:r>
      <w:r w:rsidRPr="009E6809">
        <w:t xml:space="preserve"> in products and articles (downstream manufacturer) and the date by which the POPs (whether in pure form or in mixtures), products or articles should be disposed of once they have become waste. In addition, they should set a time limit for the disposal of </w:t>
      </w:r>
      <w:r w:rsidR="004461E8" w:rsidRPr="009E6809">
        <w:t>POP wastes</w:t>
      </w:r>
      <w:r w:rsidRPr="009E6809">
        <w:t xml:space="preserve">, taking into </w:t>
      </w:r>
      <w:r w:rsidRPr="00746F53">
        <w:t xml:space="preserve">account that </w:t>
      </w:r>
      <w:r w:rsidR="00196E38" w:rsidRPr="00746F53">
        <w:t xml:space="preserve">such  </w:t>
      </w:r>
      <w:r w:rsidRPr="00746F53">
        <w:t>products</w:t>
      </w:r>
      <w:r w:rsidRPr="009E6809">
        <w:t xml:space="preserve"> and articles may have long service lives, so as to prevent the creation </w:t>
      </w:r>
      <w:r w:rsidRPr="00DF7289">
        <w:t xml:space="preserve">of </w:t>
      </w:r>
      <w:r w:rsidR="00196E38" w:rsidRPr="00746F53">
        <w:t xml:space="preserve">stockpiles </w:t>
      </w:r>
      <w:r w:rsidR="004461E8" w:rsidRPr="00746F53">
        <w:t>that</w:t>
      </w:r>
      <w:r w:rsidR="004461E8" w:rsidRPr="00DF7289">
        <w:t xml:space="preserve"> have no clear phase-out date</w:t>
      </w:r>
      <w:r w:rsidR="00E85604" w:rsidRPr="00DF7289">
        <w:t>s.</w:t>
      </w:r>
      <w:r w:rsidR="001A49B9" w:rsidRPr="00DF7289">
        <w:rPr>
          <w:color w:val="1A1A1A"/>
        </w:rPr>
        <w:t xml:space="preserve"> Examples</w:t>
      </w:r>
      <w:r w:rsidR="001A49B9">
        <w:rPr>
          <w:color w:val="1A1A1A"/>
        </w:rPr>
        <w:t xml:space="preserve"> of pertinent national legisl</w:t>
      </w:r>
      <w:r w:rsidR="000241DE">
        <w:rPr>
          <w:color w:val="1A1A1A"/>
        </w:rPr>
        <w:t>ation can be found in annex II.</w:t>
      </w:r>
    </w:p>
    <w:p w:rsidR="00890CDD" w:rsidRDefault="00890CDD">
      <w:pPr>
        <w:pStyle w:val="Heading3"/>
        <w:spacing w:before="240" w:after="120"/>
        <w:ind w:left="1134" w:hanging="425"/>
      </w:pPr>
      <w:bookmarkStart w:id="403" w:name="_Toc95280662"/>
      <w:bookmarkStart w:id="404" w:name="_Toc145395109"/>
      <w:bookmarkStart w:id="405" w:name="_Toc161804562"/>
      <w:bookmarkStart w:id="406" w:name="_Toc405988635"/>
      <w:bookmarkStart w:id="407" w:name="_Toc437340528"/>
      <w:r w:rsidRPr="005E5BFF">
        <w:rPr>
          <w:szCs w:val="20"/>
        </w:rPr>
        <w:t>2.</w:t>
      </w:r>
      <w:r w:rsidRPr="005E5BFF">
        <w:rPr>
          <w:szCs w:val="20"/>
        </w:rPr>
        <w:tab/>
      </w:r>
      <w:proofErr w:type="spellStart"/>
      <w:r w:rsidRPr="005E5BFF">
        <w:rPr>
          <w:szCs w:val="20"/>
        </w:rPr>
        <w:t>Transboundary</w:t>
      </w:r>
      <w:proofErr w:type="spellEnd"/>
      <w:r w:rsidRPr="005E5BFF">
        <w:rPr>
          <w:szCs w:val="20"/>
        </w:rPr>
        <w:t xml:space="preserve"> movement requirements</w:t>
      </w:r>
      <w:r w:rsidRPr="005E5BFF">
        <w:rPr>
          <w:rStyle w:val="FootnoteReference"/>
          <w:b w:val="0"/>
          <w:szCs w:val="20"/>
        </w:rPr>
        <w:footnoteReference w:id="35"/>
      </w:r>
      <w:bookmarkEnd w:id="403"/>
      <w:bookmarkEnd w:id="404"/>
      <w:bookmarkEnd w:id="405"/>
      <w:bookmarkEnd w:id="406"/>
      <w:bookmarkEnd w:id="407"/>
    </w:p>
    <w:p w:rsidR="00890CDD" w:rsidRDefault="00890CDD" w:rsidP="00980527">
      <w:pPr>
        <w:pStyle w:val="Paralevel1"/>
        <w:tabs>
          <w:tab w:val="clear" w:pos="1843"/>
          <w:tab w:val="left" w:pos="1701"/>
        </w:tabs>
        <w:ind w:left="1134" w:firstLine="0"/>
        <w:rPr>
          <w:b/>
        </w:rPr>
      </w:pPr>
      <w:r>
        <w:t xml:space="preserve">Hazardous wastes and other wastes should, as far as is compatible with their ESM, be disposed of in the country where they were generated. </w:t>
      </w:r>
      <w:proofErr w:type="spellStart"/>
      <w:r>
        <w:t>Transboundary</w:t>
      </w:r>
      <w:proofErr w:type="spellEnd"/>
      <w:r>
        <w:t xml:space="preserve"> movements of such wastes are permitted only under the following conditions:</w:t>
      </w:r>
    </w:p>
    <w:p w:rsidR="00890CDD" w:rsidRDefault="00890CDD" w:rsidP="004E098D">
      <w:pPr>
        <w:tabs>
          <w:tab w:val="clear" w:pos="1247"/>
          <w:tab w:val="clear" w:pos="1814"/>
          <w:tab w:val="clear" w:pos="2381"/>
          <w:tab w:val="left" w:pos="2268"/>
        </w:tabs>
        <w:spacing w:after="120"/>
        <w:ind w:left="1134" w:firstLine="567"/>
      </w:pPr>
      <w:r>
        <w:t>(a)</w:t>
      </w:r>
      <w:r>
        <w:tab/>
        <w:t>If conducted under conditions that do not endanger human health and the environment;</w:t>
      </w:r>
    </w:p>
    <w:p w:rsidR="00890CDD" w:rsidRDefault="00890CDD" w:rsidP="004E098D">
      <w:pPr>
        <w:tabs>
          <w:tab w:val="clear" w:pos="1247"/>
          <w:tab w:val="clear" w:pos="1814"/>
          <w:tab w:val="clear" w:pos="2381"/>
          <w:tab w:val="left" w:pos="2268"/>
        </w:tabs>
        <w:spacing w:after="120"/>
        <w:ind w:left="1134" w:firstLine="567"/>
      </w:pPr>
      <w:r>
        <w:t>(b)</w:t>
      </w:r>
      <w:r>
        <w:tab/>
        <w:t>If exports are managed in an environmentally sound manner in the country of import or elsewhere;</w:t>
      </w:r>
    </w:p>
    <w:p w:rsidR="00890CDD" w:rsidRDefault="00890CDD" w:rsidP="004E098D">
      <w:pPr>
        <w:tabs>
          <w:tab w:val="clear" w:pos="1247"/>
          <w:tab w:val="clear" w:pos="1814"/>
          <w:tab w:val="clear" w:pos="2381"/>
          <w:tab w:val="left" w:pos="2268"/>
        </w:tabs>
        <w:spacing w:after="120"/>
        <w:ind w:left="1134" w:firstLine="567"/>
      </w:pPr>
      <w:r>
        <w:t>(c)</w:t>
      </w:r>
      <w:r>
        <w:tab/>
        <w:t>If the country of export does not have the technical capacity and the necessary facilities to dispose of the wastes in question in an environmentally sound and efficient manner;</w:t>
      </w:r>
    </w:p>
    <w:p w:rsidR="00890CDD" w:rsidRDefault="00890CDD" w:rsidP="004E098D">
      <w:pPr>
        <w:tabs>
          <w:tab w:val="clear" w:pos="1247"/>
          <w:tab w:val="clear" w:pos="1814"/>
          <w:tab w:val="clear" w:pos="2381"/>
          <w:tab w:val="left" w:pos="2268"/>
        </w:tabs>
        <w:spacing w:after="120"/>
        <w:ind w:left="1134" w:firstLine="567"/>
      </w:pPr>
      <w:r>
        <w:t>(d)</w:t>
      </w:r>
      <w:r>
        <w:tab/>
      </w:r>
      <w:r w:rsidRPr="00604ABB">
        <w:t>If the wastes in question are required as a raw material for recycling</w:t>
      </w:r>
      <w:r w:rsidR="0035526B" w:rsidRPr="00604ABB">
        <w:t xml:space="preserve"> </w:t>
      </w:r>
      <w:r w:rsidRPr="00604ABB">
        <w:t xml:space="preserve">or recovery industries in the country of import; </w:t>
      </w:r>
      <w:r>
        <w:t>or</w:t>
      </w:r>
      <w:r w:rsidR="009A22B5">
        <w:t xml:space="preserve"> </w:t>
      </w:r>
    </w:p>
    <w:p w:rsidR="00890CDD" w:rsidRDefault="00890CDD" w:rsidP="004E098D">
      <w:pPr>
        <w:tabs>
          <w:tab w:val="clear" w:pos="1247"/>
          <w:tab w:val="clear" w:pos="1814"/>
          <w:tab w:val="clear" w:pos="2381"/>
          <w:tab w:val="left" w:pos="2268"/>
        </w:tabs>
        <w:spacing w:after="120"/>
        <w:ind w:left="1134" w:firstLine="567"/>
      </w:pPr>
      <w:r>
        <w:t>(e)</w:t>
      </w:r>
      <w:r>
        <w:tab/>
        <w:t xml:space="preserve">If the </w:t>
      </w:r>
      <w:proofErr w:type="spellStart"/>
      <w:r>
        <w:t>transboundary</w:t>
      </w:r>
      <w:proofErr w:type="spellEnd"/>
      <w:r>
        <w:t xml:space="preserve"> movements in question are in accordance with other criteria decided by the </w:t>
      </w:r>
      <w:r w:rsidR="00CB463E">
        <w:t>p</w:t>
      </w:r>
      <w:r>
        <w:t>arties.</w:t>
      </w:r>
    </w:p>
    <w:p w:rsidR="00890CDD" w:rsidRDefault="00890CDD" w:rsidP="00980527">
      <w:pPr>
        <w:pStyle w:val="Paralevel1"/>
        <w:tabs>
          <w:tab w:val="clear" w:pos="1843"/>
          <w:tab w:val="left" w:pos="1701"/>
        </w:tabs>
        <w:ind w:left="1134" w:firstLine="0"/>
      </w:pPr>
      <w:r>
        <w:t xml:space="preserve">Any </w:t>
      </w:r>
      <w:proofErr w:type="spellStart"/>
      <w:r>
        <w:t>transboundary</w:t>
      </w:r>
      <w:proofErr w:type="spellEnd"/>
      <w:r>
        <w:t xml:space="preserve"> movements of hazardous and other wastes are subject to prior written notification from the exporting country and prior written consent from the importing and, if appropriate, transit countries. Parties shall prohibit the export of hazardous wastes and other wastes if the country of import prohibits the import of such wastes. The Basel Convention also requires that information regarding any proposed </w:t>
      </w:r>
      <w:proofErr w:type="spellStart"/>
      <w:r>
        <w:t>transboundary</w:t>
      </w:r>
      <w:proofErr w:type="spellEnd"/>
      <w:r>
        <w:t xml:space="preserve"> movement </w:t>
      </w:r>
      <w:r w:rsidR="00CF5F8B">
        <w:t xml:space="preserve">be </w:t>
      </w:r>
      <w:r>
        <w:t xml:space="preserve">provided using the accepted notification form and that the approved </w:t>
      </w:r>
      <w:r w:rsidRPr="000D372F">
        <w:t>consignment</w:t>
      </w:r>
      <w:r>
        <w:t xml:space="preserve"> </w:t>
      </w:r>
      <w:r w:rsidR="00CF5F8B">
        <w:t xml:space="preserve">be </w:t>
      </w:r>
      <w:r>
        <w:t xml:space="preserve">accompanied by a movement document from the point where the </w:t>
      </w:r>
      <w:proofErr w:type="spellStart"/>
      <w:r>
        <w:t>transboundary</w:t>
      </w:r>
      <w:proofErr w:type="spellEnd"/>
      <w:r>
        <w:t xml:space="preserve"> movement commences to the point of disposal.</w:t>
      </w:r>
    </w:p>
    <w:p w:rsidR="00890CDD" w:rsidRDefault="00890CDD" w:rsidP="00980527">
      <w:pPr>
        <w:pStyle w:val="Paralevel1"/>
        <w:tabs>
          <w:tab w:val="clear" w:pos="1843"/>
          <w:tab w:val="left" w:pos="1701"/>
        </w:tabs>
        <w:ind w:left="1134" w:firstLine="0"/>
      </w:pPr>
      <w:r>
        <w:t xml:space="preserve">Furthermore, hazardous wastes and other wastes subject to </w:t>
      </w:r>
      <w:proofErr w:type="spellStart"/>
      <w:r>
        <w:t>transboundary</w:t>
      </w:r>
      <w:proofErr w:type="spellEnd"/>
      <w:r>
        <w:t xml:space="preserve"> movements should be packaged, </w:t>
      </w:r>
      <w:proofErr w:type="spellStart"/>
      <w:r>
        <w:t>labelled</w:t>
      </w:r>
      <w:proofErr w:type="spellEnd"/>
      <w:r>
        <w:t xml:space="preserve"> and transported in conformity with international rules and standards.</w:t>
      </w:r>
      <w:r>
        <w:rPr>
          <w:rStyle w:val="FootnoteReference"/>
        </w:rPr>
        <w:footnoteReference w:id="36"/>
      </w:r>
      <w:r>
        <w:t xml:space="preserve"> </w:t>
      </w:r>
    </w:p>
    <w:p w:rsidR="00890CDD" w:rsidRDefault="00890CDD" w:rsidP="00980527">
      <w:pPr>
        <w:pStyle w:val="Paralevel1"/>
        <w:tabs>
          <w:tab w:val="clear" w:pos="1843"/>
          <w:tab w:val="left" w:pos="1701"/>
        </w:tabs>
        <w:ind w:left="1134" w:firstLine="0"/>
      </w:pPr>
      <w:r>
        <w:t xml:space="preserve">When </w:t>
      </w:r>
      <w:r w:rsidR="004B1F95">
        <w:t xml:space="preserve">a </w:t>
      </w:r>
      <w:proofErr w:type="spellStart"/>
      <w:r>
        <w:t>transboundary</w:t>
      </w:r>
      <w:proofErr w:type="spellEnd"/>
      <w:r>
        <w:t xml:space="preserve"> movement of hazardous and other wastes to which consent of the countries concerned has been given cannot be completed, the country of export shall ensure that the wastes in question are taken back into the country of export for their disposal if alternative arrangements cannot be made. In the case of illegal traffic (as defined in Article 9, paragraph 1), </w:t>
      </w:r>
      <w:r w:rsidR="001F6890">
        <w:t>as the result of conduct o</w:t>
      </w:r>
      <w:r w:rsidR="004B1F95">
        <w:t>n</w:t>
      </w:r>
      <w:r w:rsidR="001F6890">
        <w:t xml:space="preserve"> the part of the exporter or the generator, </w:t>
      </w:r>
      <w:r>
        <w:t xml:space="preserve">the country of export shall ensure that the wastes in question are taken back into the country of export for their disposal or </w:t>
      </w:r>
      <w:r w:rsidR="009B7324">
        <w:t xml:space="preserve">otherwise </w:t>
      </w:r>
      <w:r>
        <w:t>disposed of in accordance with the provisions of the Basel Convention</w:t>
      </w:r>
      <w:r w:rsidR="001F6890">
        <w:t xml:space="preserve"> (as per Article 9</w:t>
      </w:r>
      <w:r w:rsidR="004B1F95">
        <w:t xml:space="preserve">, paragraph </w:t>
      </w:r>
      <w:r w:rsidR="001F6890">
        <w:t>2)</w:t>
      </w:r>
      <w:r>
        <w:t>.</w:t>
      </w:r>
    </w:p>
    <w:p w:rsidR="00890CDD" w:rsidRDefault="00890CDD" w:rsidP="00980527">
      <w:pPr>
        <w:pStyle w:val="Paralevel1"/>
        <w:tabs>
          <w:tab w:val="clear" w:pos="1843"/>
          <w:tab w:val="left" w:pos="1701"/>
        </w:tabs>
        <w:ind w:left="1134" w:firstLine="0"/>
      </w:pPr>
      <w:r>
        <w:t xml:space="preserve">No </w:t>
      </w:r>
      <w:proofErr w:type="spellStart"/>
      <w:r>
        <w:t>transboundary</w:t>
      </w:r>
      <w:proofErr w:type="spellEnd"/>
      <w:r>
        <w:t xml:space="preserve"> movements of hazardous wastes and other wastes are permitted between a </w:t>
      </w:r>
      <w:r w:rsidR="00405DFE" w:rsidRPr="00652561">
        <w:t>party and a non-party</w:t>
      </w:r>
      <w:r>
        <w:t xml:space="preserve"> to the Basel Convention unless a bilateral, multilateral or regional arrangement exists as required under Article 11 of the Convention.</w:t>
      </w:r>
      <w:r w:rsidR="00652561">
        <w:t xml:space="preserve"> </w:t>
      </w:r>
    </w:p>
    <w:p w:rsidR="00890CDD" w:rsidRDefault="00890CDD">
      <w:pPr>
        <w:pStyle w:val="Heading3"/>
        <w:spacing w:before="240" w:after="120"/>
        <w:ind w:left="1134" w:hanging="425"/>
      </w:pPr>
      <w:bookmarkStart w:id="408" w:name="_Toc95280663"/>
      <w:bookmarkStart w:id="409" w:name="_Toc145395110"/>
      <w:bookmarkStart w:id="410" w:name="_Toc161804563"/>
      <w:bookmarkStart w:id="411" w:name="_Toc405988636"/>
      <w:bookmarkStart w:id="412" w:name="_Toc437340529"/>
      <w:r w:rsidRPr="005E5BFF">
        <w:rPr>
          <w:szCs w:val="20"/>
        </w:rPr>
        <w:t>3.</w:t>
      </w:r>
      <w:r w:rsidRPr="005E5BFF">
        <w:rPr>
          <w:szCs w:val="20"/>
        </w:rPr>
        <w:tab/>
        <w:t>Specifications for containers, equipment, bulk containers and storage sites containing POPs</w:t>
      </w:r>
      <w:bookmarkEnd w:id="408"/>
      <w:bookmarkEnd w:id="409"/>
      <w:bookmarkEnd w:id="410"/>
      <w:bookmarkEnd w:id="411"/>
      <w:bookmarkEnd w:id="412"/>
    </w:p>
    <w:p w:rsidR="00890CDD" w:rsidRDefault="00890CDD" w:rsidP="00980527">
      <w:pPr>
        <w:pStyle w:val="Paralevel1"/>
        <w:tabs>
          <w:tab w:val="clear" w:pos="1843"/>
          <w:tab w:val="left" w:pos="1701"/>
        </w:tabs>
        <w:ind w:left="1134" w:firstLine="0"/>
      </w:pPr>
      <w:r>
        <w:t xml:space="preserve">To meet the requirements of ESM and specific clauses in the Basel and Stockholm conventions (for example, Basel Convention Article 4, paragraph 7, and Stockholm Convention Article 6, paragraph 1), Parties may need to enact specific legislation that describes the types of containers and storage areas that are acceptable for particular POPs </w:t>
      </w:r>
      <w:r w:rsidRPr="00BD6D0E">
        <w:t>and their relevant waste streams</w:t>
      </w:r>
      <w:r>
        <w:t>.</w:t>
      </w:r>
      <w:r>
        <w:rPr>
          <w:rStyle w:val="FootnoteReference"/>
        </w:rPr>
        <w:footnoteReference w:id="37"/>
      </w:r>
      <w:r>
        <w:t xml:space="preserve"> Parties should ensure that containers that may be transported to another country meet international standards such as those established by the International Air Transport Association (IATA), the International Maritime Organization (IMO) and the International Organization for Standardization (ISO).</w:t>
      </w:r>
    </w:p>
    <w:p w:rsidR="00890CDD" w:rsidRDefault="00890CDD">
      <w:pPr>
        <w:pStyle w:val="Heading3"/>
        <w:spacing w:before="240" w:after="120"/>
        <w:ind w:left="1134" w:hanging="425"/>
      </w:pPr>
      <w:bookmarkStart w:id="413" w:name="_Toc95280664"/>
      <w:bookmarkStart w:id="414" w:name="_Toc145395111"/>
      <w:bookmarkStart w:id="415" w:name="_Toc161804564"/>
      <w:bookmarkStart w:id="416" w:name="_Toc405988637"/>
      <w:bookmarkStart w:id="417" w:name="_Toc437340530"/>
      <w:r w:rsidRPr="005E5BFF">
        <w:rPr>
          <w:szCs w:val="20"/>
        </w:rPr>
        <w:t>4.</w:t>
      </w:r>
      <w:r w:rsidRPr="005E5BFF">
        <w:rPr>
          <w:szCs w:val="20"/>
        </w:rPr>
        <w:tab/>
        <w:t>Health and safety</w:t>
      </w:r>
      <w:r w:rsidRPr="005E5BFF">
        <w:rPr>
          <w:rStyle w:val="FootnoteReference"/>
          <w:b w:val="0"/>
          <w:szCs w:val="20"/>
        </w:rPr>
        <w:footnoteReference w:id="38"/>
      </w:r>
      <w:bookmarkEnd w:id="413"/>
      <w:bookmarkEnd w:id="414"/>
      <w:bookmarkEnd w:id="415"/>
      <w:bookmarkEnd w:id="416"/>
      <w:bookmarkEnd w:id="417"/>
    </w:p>
    <w:p w:rsidR="00890CDD" w:rsidRDefault="00890CDD" w:rsidP="00980527">
      <w:pPr>
        <w:pStyle w:val="Paralevel1"/>
        <w:tabs>
          <w:tab w:val="clear" w:pos="1843"/>
          <w:tab w:val="left" w:pos="1701"/>
        </w:tabs>
        <w:ind w:left="1134" w:firstLine="0"/>
      </w:pPr>
      <w:r>
        <w:t xml:space="preserve">Neither the Basel nor the Stockholm </w:t>
      </w:r>
      <w:r w:rsidR="00405DFE" w:rsidRPr="0061097D">
        <w:t>C</w:t>
      </w:r>
      <w:r w:rsidR="009C3E60">
        <w:t xml:space="preserve">onvention </w:t>
      </w:r>
      <w:r>
        <w:t xml:space="preserve">specifically requires Parties to have worker health and safety legislation. A legislative approach should be taken, however, to protect workers from possible exposure to POPs. These provisions should include requirements for the proper </w:t>
      </w:r>
      <w:proofErr w:type="spellStart"/>
      <w:r>
        <w:t>labelling</w:t>
      </w:r>
      <w:proofErr w:type="spellEnd"/>
      <w:r>
        <w:t xml:space="preserve"> of products and the identification of appropriate disposal methods.</w:t>
      </w:r>
    </w:p>
    <w:p w:rsidR="00890CDD" w:rsidRDefault="00890CDD" w:rsidP="00980527">
      <w:pPr>
        <w:pStyle w:val="Paralevel1"/>
        <w:tabs>
          <w:tab w:val="clear" w:pos="1843"/>
          <w:tab w:val="left" w:pos="1701"/>
        </w:tabs>
        <w:ind w:left="1134" w:firstLine="0"/>
      </w:pPr>
      <w:r>
        <w:t xml:space="preserve">Most countries have existing worker health and safety provisions either in general </w:t>
      </w:r>
      <w:proofErr w:type="spellStart"/>
      <w:r>
        <w:t>labour</w:t>
      </w:r>
      <w:proofErr w:type="spellEnd"/>
      <w:r>
        <w:t xml:space="preserve"> legislation or in specialized human health or environmental legislation. </w:t>
      </w:r>
      <w:r w:rsidRPr="00512B95">
        <w:t xml:space="preserve">Parties should re-examine their existing legislation to ensure that POPs are adequately addressed </w:t>
      </w:r>
      <w:r w:rsidRPr="00D15FD6">
        <w:t>and that relevant aspects of international agreements are integrated</w:t>
      </w:r>
      <w:r w:rsidR="007A63D6" w:rsidRPr="00BD3D60">
        <w:t xml:space="preserve"> into</w:t>
      </w:r>
      <w:r w:rsidR="007A63D6" w:rsidRPr="00E837B9">
        <w:t xml:space="preserve"> such legislation</w:t>
      </w:r>
      <w:r>
        <w:t xml:space="preserve">. Worker health and safety is a relatively mature field and a great deal of guidance and literature is available to assist in the planning and revision of legislation, policy and technical guidance. </w:t>
      </w:r>
    </w:p>
    <w:p w:rsidR="00890CDD" w:rsidRDefault="00890CDD" w:rsidP="00980527">
      <w:pPr>
        <w:pStyle w:val="Paralevel1"/>
        <w:tabs>
          <w:tab w:val="clear" w:pos="1843"/>
          <w:tab w:val="left" w:pos="1701"/>
        </w:tabs>
        <w:ind w:left="1134" w:firstLine="0"/>
      </w:pPr>
      <w:r>
        <w:t xml:space="preserve">In its Article 10 (“Public information, awareness and education”), paragraph 1 (e), the Stockholm Convention calls upon Parties to promote and facilitate </w:t>
      </w:r>
      <w:r w:rsidR="00EC29EA">
        <w:t xml:space="preserve">the </w:t>
      </w:r>
      <w:r>
        <w:t xml:space="preserve">training </w:t>
      </w:r>
      <w:r w:rsidR="00EC29EA">
        <w:t xml:space="preserve">of </w:t>
      </w:r>
      <w:r>
        <w:t>workers, scientists, educators and technical and managerial personnel. National health and safety legislation should include provisions for the safe handling and storage of POP wastes.</w:t>
      </w:r>
    </w:p>
    <w:p w:rsidR="00890CDD" w:rsidRDefault="00890CDD">
      <w:pPr>
        <w:pStyle w:val="Heading3"/>
        <w:spacing w:before="240" w:after="120"/>
        <w:ind w:left="1134" w:hanging="425"/>
      </w:pPr>
      <w:bookmarkStart w:id="418" w:name="_Toc95280665"/>
      <w:bookmarkStart w:id="419" w:name="_Toc145395112"/>
      <w:bookmarkStart w:id="420" w:name="_Toc161804565"/>
      <w:bookmarkStart w:id="421" w:name="_Toc405988638"/>
      <w:bookmarkStart w:id="422" w:name="_Toc437340531"/>
      <w:r w:rsidRPr="005E5BFF">
        <w:rPr>
          <w:szCs w:val="20"/>
        </w:rPr>
        <w:t>5.</w:t>
      </w:r>
      <w:r w:rsidRPr="005E5BFF">
        <w:rPr>
          <w:szCs w:val="20"/>
        </w:rPr>
        <w:tab/>
        <w:t xml:space="preserve">Specification of acceptable </w:t>
      </w:r>
      <w:r>
        <w:rPr>
          <w:szCs w:val="20"/>
        </w:rPr>
        <w:t xml:space="preserve">procedures for sampling and </w:t>
      </w:r>
      <w:r w:rsidRPr="005E5BFF">
        <w:rPr>
          <w:szCs w:val="20"/>
        </w:rPr>
        <w:t>analy</w:t>
      </w:r>
      <w:r>
        <w:rPr>
          <w:szCs w:val="20"/>
        </w:rPr>
        <w:t xml:space="preserve">sis of </w:t>
      </w:r>
      <w:r w:rsidRPr="005E5BFF">
        <w:rPr>
          <w:szCs w:val="20"/>
        </w:rPr>
        <w:t>POPs</w:t>
      </w:r>
      <w:bookmarkEnd w:id="418"/>
      <w:bookmarkEnd w:id="419"/>
      <w:bookmarkEnd w:id="420"/>
      <w:bookmarkEnd w:id="421"/>
      <w:bookmarkEnd w:id="422"/>
    </w:p>
    <w:p w:rsidR="00890CDD" w:rsidRPr="000F64A0" w:rsidRDefault="00890CDD" w:rsidP="00980527">
      <w:pPr>
        <w:pStyle w:val="Paralevel1"/>
        <w:tabs>
          <w:tab w:val="clear" w:pos="1843"/>
          <w:tab w:val="left" w:pos="1701"/>
        </w:tabs>
        <w:ind w:left="1134" w:firstLine="0"/>
      </w:pPr>
      <w:r>
        <w:t>Various</w:t>
      </w:r>
      <w:r w:rsidRPr="005E5BFF">
        <w:t xml:space="preserve"> </w:t>
      </w:r>
      <w:r>
        <w:t xml:space="preserve">methods and protocols for </w:t>
      </w:r>
      <w:r w:rsidRPr="005E5BFF">
        <w:t>sampling and analy</w:t>
      </w:r>
      <w:r>
        <w:t>sis</w:t>
      </w:r>
      <w:r w:rsidRPr="005E5BFF">
        <w:t xml:space="preserve"> have been developed for a </w:t>
      </w:r>
      <w:r>
        <w:t>range</w:t>
      </w:r>
      <w:r w:rsidRPr="005E5BFF">
        <w:t xml:space="preserve"> of purposes. Reliable and useful data can be generated only when sampling and analytical methods appropriate to the waste are used. Parties to the Basel and Stockholm conventions should have legislation or strong policy guidelines identifying the acceptable sampling and analytical methods for each POP waste, including the form in which it occurs and the matrix</w:t>
      </w:r>
      <w:r w:rsidR="00EC29EA">
        <w:t xml:space="preserve"> in which it is found</w:t>
      </w:r>
      <w:r w:rsidRPr="005E5BFF">
        <w:t xml:space="preserve">. The procedures specified should be </w:t>
      </w:r>
      <w:r>
        <w:t xml:space="preserve">agreed and </w:t>
      </w:r>
      <w:r w:rsidRPr="005E5BFF">
        <w:t xml:space="preserve">accepted </w:t>
      </w:r>
      <w:r>
        <w:t xml:space="preserve">before any sampling or analysis takes place. </w:t>
      </w:r>
      <w:r w:rsidR="00EC29EA">
        <w:t xml:space="preserve">The use of </w:t>
      </w:r>
      <w:r w:rsidRPr="005E5BFF">
        <w:t>internationally</w:t>
      </w:r>
      <w:r>
        <w:t xml:space="preserve"> accepted procedures</w:t>
      </w:r>
      <w:r w:rsidR="00EC29EA">
        <w:t xml:space="preserve"> is recommended</w:t>
      </w:r>
      <w:r w:rsidRPr="005E5BFF">
        <w:t>. This should ensure that the reported results are</w:t>
      </w:r>
      <w:r>
        <w:t xml:space="preserve"> acceptable and</w:t>
      </w:r>
      <w:r w:rsidRPr="005E5BFF">
        <w:t xml:space="preserve"> comparable. See section E of this chapter for further detail</w:t>
      </w:r>
      <w:r w:rsidR="00EC29EA">
        <w:t>s</w:t>
      </w:r>
      <w:r w:rsidRPr="005E5BFF">
        <w:t xml:space="preserve">. </w:t>
      </w:r>
    </w:p>
    <w:p w:rsidR="00890CDD" w:rsidRDefault="00890CDD">
      <w:pPr>
        <w:pStyle w:val="Heading3"/>
        <w:spacing w:before="240" w:after="120"/>
        <w:ind w:left="1134" w:hanging="425"/>
      </w:pPr>
      <w:bookmarkStart w:id="423" w:name="_Toc95280666"/>
      <w:bookmarkStart w:id="424" w:name="_Toc145395113"/>
      <w:bookmarkStart w:id="425" w:name="_Toc161804566"/>
      <w:bookmarkStart w:id="426" w:name="_Toc405988639"/>
      <w:bookmarkStart w:id="427" w:name="_Toc437340532"/>
      <w:r w:rsidRPr="005E5BFF">
        <w:rPr>
          <w:szCs w:val="20"/>
        </w:rPr>
        <w:t>6.</w:t>
      </w:r>
      <w:r w:rsidRPr="005E5BFF">
        <w:rPr>
          <w:szCs w:val="20"/>
        </w:rPr>
        <w:tab/>
      </w:r>
      <w:r w:rsidRPr="005E5BFF">
        <w:t>Requirements</w:t>
      </w:r>
      <w:r w:rsidRPr="005E5BFF">
        <w:rPr>
          <w:szCs w:val="20"/>
        </w:rPr>
        <w:t xml:space="preserve"> for hazardous waste treatment and disposal facilities</w:t>
      </w:r>
      <w:bookmarkEnd w:id="423"/>
      <w:bookmarkEnd w:id="424"/>
      <w:bookmarkEnd w:id="425"/>
      <w:bookmarkEnd w:id="426"/>
      <w:bookmarkEnd w:id="427"/>
    </w:p>
    <w:p w:rsidR="00890CDD" w:rsidRPr="000F64A0" w:rsidRDefault="00890CDD" w:rsidP="00980527">
      <w:pPr>
        <w:pStyle w:val="Paralevel1"/>
        <w:tabs>
          <w:tab w:val="clear" w:pos="1843"/>
          <w:tab w:val="left" w:pos="1701"/>
        </w:tabs>
        <w:ind w:left="1134" w:firstLine="0"/>
      </w:pPr>
      <w:r w:rsidRPr="005E5BFF">
        <w:t xml:space="preserve">Most countries have legislation that requires waste treatment and disposal facilities to obtain some form of approval to commence operations. Approvals can outline specific conditions </w:t>
      </w:r>
      <w:r w:rsidR="00866F9D">
        <w:t xml:space="preserve">that </w:t>
      </w:r>
      <w:r w:rsidRPr="005E5BFF">
        <w:t xml:space="preserve">must be maintained in order for </w:t>
      </w:r>
      <w:r w:rsidR="003C43BB" w:rsidRPr="00512B95">
        <w:t xml:space="preserve">such </w:t>
      </w:r>
      <w:r w:rsidRPr="00D15FD6">
        <w:t>approval</w:t>
      </w:r>
      <w:r w:rsidR="003C43BB" w:rsidRPr="00BD3D60">
        <w:t>s</w:t>
      </w:r>
      <w:r w:rsidRPr="005E5BFF">
        <w:t xml:space="preserve"> to remain valid. It may be necessary to add requirements specific to POP waste</w:t>
      </w:r>
      <w:r>
        <w:t>s</w:t>
      </w:r>
      <w:r w:rsidRPr="005E5BFF">
        <w:t xml:space="preserve"> to meet the requirements of ESM and to comply with specific requirements of the Basel and Stockholm conventions. </w:t>
      </w:r>
    </w:p>
    <w:p w:rsidR="00890CDD" w:rsidRDefault="00890CDD">
      <w:pPr>
        <w:pStyle w:val="Heading3"/>
        <w:spacing w:before="240" w:after="120"/>
        <w:ind w:left="1134" w:hanging="425"/>
      </w:pPr>
      <w:bookmarkStart w:id="428" w:name="_Toc95280667"/>
      <w:bookmarkStart w:id="429" w:name="_Toc145395114"/>
      <w:bookmarkStart w:id="430" w:name="_Toc161804567"/>
      <w:bookmarkStart w:id="431" w:name="_Toc405988640"/>
      <w:bookmarkStart w:id="432" w:name="_Toc437340533"/>
      <w:r w:rsidRPr="005E5BFF">
        <w:rPr>
          <w:szCs w:val="20"/>
        </w:rPr>
        <w:t>7.</w:t>
      </w:r>
      <w:r w:rsidRPr="005E5BFF">
        <w:rPr>
          <w:szCs w:val="20"/>
        </w:rPr>
        <w:tab/>
        <w:t>General requirement for public participation</w:t>
      </w:r>
      <w:bookmarkEnd w:id="428"/>
      <w:bookmarkEnd w:id="429"/>
      <w:bookmarkEnd w:id="430"/>
      <w:bookmarkEnd w:id="431"/>
      <w:bookmarkEnd w:id="432"/>
      <w:r w:rsidRPr="005E5BFF">
        <w:rPr>
          <w:szCs w:val="20"/>
        </w:rPr>
        <w:t xml:space="preserve">  </w:t>
      </w:r>
    </w:p>
    <w:p w:rsidR="00890CDD" w:rsidRPr="000F64A0" w:rsidRDefault="00890CDD" w:rsidP="00980527">
      <w:pPr>
        <w:pStyle w:val="Paralevel1"/>
        <w:tabs>
          <w:tab w:val="clear" w:pos="1843"/>
          <w:tab w:val="left" w:pos="1701"/>
        </w:tabs>
        <w:ind w:left="1134" w:firstLine="0"/>
      </w:pPr>
      <w:r w:rsidRPr="005E5BFF">
        <w:t xml:space="preserve">Public participation is a core principle of the </w:t>
      </w:r>
      <w:r w:rsidR="00CD1439">
        <w:t xml:space="preserve">1999 </w:t>
      </w:r>
      <w:r w:rsidRPr="005E5BFF">
        <w:t xml:space="preserve">Basel Declaration on Environmentally Sound Management and many other </w:t>
      </w:r>
      <w:r w:rsidRPr="005E5BFF">
        <w:rPr>
          <w:iCs/>
        </w:rPr>
        <w:t xml:space="preserve">international </w:t>
      </w:r>
      <w:r w:rsidRPr="005E5BFF">
        <w:t xml:space="preserve">agreements. Public participation as referred to in section IV.K below may be addressed in legislation or policy. </w:t>
      </w:r>
    </w:p>
    <w:p w:rsidR="00890CDD" w:rsidRDefault="00890CDD">
      <w:pPr>
        <w:pStyle w:val="Heading3"/>
        <w:spacing w:before="240" w:after="120"/>
        <w:ind w:left="1134" w:hanging="425"/>
      </w:pPr>
      <w:bookmarkStart w:id="433" w:name="_Toc95280668"/>
      <w:bookmarkStart w:id="434" w:name="_Toc145395115"/>
      <w:bookmarkStart w:id="435" w:name="_Toc161804568"/>
      <w:bookmarkStart w:id="436" w:name="_Toc405988641"/>
      <w:bookmarkStart w:id="437" w:name="_Toc437340534"/>
      <w:r w:rsidRPr="005E5BFF">
        <w:rPr>
          <w:szCs w:val="20"/>
        </w:rPr>
        <w:t>8.</w:t>
      </w:r>
      <w:r w:rsidRPr="005E5BFF">
        <w:rPr>
          <w:szCs w:val="20"/>
        </w:rPr>
        <w:tab/>
        <w:t>Contaminated sites</w:t>
      </w:r>
      <w:bookmarkEnd w:id="433"/>
      <w:bookmarkEnd w:id="434"/>
      <w:bookmarkEnd w:id="435"/>
      <w:bookmarkEnd w:id="436"/>
      <w:bookmarkEnd w:id="437"/>
    </w:p>
    <w:p w:rsidR="00890CDD" w:rsidRPr="000F64A0" w:rsidRDefault="00890CDD" w:rsidP="00980527">
      <w:pPr>
        <w:pStyle w:val="Paralevel1"/>
        <w:tabs>
          <w:tab w:val="clear" w:pos="1843"/>
          <w:tab w:val="left" w:pos="1701"/>
        </w:tabs>
        <w:ind w:left="1134" w:firstLine="0"/>
      </w:pPr>
      <w:r w:rsidRPr="005E5BFF">
        <w:t xml:space="preserve">Provisions enabling the development of an inventory of contaminated sites and remediation of sites in an environmentally </w:t>
      </w:r>
      <w:r w:rsidRPr="005E5BFF">
        <w:rPr>
          <w:iCs/>
        </w:rPr>
        <w:t>sound m</w:t>
      </w:r>
      <w:r w:rsidRPr="005E5BFF">
        <w:t>anner (</w:t>
      </w:r>
      <w:r>
        <w:t>A</w:t>
      </w:r>
      <w:r w:rsidRPr="005E5BFF">
        <w:t xml:space="preserve">rticle 6, paragraph 1 (e), of the Stockholm Convention) may be specified in legislation. </w:t>
      </w:r>
    </w:p>
    <w:p w:rsidR="00890CDD" w:rsidRDefault="00890CDD">
      <w:pPr>
        <w:pStyle w:val="Heading3"/>
        <w:spacing w:before="240" w:after="120"/>
        <w:ind w:left="1134" w:hanging="425"/>
      </w:pPr>
      <w:bookmarkStart w:id="438" w:name="_Toc95280669"/>
      <w:bookmarkStart w:id="439" w:name="_Toc145395116"/>
      <w:bookmarkStart w:id="440" w:name="_Toc161804569"/>
      <w:bookmarkStart w:id="441" w:name="_Toc405988642"/>
      <w:bookmarkStart w:id="442" w:name="_Toc437340535"/>
      <w:r w:rsidRPr="005E5BFF">
        <w:rPr>
          <w:szCs w:val="20"/>
        </w:rPr>
        <w:t>9.</w:t>
      </w:r>
      <w:r w:rsidRPr="005E5BFF">
        <w:rPr>
          <w:szCs w:val="20"/>
        </w:rPr>
        <w:tab/>
        <w:t>Other legislative controls</w:t>
      </w:r>
      <w:bookmarkEnd w:id="438"/>
      <w:bookmarkEnd w:id="439"/>
      <w:bookmarkEnd w:id="440"/>
      <w:bookmarkEnd w:id="441"/>
      <w:bookmarkEnd w:id="442"/>
    </w:p>
    <w:p w:rsidR="00890CDD" w:rsidRDefault="00890CDD" w:rsidP="00980527">
      <w:pPr>
        <w:pStyle w:val="Paralevel1"/>
        <w:tabs>
          <w:tab w:val="clear" w:pos="1843"/>
          <w:tab w:val="left" w:pos="1701"/>
        </w:tabs>
        <w:ind w:left="1134" w:firstLine="0"/>
      </w:pPr>
      <w:r>
        <w:t xml:space="preserve">Examples of other aspects of </w:t>
      </w:r>
      <w:r w:rsidR="00073A79">
        <w:t xml:space="preserve">the </w:t>
      </w:r>
      <w:r>
        <w:t xml:space="preserve">life-cycle management of POP wastes that </w:t>
      </w:r>
      <w:r>
        <w:rPr>
          <w:iCs/>
        </w:rPr>
        <w:t>could b</w:t>
      </w:r>
      <w:r>
        <w:t xml:space="preserve">e </w:t>
      </w:r>
      <w:r w:rsidR="00073A79">
        <w:t xml:space="preserve">regulated </w:t>
      </w:r>
      <w:r>
        <w:t xml:space="preserve">through legislation include: </w:t>
      </w:r>
    </w:p>
    <w:p w:rsidR="00890CDD" w:rsidRDefault="00890CDD" w:rsidP="004E098D">
      <w:pPr>
        <w:tabs>
          <w:tab w:val="clear" w:pos="1247"/>
          <w:tab w:val="clear" w:pos="1814"/>
          <w:tab w:val="clear" w:pos="2381"/>
          <w:tab w:val="left" w:pos="2268"/>
        </w:tabs>
        <w:spacing w:after="120"/>
        <w:ind w:left="1134" w:firstLine="567"/>
      </w:pPr>
      <w:r>
        <w:t>(a)</w:t>
      </w:r>
      <w:r>
        <w:tab/>
      </w:r>
      <w:proofErr w:type="spellStart"/>
      <w:r>
        <w:t>Siting</w:t>
      </w:r>
      <w:proofErr w:type="spellEnd"/>
      <w:r>
        <w:t xml:space="preserve"> provisions and requirements relative to the storage, handling, collection and transport of wastes;</w:t>
      </w:r>
    </w:p>
    <w:p w:rsidR="00890CDD" w:rsidRDefault="00890CDD" w:rsidP="004E098D">
      <w:pPr>
        <w:tabs>
          <w:tab w:val="clear" w:pos="1247"/>
          <w:tab w:val="clear" w:pos="1814"/>
          <w:tab w:val="clear" w:pos="2381"/>
          <w:tab w:val="left" w:pos="2268"/>
        </w:tabs>
        <w:spacing w:after="120"/>
        <w:ind w:left="1134" w:firstLine="567"/>
      </w:pPr>
      <w:r>
        <w:t>(b)</w:t>
      </w:r>
      <w:r>
        <w:tab/>
        <w:t>Decommissioning requirements</w:t>
      </w:r>
      <w:r w:rsidR="00073A79">
        <w:t>,</w:t>
      </w:r>
      <w:r>
        <w:t xml:space="preserve"> including: </w:t>
      </w:r>
    </w:p>
    <w:p w:rsidR="00890CDD" w:rsidRDefault="00890CDD" w:rsidP="004E098D">
      <w:pPr>
        <w:keepNext/>
        <w:tabs>
          <w:tab w:val="clear" w:pos="2381"/>
        </w:tabs>
        <w:spacing w:after="120"/>
        <w:ind w:left="2835" w:hanging="567"/>
      </w:pPr>
      <w:r>
        <w:t>(</w:t>
      </w:r>
      <w:proofErr w:type="spellStart"/>
      <w:r>
        <w:t>i</w:t>
      </w:r>
      <w:proofErr w:type="spellEnd"/>
      <w:r>
        <w:t>)</w:t>
      </w:r>
      <w:r>
        <w:tab/>
        <w:t>Inspection prior to and during decommissioning;</w:t>
      </w:r>
    </w:p>
    <w:p w:rsidR="00890CDD" w:rsidRDefault="00890CDD" w:rsidP="004E098D">
      <w:pPr>
        <w:keepNext/>
        <w:tabs>
          <w:tab w:val="clear" w:pos="2381"/>
        </w:tabs>
        <w:spacing w:after="120"/>
        <w:ind w:left="2835" w:hanging="567"/>
      </w:pPr>
      <w:r>
        <w:t>(ii)</w:t>
      </w:r>
      <w:r>
        <w:tab/>
        <w:t>Procedures to be followed to protect worker and community health and the environment during decommissioning;</w:t>
      </w:r>
    </w:p>
    <w:p w:rsidR="00890CDD" w:rsidRDefault="00890CDD" w:rsidP="004E098D">
      <w:pPr>
        <w:keepNext/>
        <w:tabs>
          <w:tab w:val="clear" w:pos="2381"/>
        </w:tabs>
        <w:spacing w:after="120"/>
        <w:ind w:left="2835" w:hanging="567"/>
      </w:pPr>
      <w:r>
        <w:t>(iii)</w:t>
      </w:r>
      <w:r>
        <w:tab/>
        <w:t>Post-decommissioning site requirements;</w:t>
      </w:r>
    </w:p>
    <w:p w:rsidR="00890CDD" w:rsidRDefault="00890CDD" w:rsidP="004E098D">
      <w:pPr>
        <w:tabs>
          <w:tab w:val="clear" w:pos="1247"/>
          <w:tab w:val="clear" w:pos="1814"/>
          <w:tab w:val="clear" w:pos="2381"/>
          <w:tab w:val="left" w:pos="2268"/>
        </w:tabs>
        <w:spacing w:after="120"/>
        <w:ind w:left="1134" w:firstLine="567"/>
      </w:pPr>
      <w:r>
        <w:t>(c)</w:t>
      </w:r>
      <w:r>
        <w:tab/>
        <w:t>Emergency contingency planning, spill and accident response, including:</w:t>
      </w:r>
    </w:p>
    <w:p w:rsidR="00890CDD" w:rsidRDefault="00890CDD" w:rsidP="004E098D">
      <w:pPr>
        <w:keepNext/>
        <w:tabs>
          <w:tab w:val="clear" w:pos="2381"/>
        </w:tabs>
        <w:spacing w:after="120"/>
        <w:ind w:left="2835" w:hanging="567"/>
      </w:pPr>
      <w:r>
        <w:t>(</w:t>
      </w:r>
      <w:proofErr w:type="spellStart"/>
      <w:r>
        <w:t>i</w:t>
      </w:r>
      <w:proofErr w:type="spellEnd"/>
      <w:r>
        <w:t>)</w:t>
      </w:r>
      <w:r>
        <w:tab/>
        <w:t xml:space="preserve">Cleanup procedures and post-cleanup concentrations to be achieved; </w:t>
      </w:r>
    </w:p>
    <w:p w:rsidR="00890CDD" w:rsidRDefault="00890CDD" w:rsidP="004E098D">
      <w:pPr>
        <w:keepNext/>
        <w:tabs>
          <w:tab w:val="clear" w:pos="2381"/>
        </w:tabs>
        <w:spacing w:after="120"/>
        <w:ind w:left="2835" w:hanging="567"/>
      </w:pPr>
      <w:r>
        <w:t>(ii)</w:t>
      </w:r>
      <w:r>
        <w:tab/>
        <w:t xml:space="preserve">Worker training and safety requirements; </w:t>
      </w:r>
      <w:r w:rsidR="00073A79">
        <w:t>and</w:t>
      </w:r>
    </w:p>
    <w:p w:rsidR="00890CDD" w:rsidRDefault="00890CDD" w:rsidP="004E098D">
      <w:pPr>
        <w:tabs>
          <w:tab w:val="clear" w:pos="1247"/>
          <w:tab w:val="clear" w:pos="1814"/>
          <w:tab w:val="clear" w:pos="2381"/>
          <w:tab w:val="left" w:pos="2268"/>
        </w:tabs>
        <w:spacing w:after="120"/>
        <w:ind w:left="1134" w:firstLine="567"/>
      </w:pPr>
      <w:r>
        <w:t>(d)</w:t>
      </w:r>
      <w:r>
        <w:tab/>
        <w:t>Waste prevention, minimization and management plans.</w:t>
      </w:r>
    </w:p>
    <w:p w:rsidR="00890CDD" w:rsidRDefault="00890CDD">
      <w:pPr>
        <w:pStyle w:val="Heading2"/>
        <w:spacing w:before="240" w:after="120"/>
        <w:ind w:left="1134" w:hanging="510"/>
      </w:pPr>
      <w:bookmarkStart w:id="443" w:name="_Toc58997119"/>
      <w:bookmarkStart w:id="444" w:name="_Toc58999201"/>
      <w:bookmarkStart w:id="445" w:name="_Toc58999260"/>
      <w:bookmarkStart w:id="446" w:name="_Toc59943355"/>
      <w:bookmarkStart w:id="447" w:name="_Toc59943520"/>
      <w:bookmarkStart w:id="448" w:name="_Toc59943578"/>
      <w:bookmarkStart w:id="449" w:name="_Toc59943671"/>
      <w:bookmarkStart w:id="450" w:name="_Toc61328036"/>
      <w:bookmarkStart w:id="451" w:name="_Toc61681677"/>
      <w:bookmarkStart w:id="452" w:name="_Toc61681746"/>
      <w:bookmarkStart w:id="453" w:name="_Toc62220542"/>
      <w:bookmarkStart w:id="454" w:name="_Toc161804570"/>
      <w:bookmarkStart w:id="455" w:name="_Toc405988643"/>
      <w:bookmarkStart w:id="456" w:name="_Toc437340536"/>
      <w:r>
        <w:t>C.</w:t>
      </w:r>
      <w:r>
        <w:tab/>
        <w:t>Waste prevention and minimization</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t xml:space="preserve"> </w:t>
      </w:r>
    </w:p>
    <w:p w:rsidR="00890CDD" w:rsidRPr="008515D2" w:rsidRDefault="00890CDD" w:rsidP="00980527">
      <w:pPr>
        <w:pStyle w:val="Paralevel1"/>
        <w:tabs>
          <w:tab w:val="clear" w:pos="1843"/>
          <w:tab w:val="left" w:pos="1701"/>
        </w:tabs>
        <w:ind w:left="1134" w:firstLine="0"/>
      </w:pPr>
      <w:r>
        <w:t xml:space="preserve">The prevention and minimization of POP wastes are the first and most important steps in the overall ESM of </w:t>
      </w:r>
      <w:r w:rsidRPr="008515D2">
        <w:t xml:space="preserve">such wastes. In Article 4, paragraph 2, the Basel Convention calls on Parties to “ensure that the generation of hazardous wastes and other wastes </w:t>
      </w:r>
      <w:r w:rsidR="0092748C">
        <w:t>is reduced to a minimum”. Waste prevention should be the preferred option in any waste management policy. According to the framework for the ESM of hazardous wastes and other waste</w:t>
      </w:r>
      <w:r w:rsidR="00073A79">
        <w:t>s</w:t>
      </w:r>
      <w:r w:rsidR="0092748C">
        <w:t xml:space="preserve">, </w:t>
      </w:r>
      <w:r w:rsidR="00FA42EF" w:rsidRPr="00FA42EF">
        <w:t xml:space="preserve">the need to manage wastes and/or the risks and costs associated with doing so are reduced </w:t>
      </w:r>
      <w:r w:rsidRPr="008515D2">
        <w:t xml:space="preserve">by not generating wastes and </w:t>
      </w:r>
      <w:r w:rsidR="00073A79">
        <w:t xml:space="preserve">by </w:t>
      </w:r>
      <w:r w:rsidRPr="008515D2">
        <w:t xml:space="preserve">ensuring that </w:t>
      </w:r>
      <w:r w:rsidR="0092748C">
        <w:t xml:space="preserve">generated </w:t>
      </w:r>
      <w:r w:rsidR="00FA42EF" w:rsidRPr="00FA42EF">
        <w:t xml:space="preserve">wastes </w:t>
      </w:r>
      <w:r w:rsidRPr="008515D2">
        <w:t>are less hazardous</w:t>
      </w:r>
      <w:r w:rsidR="0092748C">
        <w:t xml:space="preserve"> (</w:t>
      </w:r>
      <w:r w:rsidR="00827D93">
        <w:t>UNEP</w:t>
      </w:r>
      <w:r w:rsidR="0092748C">
        <w:t>, 2013</w:t>
      </w:r>
      <w:r w:rsidR="00827D93">
        <w:t>a</w:t>
      </w:r>
      <w:r w:rsidR="0092748C">
        <w:t>).</w:t>
      </w:r>
    </w:p>
    <w:p w:rsidR="00890CDD" w:rsidRDefault="00890CDD" w:rsidP="00980527">
      <w:pPr>
        <w:pStyle w:val="Paralevel1"/>
        <w:tabs>
          <w:tab w:val="clear" w:pos="1843"/>
          <w:tab w:val="left" w:pos="1701"/>
        </w:tabs>
        <w:ind w:left="1134" w:firstLine="0"/>
      </w:pPr>
      <w:r>
        <w:t xml:space="preserve">According to the Basel ESM framework, companies that generate wastes (waste generators) are responsible for ensuring the </w:t>
      </w:r>
      <w:r w:rsidR="00733375">
        <w:t>implementation of</w:t>
      </w:r>
      <w:r>
        <w:t xml:space="preserve"> BAT and BEP when undertaking activities that generate wastes. In doing so, they act to minimize the wastes generated by ensuring research, investment in design, innovation and development of new products and processes that use fewer resources and energy and that reduce, substitute or eliminate the use of hazardous materials.  </w:t>
      </w:r>
    </w:p>
    <w:p w:rsidR="00890CDD" w:rsidRDefault="00890CDD" w:rsidP="00980527">
      <w:pPr>
        <w:pStyle w:val="Paralevel1"/>
        <w:tabs>
          <w:tab w:val="clear" w:pos="1843"/>
          <w:tab w:val="left" w:pos="1701"/>
        </w:tabs>
        <w:ind w:left="1134" w:firstLine="0"/>
      </w:pPr>
      <w:r>
        <w:t>Waste generators and significant downstream industrial users (e.g.</w:t>
      </w:r>
      <w:r w:rsidR="00073A79">
        <w:t>,</w:t>
      </w:r>
      <w:r>
        <w:t xml:space="preserve"> pesticide formulators) of products and articles containing POPs could be required to develop waste management plans. Such plans should cover all hazardous wastes, with POP wastes treated as </w:t>
      </w:r>
      <w:r w:rsidRPr="00606CF8">
        <w:rPr>
          <w:iCs/>
        </w:rPr>
        <w:t xml:space="preserve">one </w:t>
      </w:r>
      <w:r>
        <w:t xml:space="preserve">component. </w:t>
      </w:r>
    </w:p>
    <w:p w:rsidR="00890CDD" w:rsidRDefault="00890CDD" w:rsidP="00980527">
      <w:pPr>
        <w:pStyle w:val="Paralevel1"/>
        <w:tabs>
          <w:tab w:val="clear" w:pos="1843"/>
          <w:tab w:val="left" w:pos="1701"/>
        </w:tabs>
        <w:ind w:left="1134" w:firstLine="0"/>
      </w:pPr>
      <w:r>
        <w:t xml:space="preserve">Elements of a waste prevention and minimization </w:t>
      </w:r>
      <w:proofErr w:type="spellStart"/>
      <w:r>
        <w:t>programme</w:t>
      </w:r>
      <w:proofErr w:type="spellEnd"/>
      <w:r>
        <w:t xml:space="preserve"> include the following: </w:t>
      </w:r>
    </w:p>
    <w:p w:rsidR="00890CDD" w:rsidRDefault="00890CDD" w:rsidP="004E098D">
      <w:pPr>
        <w:tabs>
          <w:tab w:val="clear" w:pos="1247"/>
          <w:tab w:val="clear" w:pos="1814"/>
          <w:tab w:val="clear" w:pos="2381"/>
          <w:tab w:val="left" w:pos="2268"/>
        </w:tabs>
        <w:spacing w:after="120"/>
        <w:ind w:left="1134" w:firstLine="567"/>
      </w:pPr>
      <w:r>
        <w:t>(a)</w:t>
      </w:r>
      <w:r>
        <w:tab/>
        <w:t>Identification of processes possibly unintentionally producing POPs (e.g.</w:t>
      </w:r>
      <w:r w:rsidR="00E475E7">
        <w:t>,</w:t>
      </w:r>
      <w:r>
        <w:t xml:space="preserve"> incineration) and determination of whether Stockholm Convention guidelines on BAT and BEP are applicable;</w:t>
      </w:r>
    </w:p>
    <w:p w:rsidR="00890CDD" w:rsidRDefault="00890CDD" w:rsidP="004E098D">
      <w:pPr>
        <w:tabs>
          <w:tab w:val="clear" w:pos="1247"/>
          <w:tab w:val="clear" w:pos="1814"/>
          <w:tab w:val="clear" w:pos="2381"/>
          <w:tab w:val="left" w:pos="2268"/>
        </w:tabs>
        <w:spacing w:after="120"/>
        <w:ind w:left="1134" w:firstLine="567"/>
      </w:pPr>
      <w:r>
        <w:t>(b)</w:t>
      </w:r>
      <w:r>
        <w:tab/>
        <w:t>Identification of processes that use POPs and generate POP wastes:</w:t>
      </w:r>
    </w:p>
    <w:p w:rsidR="00890CDD" w:rsidRDefault="00890CDD" w:rsidP="004E098D">
      <w:pPr>
        <w:keepNext/>
        <w:tabs>
          <w:tab w:val="clear" w:pos="1814"/>
          <w:tab w:val="clear" w:pos="2381"/>
          <w:tab w:val="clear" w:pos="2948"/>
          <w:tab w:val="clear" w:pos="3515"/>
          <w:tab w:val="left" w:pos="2835"/>
        </w:tabs>
        <w:spacing w:after="120"/>
        <w:ind w:left="2835" w:hanging="567"/>
      </w:pPr>
      <w:r>
        <w:t>(</w:t>
      </w:r>
      <w:proofErr w:type="spellStart"/>
      <w:r>
        <w:t>i</w:t>
      </w:r>
      <w:proofErr w:type="spellEnd"/>
      <w:r>
        <w:t>)</w:t>
      </w:r>
      <w:r>
        <w:tab/>
        <w:t xml:space="preserve">To determine whether process modifications, including updating </w:t>
      </w:r>
      <w:r w:rsidR="00DE5CB7">
        <w:t xml:space="preserve">of </w:t>
      </w:r>
      <w:r>
        <w:t>older equipment, could reduce POP waste generation;</w:t>
      </w:r>
      <w:r w:rsidR="00DE5CB7">
        <w:t xml:space="preserve"> and</w:t>
      </w:r>
    </w:p>
    <w:p w:rsidR="00890CDD" w:rsidRDefault="00890CDD" w:rsidP="004E098D">
      <w:pPr>
        <w:keepNext/>
        <w:tabs>
          <w:tab w:val="clear" w:pos="1814"/>
          <w:tab w:val="clear" w:pos="2381"/>
          <w:tab w:val="clear" w:pos="2948"/>
          <w:tab w:val="clear" w:pos="3515"/>
          <w:tab w:val="left" w:pos="2835"/>
        </w:tabs>
        <w:spacing w:after="120"/>
        <w:ind w:left="2835" w:hanging="567"/>
      </w:pPr>
      <w:r>
        <w:t>(ii)</w:t>
      </w:r>
      <w:r>
        <w:tab/>
        <w:t xml:space="preserve">To identify alternative processes </w:t>
      </w:r>
      <w:proofErr w:type="gramStart"/>
      <w:r>
        <w:t>that are</w:t>
      </w:r>
      <w:proofErr w:type="gramEnd"/>
      <w:r>
        <w:t xml:space="preserve"> not linked to the production of POP wastes;</w:t>
      </w:r>
    </w:p>
    <w:p w:rsidR="00890CDD" w:rsidRDefault="00890CDD" w:rsidP="004E098D">
      <w:pPr>
        <w:tabs>
          <w:tab w:val="clear" w:pos="1247"/>
          <w:tab w:val="clear" w:pos="1814"/>
          <w:tab w:val="clear" w:pos="2381"/>
          <w:tab w:val="left" w:pos="2268"/>
        </w:tabs>
        <w:spacing w:after="120"/>
        <w:ind w:left="1134" w:firstLine="567"/>
      </w:pPr>
      <w:r>
        <w:t>(c)</w:t>
      </w:r>
      <w:r>
        <w:tab/>
        <w:t xml:space="preserve">Identification of products and articles consisting of, containing or contaminated with POPs and non-POP alternatives; </w:t>
      </w:r>
      <w:r w:rsidR="00041820">
        <w:t>and</w:t>
      </w:r>
    </w:p>
    <w:p w:rsidR="00890CDD" w:rsidRDefault="00890CDD" w:rsidP="004E098D">
      <w:pPr>
        <w:tabs>
          <w:tab w:val="clear" w:pos="1247"/>
          <w:tab w:val="clear" w:pos="1814"/>
          <w:tab w:val="clear" w:pos="2381"/>
          <w:tab w:val="left" w:pos="2268"/>
        </w:tabs>
        <w:spacing w:after="120"/>
        <w:ind w:left="1134" w:firstLine="567"/>
      </w:pPr>
      <w:r>
        <w:t>(d)</w:t>
      </w:r>
      <w:r>
        <w:tab/>
        <w:t>Minimization of the volume of POP wastes generated:</w:t>
      </w:r>
    </w:p>
    <w:p w:rsidR="00890CDD" w:rsidRDefault="00890CDD" w:rsidP="004E098D">
      <w:pPr>
        <w:keepNext/>
        <w:tabs>
          <w:tab w:val="clear" w:pos="1814"/>
          <w:tab w:val="clear" w:pos="2381"/>
          <w:tab w:val="clear" w:pos="2948"/>
          <w:tab w:val="clear" w:pos="3515"/>
          <w:tab w:val="left" w:pos="2835"/>
        </w:tabs>
        <w:spacing w:after="120"/>
        <w:ind w:left="2835" w:hanging="567"/>
      </w:pPr>
      <w:r>
        <w:t>(</w:t>
      </w:r>
      <w:proofErr w:type="spellStart"/>
      <w:r>
        <w:t>i</w:t>
      </w:r>
      <w:proofErr w:type="spellEnd"/>
      <w:r>
        <w:t>)</w:t>
      </w:r>
      <w:r>
        <w:tab/>
        <w:t xml:space="preserve">By regular maintenance of equipment to increase efficiency and prevent spills and leaks; </w:t>
      </w:r>
    </w:p>
    <w:p w:rsidR="00890CDD" w:rsidRDefault="00890CDD" w:rsidP="004E098D">
      <w:pPr>
        <w:keepNext/>
        <w:tabs>
          <w:tab w:val="clear" w:pos="1814"/>
          <w:tab w:val="clear" w:pos="2381"/>
          <w:tab w:val="clear" w:pos="2948"/>
          <w:tab w:val="clear" w:pos="3515"/>
          <w:tab w:val="left" w:pos="2835"/>
        </w:tabs>
        <w:spacing w:after="120"/>
        <w:ind w:left="2835" w:hanging="567"/>
      </w:pPr>
      <w:r>
        <w:t>(ii)</w:t>
      </w:r>
      <w:r>
        <w:tab/>
        <w:t>By prompt containment of spills and leaks;</w:t>
      </w:r>
    </w:p>
    <w:p w:rsidR="00890CDD" w:rsidRDefault="00890CDD" w:rsidP="004E098D">
      <w:pPr>
        <w:keepNext/>
        <w:tabs>
          <w:tab w:val="clear" w:pos="1814"/>
          <w:tab w:val="clear" w:pos="2381"/>
          <w:tab w:val="clear" w:pos="2948"/>
          <w:tab w:val="clear" w:pos="3515"/>
          <w:tab w:val="left" w:pos="2835"/>
        </w:tabs>
        <w:spacing w:after="120"/>
        <w:ind w:left="2835" w:hanging="567"/>
      </w:pPr>
      <w:r>
        <w:t>(iii)</w:t>
      </w:r>
      <w:r>
        <w:tab/>
        <w:t xml:space="preserve">By decontamination of containers and equipment containing POP wastes; </w:t>
      </w:r>
      <w:r w:rsidR="00041820">
        <w:t>and</w:t>
      </w:r>
    </w:p>
    <w:p w:rsidR="00890CDD" w:rsidRDefault="00890CDD" w:rsidP="004E098D">
      <w:pPr>
        <w:keepNext/>
        <w:tabs>
          <w:tab w:val="clear" w:pos="1814"/>
          <w:tab w:val="clear" w:pos="2381"/>
          <w:tab w:val="clear" w:pos="2948"/>
          <w:tab w:val="clear" w:pos="3515"/>
          <w:tab w:val="left" w:pos="2835"/>
        </w:tabs>
        <w:spacing w:after="120"/>
        <w:ind w:left="2835" w:hanging="567"/>
      </w:pPr>
      <w:proofErr w:type="gramStart"/>
      <w:r>
        <w:t>(iv)</w:t>
      </w:r>
      <w:r>
        <w:tab/>
        <w:t>By</w:t>
      </w:r>
      <w:proofErr w:type="gramEnd"/>
      <w:r>
        <w:t xml:space="preserve"> isolation of POP wastes in order to prevent contamination of other materials.</w:t>
      </w:r>
    </w:p>
    <w:p w:rsidR="00890CDD" w:rsidRDefault="00424862" w:rsidP="00980527">
      <w:pPr>
        <w:pStyle w:val="Paralevel1"/>
        <w:tabs>
          <w:tab w:val="clear" w:pos="1843"/>
          <w:tab w:val="left" w:pos="1701"/>
        </w:tabs>
        <w:ind w:left="1134" w:firstLine="0"/>
      </w:pPr>
      <w:r>
        <w:t>The m</w:t>
      </w:r>
      <w:r w:rsidR="00890CDD">
        <w:t xml:space="preserve">ixing </w:t>
      </w:r>
      <w:r w:rsidR="0042209E">
        <w:t xml:space="preserve">and blending </w:t>
      </w:r>
      <w:r w:rsidR="00890CDD">
        <w:t xml:space="preserve">of wastes with POP contents above a defined low POP content with other materials solely for the purpose of generating a mixture with a POP content </w:t>
      </w:r>
      <w:r w:rsidR="0042209E">
        <w:t xml:space="preserve">at or </w:t>
      </w:r>
      <w:r w:rsidR="00890CDD">
        <w:t>below the defined low POP content is not environmentally sound. Nevertheless,</w:t>
      </w:r>
      <w:r>
        <w:t xml:space="preserve"> the</w:t>
      </w:r>
      <w:r w:rsidR="00890CDD">
        <w:t xml:space="preserve"> mixing </w:t>
      </w:r>
      <w:r w:rsidR="0042209E">
        <w:t xml:space="preserve">or blending </w:t>
      </w:r>
      <w:r w:rsidR="00890CDD">
        <w:t>of materials prior to waste treatment may be necessary in order to enable treatment</w:t>
      </w:r>
      <w:r w:rsidR="0042209E">
        <w:t xml:space="preserve"> or </w:t>
      </w:r>
      <w:r w:rsidR="00737BA0">
        <w:t xml:space="preserve">to </w:t>
      </w:r>
      <w:r w:rsidR="0042209E">
        <w:t xml:space="preserve">optimize </w:t>
      </w:r>
      <w:r w:rsidR="00737BA0">
        <w:t xml:space="preserve">treatment </w:t>
      </w:r>
      <w:r w:rsidR="00890CDD">
        <w:t>efficienc</w:t>
      </w:r>
      <w:r w:rsidR="0042209E">
        <w:t>y</w:t>
      </w:r>
      <w:r w:rsidR="00890CDD">
        <w:t>.</w:t>
      </w:r>
    </w:p>
    <w:p w:rsidR="00890CDD" w:rsidRDefault="00890CDD">
      <w:pPr>
        <w:pStyle w:val="Heading2"/>
        <w:spacing w:before="240" w:after="120"/>
        <w:ind w:left="1134" w:hanging="510"/>
      </w:pPr>
      <w:bookmarkStart w:id="457" w:name="_Toc49228125"/>
      <w:bookmarkStart w:id="458" w:name="_Toc49228176"/>
      <w:bookmarkStart w:id="459" w:name="_Toc49228298"/>
      <w:bookmarkStart w:id="460" w:name="_Toc49228430"/>
      <w:bookmarkStart w:id="461" w:name="_Toc49228480"/>
      <w:bookmarkStart w:id="462" w:name="_Toc52011574"/>
      <w:bookmarkStart w:id="463" w:name="_Toc52131813"/>
      <w:bookmarkStart w:id="464" w:name="_Toc52175490"/>
      <w:bookmarkStart w:id="465" w:name="_Toc52512374"/>
      <w:bookmarkStart w:id="466" w:name="_Toc52512425"/>
      <w:bookmarkStart w:id="467" w:name="_Toc52524026"/>
      <w:bookmarkStart w:id="468" w:name="_Toc58997120"/>
      <w:bookmarkStart w:id="469" w:name="_Toc58999202"/>
      <w:bookmarkStart w:id="470" w:name="_Toc58999261"/>
      <w:bookmarkStart w:id="471" w:name="_Toc59943356"/>
      <w:bookmarkStart w:id="472" w:name="_Toc59943521"/>
      <w:bookmarkStart w:id="473" w:name="_Toc59943579"/>
      <w:bookmarkStart w:id="474" w:name="_Toc59943672"/>
      <w:bookmarkStart w:id="475" w:name="_Toc61328037"/>
      <w:bookmarkStart w:id="476" w:name="_Toc61681678"/>
      <w:bookmarkStart w:id="477" w:name="_Toc61681747"/>
      <w:bookmarkStart w:id="478" w:name="_Toc62220543"/>
      <w:bookmarkStart w:id="479" w:name="_Toc161804571"/>
      <w:bookmarkStart w:id="480" w:name="_Toc405988644"/>
      <w:bookmarkStart w:id="481" w:name="_Toc437340537"/>
      <w:r>
        <w:t>D.</w:t>
      </w:r>
      <w:r>
        <w:tab/>
      </w:r>
      <w:bookmarkEnd w:id="457"/>
      <w:bookmarkEnd w:id="458"/>
      <w:bookmarkEnd w:id="459"/>
      <w:bookmarkEnd w:id="460"/>
      <w:bookmarkEnd w:id="461"/>
      <w:bookmarkEnd w:id="462"/>
      <w:bookmarkEnd w:id="463"/>
      <w:bookmarkEnd w:id="464"/>
      <w:bookmarkEnd w:id="465"/>
      <w:bookmarkEnd w:id="466"/>
      <w:bookmarkEnd w:id="467"/>
      <w:r>
        <w:t>Identification</w:t>
      </w:r>
      <w:bookmarkEnd w:id="468"/>
      <w:bookmarkEnd w:id="469"/>
      <w:bookmarkEnd w:id="470"/>
      <w:bookmarkEnd w:id="471"/>
      <w:bookmarkEnd w:id="472"/>
      <w:bookmarkEnd w:id="473"/>
      <w:bookmarkEnd w:id="474"/>
      <w:bookmarkEnd w:id="475"/>
      <w:bookmarkEnd w:id="476"/>
      <w:bookmarkEnd w:id="477"/>
      <w:bookmarkEnd w:id="478"/>
      <w:bookmarkEnd w:id="479"/>
      <w:r>
        <w:t xml:space="preserve"> of wastes</w:t>
      </w:r>
      <w:bookmarkEnd w:id="480"/>
      <w:bookmarkEnd w:id="481"/>
    </w:p>
    <w:p w:rsidR="00890CDD" w:rsidRDefault="00890CDD">
      <w:pPr>
        <w:pStyle w:val="Heading3"/>
        <w:spacing w:before="240" w:after="120"/>
        <w:ind w:left="1134" w:hanging="425"/>
        <w:rPr>
          <w:szCs w:val="20"/>
        </w:rPr>
      </w:pPr>
      <w:bookmarkStart w:id="482" w:name="_Toc405988645"/>
      <w:bookmarkStart w:id="483" w:name="_Toc437340538"/>
      <w:r w:rsidRPr="005E5BFF">
        <w:rPr>
          <w:szCs w:val="20"/>
        </w:rPr>
        <w:t xml:space="preserve">1. </w:t>
      </w:r>
      <w:r w:rsidRPr="005E5BFF">
        <w:rPr>
          <w:szCs w:val="20"/>
        </w:rPr>
        <w:tab/>
        <w:t>General considerations</w:t>
      </w:r>
      <w:bookmarkEnd w:id="482"/>
      <w:bookmarkEnd w:id="483"/>
      <w:r w:rsidRPr="005E5BFF">
        <w:rPr>
          <w:szCs w:val="20"/>
        </w:rPr>
        <w:t xml:space="preserve"> </w:t>
      </w:r>
    </w:p>
    <w:p w:rsidR="00890CDD" w:rsidRPr="005D4D87" w:rsidRDefault="00C05348" w:rsidP="00980527">
      <w:pPr>
        <w:pStyle w:val="Paralevel1"/>
        <w:tabs>
          <w:tab w:val="clear" w:pos="1843"/>
          <w:tab w:val="left" w:pos="1701"/>
        </w:tabs>
        <w:ind w:left="1134" w:firstLine="0"/>
      </w:pPr>
      <w:r>
        <w:t>The i</w:t>
      </w:r>
      <w:r w:rsidR="0092748C">
        <w:t xml:space="preserve">dentification of POP wastes is </w:t>
      </w:r>
      <w:r w:rsidR="00FA42EF" w:rsidRPr="00FA42EF">
        <w:t xml:space="preserve">the starting point </w:t>
      </w:r>
      <w:r w:rsidR="00890CDD" w:rsidRPr="007D6E1B">
        <w:t xml:space="preserve">for their effective </w:t>
      </w:r>
      <w:r w:rsidR="00FE48EE">
        <w:t>ESM.</w:t>
      </w:r>
      <w:r w:rsidR="00890CDD">
        <w:t xml:space="preserve"> POP wastes can be generated via a range of processes and activities that can occur </w:t>
      </w:r>
      <w:r w:rsidR="00890CDD" w:rsidRPr="009A0F29">
        <w:t>during the</w:t>
      </w:r>
      <w:r w:rsidR="00890CDD">
        <w:t xml:space="preserve"> </w:t>
      </w:r>
      <w:r w:rsidR="00890CDD" w:rsidRPr="009A0F29">
        <w:t>whole life cycle</w:t>
      </w:r>
      <w:r w:rsidR="00890CDD">
        <w:t xml:space="preserve"> of POPs, for </w:t>
      </w:r>
      <w:r w:rsidR="00890CDD" w:rsidRPr="006D101A">
        <w:rPr>
          <w:iCs/>
        </w:rPr>
        <w:t>example:</w:t>
      </w:r>
    </w:p>
    <w:p w:rsidR="00890CDD" w:rsidRDefault="00890CDD" w:rsidP="004E098D">
      <w:pPr>
        <w:tabs>
          <w:tab w:val="clear" w:pos="1247"/>
          <w:tab w:val="clear" w:pos="1814"/>
          <w:tab w:val="clear" w:pos="2381"/>
          <w:tab w:val="left" w:pos="2268"/>
        </w:tabs>
        <w:spacing w:after="120"/>
        <w:ind w:left="1134" w:firstLine="567"/>
      </w:pPr>
      <w:r>
        <w:t>(a)</w:t>
      </w:r>
      <w:r>
        <w:tab/>
        <w:t>During their intentional manufacture (production facilities);</w:t>
      </w:r>
    </w:p>
    <w:p w:rsidR="00E8028C" w:rsidRDefault="00890CDD" w:rsidP="004E098D">
      <w:pPr>
        <w:tabs>
          <w:tab w:val="clear" w:pos="1247"/>
          <w:tab w:val="clear" w:pos="1814"/>
          <w:tab w:val="clear" w:pos="2381"/>
          <w:tab w:val="left" w:pos="2268"/>
        </w:tabs>
        <w:spacing w:after="120"/>
        <w:ind w:left="1134" w:firstLine="567"/>
      </w:pPr>
      <w:r>
        <w:t>(b)</w:t>
      </w:r>
      <w:r>
        <w:tab/>
      </w:r>
      <w:r w:rsidRPr="005D4D87">
        <w:t xml:space="preserve">As by-products of industrial and other processes </w:t>
      </w:r>
      <w:r>
        <w:t xml:space="preserve">using these POPs </w:t>
      </w:r>
      <w:r w:rsidRPr="005D4D87">
        <w:t>(e.g.</w:t>
      </w:r>
      <w:r w:rsidR="00C02897">
        <w:t>,</w:t>
      </w:r>
      <w:r w:rsidRPr="005D4D87">
        <w:t xml:space="preserve"> </w:t>
      </w:r>
      <w:r>
        <w:t xml:space="preserve">manufacturing facilities of </w:t>
      </w:r>
      <w:r w:rsidR="004C1309">
        <w:t xml:space="preserve">products and </w:t>
      </w:r>
      <w:r>
        <w:t>articles</w:t>
      </w:r>
      <w:r w:rsidR="00C02897">
        <w:t xml:space="preserve"> such as</w:t>
      </w:r>
      <w:r>
        <w:t xml:space="preserve"> plastic</w:t>
      </w:r>
      <w:r w:rsidR="004D1910">
        <w:t>s</w:t>
      </w:r>
      <w:r>
        <w:t>, upholstery, textile</w:t>
      </w:r>
      <w:r w:rsidR="004D1910">
        <w:t>s</w:t>
      </w:r>
      <w:r>
        <w:t>, packaging material</w:t>
      </w:r>
      <w:r w:rsidR="004D1910">
        <w:t>s</w:t>
      </w:r>
      <w:r>
        <w:t xml:space="preserve">, electrical/electronic equipment, </w:t>
      </w:r>
      <w:proofErr w:type="spellStart"/>
      <w:r>
        <w:t>masterbatch</w:t>
      </w:r>
      <w:r w:rsidR="004D1910">
        <w:t>es</w:t>
      </w:r>
      <w:proofErr w:type="spellEnd"/>
      <w:r>
        <w:t>, pellets, expanded polystyrene material</w:t>
      </w:r>
      <w:r w:rsidR="004D1910">
        <w:t>s</w:t>
      </w:r>
      <w:r>
        <w:t>, paint</w:t>
      </w:r>
      <w:r w:rsidR="004D1910">
        <w:t>s</w:t>
      </w:r>
      <w:r>
        <w:t>, adhesive</w:t>
      </w:r>
      <w:r w:rsidR="004D1910">
        <w:t>s,</w:t>
      </w:r>
      <w:r>
        <w:t xml:space="preserve"> etc.</w:t>
      </w:r>
      <w:r w:rsidRPr="00752009">
        <w:t>)</w:t>
      </w:r>
      <w:r w:rsidRPr="005D4D87">
        <w:t>;</w:t>
      </w:r>
    </w:p>
    <w:p w:rsidR="00890CDD" w:rsidRDefault="00890CDD" w:rsidP="004E098D">
      <w:pPr>
        <w:tabs>
          <w:tab w:val="clear" w:pos="1247"/>
          <w:tab w:val="clear" w:pos="1814"/>
          <w:tab w:val="clear" w:pos="2381"/>
          <w:tab w:val="left" w:pos="2268"/>
        </w:tabs>
        <w:spacing w:after="120"/>
        <w:ind w:left="1134" w:firstLine="567"/>
      </w:pPr>
      <w:r>
        <w:t>(c)</w:t>
      </w:r>
      <w:r>
        <w:tab/>
        <w:t>Through contamination of materials or the environment as a result of accidents or leakage that may occur during production, sale, use, decommissioning, removal, transfer</w:t>
      </w:r>
      <w:r w:rsidR="00C02897">
        <w:t xml:space="preserve"> or </w:t>
      </w:r>
      <w:r>
        <w:t xml:space="preserve">disposal; </w:t>
      </w:r>
    </w:p>
    <w:p w:rsidR="00890CDD" w:rsidRDefault="00890CDD" w:rsidP="004E098D">
      <w:pPr>
        <w:tabs>
          <w:tab w:val="clear" w:pos="1247"/>
          <w:tab w:val="clear" w:pos="1814"/>
          <w:tab w:val="clear" w:pos="2381"/>
          <w:tab w:val="left" w:pos="2268"/>
        </w:tabs>
        <w:spacing w:after="120"/>
        <w:ind w:left="1134" w:firstLine="567"/>
      </w:pPr>
      <w:r>
        <w:t>(d)</w:t>
      </w:r>
      <w:r>
        <w:tab/>
        <w:t>Through contamination of materials during handling, use of products and articles</w:t>
      </w:r>
      <w:r w:rsidR="004C1309">
        <w:t>,</w:t>
      </w:r>
      <w:r>
        <w:t xml:space="preserve"> such as containers, clothing and in some cases equipment (respirators, etc.) that have been contaminated through contact with a POP; </w:t>
      </w:r>
    </w:p>
    <w:p w:rsidR="00890CDD" w:rsidRDefault="00890CDD" w:rsidP="004E098D">
      <w:pPr>
        <w:tabs>
          <w:tab w:val="clear" w:pos="1247"/>
          <w:tab w:val="clear" w:pos="1814"/>
          <w:tab w:val="clear" w:pos="2381"/>
          <w:tab w:val="left" w:pos="2268"/>
        </w:tabs>
        <w:spacing w:after="120"/>
        <w:ind w:left="1134" w:firstLine="567"/>
      </w:pPr>
      <w:r>
        <w:t xml:space="preserve">(e) </w:t>
      </w:r>
      <w:r w:rsidR="00795341">
        <w:tab/>
      </w:r>
      <w:r>
        <w:t>When products or articles consisting of, containing or contaminated with POPs are used, become off-specification, are unfit for the</w:t>
      </w:r>
      <w:r w:rsidR="004D1910">
        <w:t>ir</w:t>
      </w:r>
      <w:r>
        <w:t xml:space="preserve"> original use </w:t>
      </w:r>
      <w:r w:rsidR="00C02897">
        <w:t xml:space="preserve">or </w:t>
      </w:r>
      <w:r>
        <w:t>have been banned</w:t>
      </w:r>
      <w:r w:rsidR="00C02897">
        <w:t>,</w:t>
      </w:r>
      <w:r>
        <w:t xml:space="preserve"> or when registrations for such products have been withdrawn; </w:t>
      </w:r>
      <w:r w:rsidR="00C02897">
        <w:t>or</w:t>
      </w:r>
    </w:p>
    <w:p w:rsidR="00890CDD" w:rsidRDefault="00890CDD" w:rsidP="004E098D">
      <w:pPr>
        <w:tabs>
          <w:tab w:val="clear" w:pos="1247"/>
          <w:tab w:val="clear" w:pos="1814"/>
          <w:tab w:val="clear" w:pos="2381"/>
          <w:tab w:val="left" w:pos="2268"/>
        </w:tabs>
        <w:spacing w:after="120"/>
        <w:ind w:left="1134" w:firstLine="567"/>
      </w:pPr>
      <w:r>
        <w:t>(f)</w:t>
      </w:r>
      <w:r>
        <w:tab/>
        <w:t xml:space="preserve">When products or articles consisting of, containing or contaminated with POPs are disposed of. </w:t>
      </w:r>
    </w:p>
    <w:p w:rsidR="000E79E2" w:rsidRDefault="00890CDD" w:rsidP="00A12DEA">
      <w:pPr>
        <w:pStyle w:val="Paralevel1"/>
        <w:tabs>
          <w:tab w:val="clear" w:pos="1843"/>
          <w:tab w:val="left" w:pos="1701"/>
        </w:tabs>
        <w:spacing w:after="240"/>
        <w:ind w:left="1134" w:firstLine="0"/>
      </w:pPr>
      <w:r>
        <w:t>POP wastes occur as solids and liquids (aqueous, semi-</w:t>
      </w:r>
      <w:r w:rsidRPr="008B3D49">
        <w:rPr>
          <w:iCs/>
        </w:rPr>
        <w:t>aqueous,</w:t>
      </w:r>
      <w:r>
        <w:t xml:space="preserve"> solvent-based and emulsions) and can be released as gases (actual gases, as a liquid dispersion or aerosols, or adsorbed onto atmospheric pollutants). Examples of such wastes are presented in </w:t>
      </w:r>
      <w:r w:rsidR="004C1309">
        <w:t>t</w:t>
      </w:r>
      <w:r>
        <w:t xml:space="preserve">able </w:t>
      </w:r>
      <w:r w:rsidR="00A12DEA">
        <w:t>3</w:t>
      </w:r>
      <w:r>
        <w:t xml:space="preserve">. </w:t>
      </w:r>
    </w:p>
    <w:p w:rsidR="00890CDD" w:rsidRDefault="00405DF7" w:rsidP="00A12DEA">
      <w:pPr>
        <w:pStyle w:val="Paralevel1"/>
        <w:numPr>
          <w:ilvl w:val="0"/>
          <w:numId w:val="0"/>
        </w:numPr>
        <w:spacing w:before="120"/>
        <w:ind w:left="1713"/>
      </w:pPr>
      <w:r>
        <w:rPr>
          <w:b/>
        </w:rPr>
        <w:br w:type="page"/>
      </w:r>
      <w:r w:rsidR="00890CDD" w:rsidRPr="00CD41B6">
        <w:rPr>
          <w:b/>
        </w:rPr>
        <w:t>Table</w:t>
      </w:r>
      <w:r w:rsidR="00890CDD">
        <w:rPr>
          <w:b/>
        </w:rPr>
        <w:t xml:space="preserve"> </w:t>
      </w:r>
      <w:r w:rsidR="00A12DEA">
        <w:rPr>
          <w:b/>
        </w:rPr>
        <w:t>3</w:t>
      </w:r>
      <w:r w:rsidR="00890CDD">
        <w:rPr>
          <w:b/>
        </w:rPr>
        <w:t xml:space="preserve">: </w:t>
      </w:r>
      <w:r w:rsidR="00890CDD">
        <w:t>Physical forms and types of POP wastes generated</w:t>
      </w:r>
    </w:p>
    <w:tbl>
      <w:tblPr>
        <w:tblW w:w="822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5529"/>
      </w:tblGrid>
      <w:tr w:rsidR="00890CDD" w:rsidRPr="00394F99" w:rsidTr="00EF6166">
        <w:trPr>
          <w:trHeight w:val="303"/>
          <w:tblHeader/>
        </w:trPr>
        <w:tc>
          <w:tcPr>
            <w:tcW w:w="2694" w:type="dxa"/>
            <w:tcBorders>
              <w:top w:val="single" w:sz="4" w:space="0" w:color="000000"/>
              <w:left w:val="single" w:sz="4" w:space="0" w:color="000000"/>
              <w:right w:val="single" w:sz="4" w:space="0" w:color="000000"/>
            </w:tcBorders>
            <w:shd w:val="clear" w:color="auto" w:fill="EAF1DD"/>
          </w:tcPr>
          <w:p w:rsidR="00890CDD" w:rsidRPr="002F7F82" w:rsidRDefault="00890CDD" w:rsidP="0088229A">
            <w:pPr>
              <w:rPr>
                <w:b/>
                <w:lang w:val="en-US"/>
              </w:rPr>
            </w:pPr>
            <w:r w:rsidRPr="002F7F82">
              <w:rPr>
                <w:b/>
                <w:lang w:val="en-US"/>
              </w:rPr>
              <w:t>Physical form of the wastes</w:t>
            </w:r>
          </w:p>
        </w:tc>
        <w:tc>
          <w:tcPr>
            <w:tcW w:w="5529" w:type="dxa"/>
            <w:tcBorders>
              <w:top w:val="single" w:sz="4" w:space="0" w:color="000000"/>
              <w:left w:val="single" w:sz="4" w:space="0" w:color="000000"/>
              <w:right w:val="single" w:sz="4" w:space="0" w:color="000000"/>
            </w:tcBorders>
            <w:shd w:val="clear" w:color="auto" w:fill="EAF1DD"/>
          </w:tcPr>
          <w:p w:rsidR="00890CDD" w:rsidRPr="002F7F82" w:rsidRDefault="00890CDD" w:rsidP="0088229A">
            <w:pPr>
              <w:rPr>
                <w:b/>
                <w:lang w:val="en-US"/>
              </w:rPr>
            </w:pPr>
            <w:r w:rsidRPr="002F7F82">
              <w:rPr>
                <w:b/>
                <w:lang w:val="en-US"/>
              </w:rPr>
              <w:t>Type of waste</w:t>
            </w:r>
          </w:p>
        </w:tc>
      </w:tr>
      <w:tr w:rsidR="00890CDD" w:rsidRPr="00394F99" w:rsidTr="0088229A">
        <w:tc>
          <w:tcPr>
            <w:tcW w:w="2694" w:type="dxa"/>
            <w:tcBorders>
              <w:left w:val="single" w:sz="4" w:space="0" w:color="000000"/>
              <w:bottom w:val="single" w:sz="12" w:space="0" w:color="76923C"/>
            </w:tcBorders>
            <w:shd w:val="clear" w:color="auto" w:fill="auto"/>
          </w:tcPr>
          <w:p w:rsidR="00890CDD" w:rsidRPr="00887750" w:rsidRDefault="00890CDD" w:rsidP="0088229A">
            <w:pPr>
              <w:rPr>
                <w:b/>
                <w:lang w:val="en-US"/>
              </w:rPr>
            </w:pPr>
            <w:r w:rsidRPr="00887750">
              <w:rPr>
                <w:b/>
                <w:lang w:val="en-US"/>
              </w:rPr>
              <w:t xml:space="preserve">Liquid </w:t>
            </w:r>
          </w:p>
        </w:tc>
        <w:tc>
          <w:tcPr>
            <w:tcW w:w="5529" w:type="dxa"/>
            <w:tcBorders>
              <w:bottom w:val="single" w:sz="12" w:space="0" w:color="76923C"/>
              <w:right w:val="single" w:sz="4" w:space="0" w:color="000000"/>
            </w:tcBorders>
            <w:shd w:val="clear" w:color="auto" w:fill="auto"/>
          </w:tcPr>
          <w:p w:rsidR="00093BCE" w:rsidRDefault="00890CDD" w:rsidP="00093BCE">
            <w:pPr>
              <w:pStyle w:val="ColorfulList-Accent11"/>
              <w:numPr>
                <w:ilvl w:val="0"/>
                <w:numId w:val="24"/>
              </w:numPr>
              <w:tabs>
                <w:tab w:val="clear" w:pos="1247"/>
                <w:tab w:val="clear" w:pos="1814"/>
                <w:tab w:val="clear" w:pos="2381"/>
                <w:tab w:val="clear" w:pos="2948"/>
                <w:tab w:val="clear" w:pos="3515"/>
              </w:tabs>
              <w:ind w:left="317" w:hanging="284"/>
              <w:contextualSpacing/>
              <w:rPr>
                <w:kern w:val="2"/>
              </w:rPr>
            </w:pPr>
            <w:r w:rsidRPr="00712A35">
              <w:rPr>
                <w:kern w:val="2"/>
              </w:rPr>
              <w:t xml:space="preserve">Obsolete liquid stockpile of pure POPs  </w:t>
            </w:r>
          </w:p>
          <w:p w:rsidR="00093BCE" w:rsidRDefault="00890CDD" w:rsidP="00093BCE">
            <w:pPr>
              <w:pStyle w:val="ColorfulList-Accent11"/>
              <w:numPr>
                <w:ilvl w:val="0"/>
                <w:numId w:val="24"/>
              </w:numPr>
              <w:tabs>
                <w:tab w:val="clear" w:pos="1247"/>
                <w:tab w:val="clear" w:pos="1814"/>
                <w:tab w:val="clear" w:pos="2381"/>
                <w:tab w:val="clear" w:pos="2948"/>
                <w:tab w:val="clear" w:pos="3515"/>
              </w:tabs>
              <w:ind w:left="317" w:hanging="283"/>
              <w:contextualSpacing/>
              <w:rPr>
                <w:kern w:val="2"/>
              </w:rPr>
            </w:pPr>
            <w:r w:rsidRPr="00712A35">
              <w:rPr>
                <w:kern w:val="2"/>
              </w:rPr>
              <w:t xml:space="preserve">Industrial wastewater </w:t>
            </w:r>
          </w:p>
          <w:p w:rsidR="00093BCE" w:rsidRDefault="00890CDD" w:rsidP="00093BCE">
            <w:pPr>
              <w:pStyle w:val="ColorfulList-Accent11"/>
              <w:numPr>
                <w:ilvl w:val="0"/>
                <w:numId w:val="24"/>
              </w:numPr>
              <w:tabs>
                <w:tab w:val="clear" w:pos="1247"/>
                <w:tab w:val="clear" w:pos="1814"/>
                <w:tab w:val="clear" w:pos="2381"/>
                <w:tab w:val="clear" w:pos="2948"/>
                <w:tab w:val="clear" w:pos="3515"/>
              </w:tabs>
              <w:ind w:left="317" w:hanging="283"/>
              <w:contextualSpacing/>
              <w:rPr>
                <w:kern w:val="2"/>
              </w:rPr>
            </w:pPr>
            <w:r w:rsidRPr="00712A35">
              <w:rPr>
                <w:kern w:val="2"/>
              </w:rPr>
              <w:t>Municipal wastewater</w:t>
            </w:r>
          </w:p>
          <w:p w:rsidR="00093BCE" w:rsidRDefault="00890CDD" w:rsidP="00093BCE">
            <w:pPr>
              <w:pStyle w:val="ColorfulList-Accent11"/>
              <w:numPr>
                <w:ilvl w:val="0"/>
                <w:numId w:val="24"/>
              </w:numPr>
              <w:tabs>
                <w:tab w:val="clear" w:pos="1247"/>
                <w:tab w:val="clear" w:pos="1814"/>
                <w:tab w:val="clear" w:pos="2381"/>
                <w:tab w:val="clear" w:pos="2948"/>
                <w:tab w:val="clear" w:pos="3515"/>
              </w:tabs>
              <w:ind w:left="317" w:hanging="283"/>
              <w:contextualSpacing/>
              <w:rPr>
                <w:kern w:val="2"/>
              </w:rPr>
            </w:pPr>
            <w:r w:rsidRPr="00712A35">
              <w:rPr>
                <w:kern w:val="2"/>
              </w:rPr>
              <w:t xml:space="preserve">Landfill </w:t>
            </w:r>
            <w:proofErr w:type="spellStart"/>
            <w:r w:rsidRPr="00712A35">
              <w:rPr>
                <w:kern w:val="2"/>
              </w:rPr>
              <w:t>leachate</w:t>
            </w:r>
            <w:proofErr w:type="spellEnd"/>
            <w:r w:rsidRPr="00712A35">
              <w:rPr>
                <w:kern w:val="2"/>
              </w:rPr>
              <w:t xml:space="preserve"> </w:t>
            </w:r>
          </w:p>
          <w:p w:rsidR="00093BCE" w:rsidRDefault="00890CDD" w:rsidP="00093BCE">
            <w:pPr>
              <w:pStyle w:val="ColorfulList-Accent11"/>
              <w:numPr>
                <w:ilvl w:val="0"/>
                <w:numId w:val="24"/>
              </w:numPr>
              <w:tabs>
                <w:tab w:val="clear" w:pos="1247"/>
                <w:tab w:val="clear" w:pos="1814"/>
                <w:tab w:val="clear" w:pos="2381"/>
                <w:tab w:val="clear" w:pos="2948"/>
                <w:tab w:val="clear" w:pos="3515"/>
              </w:tabs>
              <w:ind w:left="317" w:hanging="283"/>
              <w:contextualSpacing/>
              <w:rPr>
                <w:kern w:val="2"/>
              </w:rPr>
            </w:pPr>
            <w:r w:rsidRPr="00712A35">
              <w:rPr>
                <w:kern w:val="2"/>
              </w:rPr>
              <w:t>Industrial liquid (e.g.</w:t>
            </w:r>
            <w:r w:rsidR="00C531CF" w:rsidRPr="00712A35">
              <w:rPr>
                <w:kern w:val="2"/>
              </w:rPr>
              <w:t>,</w:t>
            </w:r>
            <w:r w:rsidRPr="00712A35">
              <w:rPr>
                <w:kern w:val="2"/>
              </w:rPr>
              <w:t xml:space="preserve"> solvent) </w:t>
            </w:r>
          </w:p>
          <w:p w:rsidR="00093BCE" w:rsidRDefault="00890CDD" w:rsidP="00093BCE">
            <w:pPr>
              <w:pStyle w:val="ColorfulList-Accent11"/>
              <w:numPr>
                <w:ilvl w:val="0"/>
                <w:numId w:val="24"/>
              </w:numPr>
              <w:tabs>
                <w:tab w:val="clear" w:pos="1247"/>
                <w:tab w:val="clear" w:pos="1814"/>
                <w:tab w:val="clear" w:pos="2381"/>
                <w:tab w:val="clear" w:pos="2948"/>
                <w:tab w:val="clear" w:pos="3515"/>
              </w:tabs>
              <w:ind w:left="317" w:hanging="283"/>
              <w:contextualSpacing/>
              <w:rPr>
                <w:kern w:val="2"/>
              </w:rPr>
            </w:pPr>
            <w:r w:rsidRPr="00712A35">
              <w:rPr>
                <w:kern w:val="2"/>
              </w:rPr>
              <w:t>Liquid household products</w:t>
            </w:r>
          </w:p>
          <w:p w:rsidR="00093BCE" w:rsidRDefault="00866F9D" w:rsidP="00093BCE">
            <w:pPr>
              <w:numPr>
                <w:ilvl w:val="0"/>
                <w:numId w:val="24"/>
              </w:numPr>
              <w:tabs>
                <w:tab w:val="clear" w:pos="1247"/>
                <w:tab w:val="clear" w:pos="1814"/>
                <w:tab w:val="clear" w:pos="2381"/>
                <w:tab w:val="clear" w:pos="2948"/>
                <w:tab w:val="clear" w:pos="3515"/>
              </w:tabs>
              <w:ind w:left="317" w:hanging="283"/>
              <w:contextualSpacing/>
              <w:rPr>
                <w:kern w:val="2"/>
                <w:lang w:val="en-CA"/>
              </w:rPr>
            </w:pPr>
            <w:r w:rsidRPr="00712A35">
              <w:rPr>
                <w:kern w:val="2"/>
              </w:rPr>
              <w:t>Liquid fluids (e.g., insulating oils and hydraulic fluids)</w:t>
            </w:r>
          </w:p>
        </w:tc>
      </w:tr>
      <w:tr w:rsidR="00890CDD" w:rsidRPr="00394F99" w:rsidTr="0088229A">
        <w:tc>
          <w:tcPr>
            <w:tcW w:w="2694" w:type="dxa"/>
            <w:tcBorders>
              <w:top w:val="single" w:sz="12" w:space="0" w:color="76923C"/>
              <w:left w:val="single" w:sz="4" w:space="0" w:color="000000"/>
              <w:bottom w:val="single" w:sz="12" w:space="0" w:color="76923C"/>
            </w:tcBorders>
            <w:shd w:val="clear" w:color="auto" w:fill="auto"/>
          </w:tcPr>
          <w:p w:rsidR="00890CDD" w:rsidRPr="00887750" w:rsidRDefault="00890CDD" w:rsidP="0088229A">
            <w:pPr>
              <w:rPr>
                <w:b/>
                <w:lang w:val="en-US"/>
              </w:rPr>
            </w:pPr>
            <w:r w:rsidRPr="00887750">
              <w:rPr>
                <w:b/>
                <w:lang w:val="en-US"/>
              </w:rPr>
              <w:t xml:space="preserve">Solid </w:t>
            </w:r>
          </w:p>
        </w:tc>
        <w:tc>
          <w:tcPr>
            <w:tcW w:w="5529" w:type="dxa"/>
            <w:tcBorders>
              <w:top w:val="single" w:sz="12" w:space="0" w:color="76923C"/>
              <w:bottom w:val="single" w:sz="12" w:space="0" w:color="76923C"/>
              <w:right w:val="single" w:sz="4" w:space="0" w:color="000000"/>
            </w:tcBorders>
            <w:shd w:val="clear" w:color="auto" w:fill="auto"/>
          </w:tcPr>
          <w:p w:rsidR="00093BCE" w:rsidRDefault="00890CDD" w:rsidP="00093BCE">
            <w:pPr>
              <w:pStyle w:val="ColorfulList-Accent11"/>
              <w:numPr>
                <w:ilvl w:val="0"/>
                <w:numId w:val="25"/>
              </w:numPr>
              <w:tabs>
                <w:tab w:val="clear" w:pos="1247"/>
                <w:tab w:val="clear" w:pos="1814"/>
                <w:tab w:val="clear" w:pos="2381"/>
                <w:tab w:val="clear" w:pos="2948"/>
                <w:tab w:val="clear" w:pos="3515"/>
              </w:tabs>
              <w:ind w:left="317" w:hanging="283"/>
              <w:contextualSpacing/>
              <w:rPr>
                <w:kern w:val="2"/>
              </w:rPr>
            </w:pPr>
            <w:r w:rsidRPr="002F7F82">
              <w:rPr>
                <w:kern w:val="2"/>
              </w:rPr>
              <w:t xml:space="preserve">Obsolete solid stockpile of POPs </w:t>
            </w:r>
          </w:p>
          <w:p w:rsidR="00093BCE" w:rsidRDefault="00890CDD" w:rsidP="00093BCE">
            <w:pPr>
              <w:pStyle w:val="ColorfulList-Accent11"/>
              <w:numPr>
                <w:ilvl w:val="0"/>
                <w:numId w:val="25"/>
              </w:numPr>
              <w:tabs>
                <w:tab w:val="clear" w:pos="1247"/>
                <w:tab w:val="clear" w:pos="1814"/>
                <w:tab w:val="clear" w:pos="2381"/>
                <w:tab w:val="clear" w:pos="2948"/>
                <w:tab w:val="clear" w:pos="3515"/>
              </w:tabs>
              <w:ind w:left="317" w:hanging="283"/>
              <w:contextualSpacing/>
              <w:rPr>
                <w:kern w:val="2"/>
              </w:rPr>
            </w:pPr>
            <w:r w:rsidRPr="002F7F82">
              <w:rPr>
                <w:kern w:val="2"/>
              </w:rPr>
              <w:t>Soil, sediment, rock and mine aggregates</w:t>
            </w:r>
          </w:p>
          <w:p w:rsidR="00093BCE" w:rsidRDefault="00890CDD" w:rsidP="00093BCE">
            <w:pPr>
              <w:pStyle w:val="ColorfulList-Accent11"/>
              <w:numPr>
                <w:ilvl w:val="0"/>
                <w:numId w:val="25"/>
              </w:numPr>
              <w:tabs>
                <w:tab w:val="clear" w:pos="1247"/>
                <w:tab w:val="clear" w:pos="1814"/>
                <w:tab w:val="clear" w:pos="2381"/>
                <w:tab w:val="clear" w:pos="2948"/>
                <w:tab w:val="clear" w:pos="3515"/>
              </w:tabs>
              <w:ind w:left="317" w:hanging="283"/>
              <w:contextualSpacing/>
              <w:rPr>
                <w:kern w:val="2"/>
              </w:rPr>
            </w:pPr>
            <w:r w:rsidRPr="002F7F82">
              <w:rPr>
                <w:kern w:val="2"/>
              </w:rPr>
              <w:t>Industrial sludge</w:t>
            </w:r>
          </w:p>
          <w:p w:rsidR="00093BCE" w:rsidRDefault="00890CDD" w:rsidP="00093BCE">
            <w:pPr>
              <w:pStyle w:val="ColorfulList-Accent11"/>
              <w:numPr>
                <w:ilvl w:val="0"/>
                <w:numId w:val="25"/>
              </w:numPr>
              <w:tabs>
                <w:tab w:val="clear" w:pos="1247"/>
                <w:tab w:val="clear" w:pos="1814"/>
                <w:tab w:val="clear" w:pos="2381"/>
                <w:tab w:val="clear" w:pos="2948"/>
                <w:tab w:val="clear" w:pos="3515"/>
              </w:tabs>
              <w:ind w:left="317" w:hanging="283"/>
              <w:contextualSpacing/>
              <w:rPr>
                <w:kern w:val="2"/>
              </w:rPr>
            </w:pPr>
            <w:r w:rsidRPr="002F7F82">
              <w:rPr>
                <w:kern w:val="2"/>
              </w:rPr>
              <w:t xml:space="preserve">Municipal sludge </w:t>
            </w:r>
          </w:p>
          <w:p w:rsidR="00093BCE" w:rsidRDefault="00890CDD" w:rsidP="00093BCE">
            <w:pPr>
              <w:pStyle w:val="ColorfulList-Accent11"/>
              <w:numPr>
                <w:ilvl w:val="0"/>
                <w:numId w:val="25"/>
              </w:numPr>
              <w:tabs>
                <w:tab w:val="clear" w:pos="1247"/>
                <w:tab w:val="clear" w:pos="1814"/>
                <w:tab w:val="clear" w:pos="2381"/>
                <w:tab w:val="clear" w:pos="2948"/>
                <w:tab w:val="clear" w:pos="3515"/>
              </w:tabs>
              <w:ind w:left="317" w:hanging="283"/>
              <w:contextualSpacing/>
              <w:rPr>
                <w:kern w:val="2"/>
              </w:rPr>
            </w:pPr>
            <w:r w:rsidRPr="002F7F82">
              <w:rPr>
                <w:kern w:val="2"/>
              </w:rPr>
              <w:t>Residues from wastewater cleaning (e.g.</w:t>
            </w:r>
            <w:r w:rsidR="00C02897">
              <w:rPr>
                <w:kern w:val="2"/>
              </w:rPr>
              <w:t>,</w:t>
            </w:r>
            <w:r w:rsidRPr="002F7F82">
              <w:rPr>
                <w:kern w:val="2"/>
              </w:rPr>
              <w:t xml:space="preserve"> activated carbon treatment</w:t>
            </w:r>
            <w:r w:rsidR="00EF09C6">
              <w:rPr>
                <w:kern w:val="2"/>
              </w:rPr>
              <w:t>)</w:t>
            </w:r>
          </w:p>
          <w:p w:rsidR="00093BCE" w:rsidRDefault="00890CDD" w:rsidP="00093BCE">
            <w:pPr>
              <w:pStyle w:val="ColorfulList-Accent11"/>
              <w:numPr>
                <w:ilvl w:val="0"/>
                <w:numId w:val="25"/>
              </w:numPr>
              <w:tabs>
                <w:tab w:val="clear" w:pos="1247"/>
                <w:tab w:val="clear" w:pos="1814"/>
                <w:tab w:val="clear" w:pos="2381"/>
                <w:tab w:val="clear" w:pos="2948"/>
                <w:tab w:val="clear" w:pos="3515"/>
              </w:tabs>
              <w:ind w:left="317" w:hanging="283"/>
              <w:contextualSpacing/>
              <w:rPr>
                <w:kern w:val="2"/>
              </w:rPr>
            </w:pPr>
            <w:r w:rsidRPr="002F7F82">
              <w:rPr>
                <w:kern w:val="2"/>
              </w:rPr>
              <w:t>Residues from air pollution control system (e.g.</w:t>
            </w:r>
            <w:r w:rsidR="00C02897">
              <w:rPr>
                <w:kern w:val="2"/>
              </w:rPr>
              <w:t>,</w:t>
            </w:r>
            <w:r w:rsidRPr="002F7F82">
              <w:rPr>
                <w:kern w:val="2"/>
              </w:rPr>
              <w:t xml:space="preserve"> </w:t>
            </w:r>
            <w:r>
              <w:rPr>
                <w:kern w:val="2"/>
              </w:rPr>
              <w:t>fly</w:t>
            </w:r>
            <w:r>
              <w:rPr>
                <w:strike/>
                <w:kern w:val="2"/>
              </w:rPr>
              <w:t xml:space="preserve"> </w:t>
            </w:r>
            <w:r w:rsidRPr="002F7F82">
              <w:rPr>
                <w:kern w:val="2"/>
              </w:rPr>
              <w:t>ashes)</w:t>
            </w:r>
          </w:p>
          <w:p w:rsidR="00093BCE" w:rsidRDefault="00890CDD" w:rsidP="00093BCE">
            <w:pPr>
              <w:pStyle w:val="ColorfulList-Accent11"/>
              <w:numPr>
                <w:ilvl w:val="0"/>
                <w:numId w:val="25"/>
              </w:numPr>
              <w:tabs>
                <w:tab w:val="clear" w:pos="1247"/>
                <w:tab w:val="clear" w:pos="1814"/>
                <w:tab w:val="clear" w:pos="2381"/>
                <w:tab w:val="clear" w:pos="2948"/>
                <w:tab w:val="clear" w:pos="3515"/>
              </w:tabs>
              <w:ind w:left="317" w:hanging="283"/>
              <w:contextualSpacing/>
              <w:rPr>
                <w:kern w:val="2"/>
              </w:rPr>
            </w:pPr>
            <w:r w:rsidRPr="002F7F82">
              <w:rPr>
                <w:kern w:val="2"/>
              </w:rPr>
              <w:t>Dust</w:t>
            </w:r>
          </w:p>
          <w:p w:rsidR="00093BCE" w:rsidRDefault="00890CDD" w:rsidP="00093BCE">
            <w:pPr>
              <w:pStyle w:val="ColorfulList-Accent11"/>
              <w:numPr>
                <w:ilvl w:val="0"/>
                <w:numId w:val="25"/>
              </w:numPr>
              <w:tabs>
                <w:tab w:val="clear" w:pos="1247"/>
                <w:tab w:val="clear" w:pos="1814"/>
                <w:tab w:val="clear" w:pos="2381"/>
                <w:tab w:val="clear" w:pos="2948"/>
                <w:tab w:val="clear" w:pos="3515"/>
              </w:tabs>
              <w:ind w:left="317" w:hanging="283"/>
              <w:contextualSpacing/>
            </w:pPr>
            <w:r>
              <w:rPr>
                <w:kern w:val="2"/>
              </w:rPr>
              <w:t>Upholstery, t</w:t>
            </w:r>
            <w:r w:rsidRPr="002F7F82">
              <w:rPr>
                <w:kern w:val="2"/>
              </w:rPr>
              <w:t>extile, carpets</w:t>
            </w:r>
            <w:r>
              <w:rPr>
                <w:kern w:val="2"/>
              </w:rPr>
              <w:t xml:space="preserve">, rubber </w:t>
            </w:r>
          </w:p>
          <w:p w:rsidR="00093BCE" w:rsidRDefault="00890CDD" w:rsidP="00093BCE">
            <w:pPr>
              <w:pStyle w:val="ColorfulList-Accent11"/>
              <w:numPr>
                <w:ilvl w:val="0"/>
                <w:numId w:val="25"/>
              </w:numPr>
              <w:tabs>
                <w:tab w:val="clear" w:pos="1247"/>
                <w:tab w:val="clear" w:pos="1814"/>
                <w:tab w:val="clear" w:pos="2381"/>
                <w:tab w:val="clear" w:pos="2948"/>
                <w:tab w:val="clear" w:pos="3515"/>
              </w:tabs>
              <w:ind w:left="317" w:hanging="283"/>
              <w:contextualSpacing/>
            </w:pPr>
            <w:r>
              <w:rPr>
                <w:kern w:val="2"/>
              </w:rPr>
              <w:t>Electrical and electronic equipment</w:t>
            </w:r>
          </w:p>
          <w:p w:rsidR="00093BCE" w:rsidRDefault="00890CDD" w:rsidP="00093BCE">
            <w:pPr>
              <w:pStyle w:val="ColorfulList-Accent11"/>
              <w:numPr>
                <w:ilvl w:val="0"/>
                <w:numId w:val="25"/>
              </w:numPr>
              <w:tabs>
                <w:tab w:val="clear" w:pos="1247"/>
                <w:tab w:val="clear" w:pos="1814"/>
                <w:tab w:val="clear" w:pos="2381"/>
                <w:tab w:val="clear" w:pos="2948"/>
                <w:tab w:val="clear" w:pos="3515"/>
              </w:tabs>
              <w:ind w:left="317" w:hanging="283"/>
              <w:contextualSpacing/>
            </w:pPr>
            <w:r w:rsidRPr="002F7F82">
              <w:rPr>
                <w:kern w:val="2"/>
              </w:rPr>
              <w:t>Containers</w:t>
            </w:r>
            <w:r>
              <w:rPr>
                <w:kern w:val="2"/>
              </w:rPr>
              <w:t xml:space="preserve"> and </w:t>
            </w:r>
            <w:r w:rsidRPr="002F7F82">
              <w:t>p</w:t>
            </w:r>
            <w:r w:rsidRPr="002F7F82">
              <w:rPr>
                <w:kern w:val="2"/>
              </w:rPr>
              <w:t xml:space="preserve">ackaging material </w:t>
            </w:r>
          </w:p>
          <w:p w:rsidR="00093BCE" w:rsidRDefault="00890CDD" w:rsidP="00093BCE">
            <w:pPr>
              <w:pStyle w:val="ColorfulList-Accent11"/>
              <w:numPr>
                <w:ilvl w:val="0"/>
                <w:numId w:val="25"/>
              </w:numPr>
              <w:tabs>
                <w:tab w:val="clear" w:pos="1247"/>
                <w:tab w:val="clear" w:pos="1814"/>
                <w:tab w:val="clear" w:pos="2381"/>
                <w:tab w:val="clear" w:pos="2948"/>
                <w:tab w:val="clear" w:pos="3515"/>
              </w:tabs>
              <w:ind w:left="317" w:hanging="283"/>
              <w:contextualSpacing/>
            </w:pPr>
            <w:r w:rsidRPr="00C14605">
              <w:t>Contaminated material</w:t>
            </w:r>
            <w:r>
              <w:t xml:space="preserve"> (e.g.</w:t>
            </w:r>
            <w:r w:rsidR="00C02897">
              <w:t>,</w:t>
            </w:r>
            <w:r>
              <w:t xml:space="preserve"> clothing)</w:t>
            </w:r>
          </w:p>
          <w:p w:rsidR="00093BCE" w:rsidRDefault="00890CDD" w:rsidP="00093BCE">
            <w:pPr>
              <w:pStyle w:val="ColorfulList-Accent11"/>
              <w:numPr>
                <w:ilvl w:val="0"/>
                <w:numId w:val="25"/>
              </w:numPr>
              <w:tabs>
                <w:tab w:val="clear" w:pos="1247"/>
                <w:tab w:val="clear" w:pos="1814"/>
                <w:tab w:val="clear" w:pos="2381"/>
                <w:tab w:val="clear" w:pos="2948"/>
                <w:tab w:val="clear" w:pos="3515"/>
              </w:tabs>
              <w:ind w:left="317" w:hanging="283"/>
              <w:contextualSpacing/>
            </w:pPr>
            <w:r>
              <w:t xml:space="preserve">Vehicle and </w:t>
            </w:r>
            <w:r w:rsidRPr="002F7F82">
              <w:rPr>
                <w:kern w:val="2"/>
              </w:rPr>
              <w:t>shredder vehicle</w:t>
            </w:r>
            <w:r w:rsidRPr="002F7F82">
              <w:t xml:space="preserve"> </w:t>
            </w:r>
            <w:r w:rsidRPr="002F7F82">
              <w:rPr>
                <w:kern w:val="2"/>
              </w:rPr>
              <w:t>fluff</w:t>
            </w:r>
          </w:p>
          <w:p w:rsidR="00093BCE" w:rsidRDefault="00890CDD" w:rsidP="00093BCE">
            <w:pPr>
              <w:pStyle w:val="ColorfulList-Accent11"/>
              <w:numPr>
                <w:ilvl w:val="0"/>
                <w:numId w:val="25"/>
              </w:numPr>
              <w:tabs>
                <w:tab w:val="clear" w:pos="1247"/>
                <w:tab w:val="clear" w:pos="1814"/>
                <w:tab w:val="clear" w:pos="2381"/>
                <w:tab w:val="clear" w:pos="2948"/>
                <w:tab w:val="clear" w:pos="3515"/>
              </w:tabs>
              <w:ind w:left="317" w:hanging="283"/>
              <w:contextualSpacing/>
            </w:pPr>
            <w:r>
              <w:rPr>
                <w:kern w:val="2"/>
              </w:rPr>
              <w:t>P</w:t>
            </w:r>
            <w:r w:rsidRPr="002F7F82">
              <w:rPr>
                <w:kern w:val="2"/>
              </w:rPr>
              <w:t>lastic, paper, metal</w:t>
            </w:r>
            <w:r>
              <w:rPr>
                <w:kern w:val="2"/>
              </w:rPr>
              <w:t>, wood</w:t>
            </w:r>
            <w:r w:rsidRPr="002F7F82">
              <w:rPr>
                <w:kern w:val="2"/>
              </w:rPr>
              <w:t xml:space="preserve"> </w:t>
            </w:r>
          </w:p>
          <w:p w:rsidR="00093BCE" w:rsidRDefault="00890CDD" w:rsidP="00093BCE">
            <w:pPr>
              <w:pStyle w:val="ColorfulList-Accent11"/>
              <w:numPr>
                <w:ilvl w:val="0"/>
                <w:numId w:val="25"/>
              </w:numPr>
              <w:tabs>
                <w:tab w:val="clear" w:pos="1247"/>
                <w:tab w:val="clear" w:pos="1814"/>
                <w:tab w:val="clear" w:pos="2381"/>
                <w:tab w:val="clear" w:pos="2948"/>
                <w:tab w:val="clear" w:pos="3515"/>
              </w:tabs>
              <w:ind w:left="317" w:hanging="283"/>
              <w:contextualSpacing/>
              <w:rPr>
                <w:kern w:val="2"/>
              </w:rPr>
            </w:pPr>
            <w:r w:rsidRPr="002F7F82">
              <w:t>D</w:t>
            </w:r>
            <w:r w:rsidRPr="002F7F82">
              <w:rPr>
                <w:kern w:val="2"/>
              </w:rPr>
              <w:t xml:space="preserve">emolition </w:t>
            </w:r>
            <w:r>
              <w:rPr>
                <w:kern w:val="2"/>
              </w:rPr>
              <w:t xml:space="preserve">material (painted materials, resin-based flooring, sealants, sealed glazing units, insulation boards) </w:t>
            </w:r>
          </w:p>
          <w:p w:rsidR="00093BCE" w:rsidRDefault="00890CDD" w:rsidP="00093BCE">
            <w:pPr>
              <w:pStyle w:val="ColorfulList-Accent11"/>
              <w:numPr>
                <w:ilvl w:val="0"/>
                <w:numId w:val="25"/>
              </w:numPr>
              <w:tabs>
                <w:tab w:val="clear" w:pos="1247"/>
                <w:tab w:val="clear" w:pos="1814"/>
                <w:tab w:val="clear" w:pos="2381"/>
                <w:tab w:val="clear" w:pos="2948"/>
                <w:tab w:val="clear" w:pos="3515"/>
              </w:tabs>
              <w:ind w:left="317" w:hanging="283"/>
              <w:contextualSpacing/>
              <w:rPr>
                <w:kern w:val="2"/>
              </w:rPr>
            </w:pPr>
            <w:r>
              <w:rPr>
                <w:kern w:val="2"/>
              </w:rPr>
              <w:t>Fire suppression foam equipment</w:t>
            </w:r>
          </w:p>
        </w:tc>
      </w:tr>
      <w:tr w:rsidR="00890CDD" w:rsidRPr="00394F99" w:rsidTr="0088229A">
        <w:tc>
          <w:tcPr>
            <w:tcW w:w="2694" w:type="dxa"/>
            <w:tcBorders>
              <w:top w:val="single" w:sz="12" w:space="0" w:color="76923C"/>
              <w:left w:val="single" w:sz="4" w:space="0" w:color="000000"/>
              <w:bottom w:val="single" w:sz="4" w:space="0" w:color="000000"/>
              <w:right w:val="single" w:sz="4" w:space="0" w:color="000000"/>
            </w:tcBorders>
            <w:shd w:val="clear" w:color="auto" w:fill="auto"/>
          </w:tcPr>
          <w:p w:rsidR="00890CDD" w:rsidRPr="00887750" w:rsidRDefault="00890CDD" w:rsidP="0088229A">
            <w:pPr>
              <w:rPr>
                <w:b/>
                <w:lang w:val="en-US"/>
              </w:rPr>
            </w:pPr>
            <w:r w:rsidRPr="00887750">
              <w:rPr>
                <w:b/>
                <w:lang w:val="en-US"/>
              </w:rPr>
              <w:t>Gas</w:t>
            </w:r>
          </w:p>
        </w:tc>
        <w:tc>
          <w:tcPr>
            <w:tcW w:w="5529" w:type="dxa"/>
            <w:tcBorders>
              <w:top w:val="single" w:sz="12" w:space="0" w:color="76923C"/>
              <w:left w:val="single" w:sz="4" w:space="0" w:color="000000"/>
              <w:bottom w:val="single" w:sz="4" w:space="0" w:color="000000"/>
              <w:right w:val="single" w:sz="4" w:space="0" w:color="000000"/>
            </w:tcBorders>
            <w:shd w:val="clear" w:color="auto" w:fill="auto"/>
          </w:tcPr>
          <w:p w:rsidR="00093BCE" w:rsidRDefault="00890CDD" w:rsidP="00093BCE">
            <w:pPr>
              <w:pStyle w:val="ColorfulList-Accent11"/>
              <w:numPr>
                <w:ilvl w:val="0"/>
                <w:numId w:val="26"/>
              </w:numPr>
              <w:tabs>
                <w:tab w:val="clear" w:pos="1247"/>
                <w:tab w:val="clear" w:pos="1814"/>
                <w:tab w:val="clear" w:pos="2381"/>
                <w:tab w:val="clear" w:pos="2948"/>
                <w:tab w:val="clear" w:pos="3515"/>
              </w:tabs>
              <w:ind w:left="317" w:hanging="283"/>
              <w:contextualSpacing/>
            </w:pPr>
            <w:r w:rsidRPr="002F7F82">
              <w:rPr>
                <w:kern w:val="2"/>
              </w:rPr>
              <w:t xml:space="preserve">Landfill gas </w:t>
            </w:r>
          </w:p>
          <w:p w:rsidR="00093BCE" w:rsidRDefault="00890CDD" w:rsidP="00093BCE">
            <w:pPr>
              <w:pStyle w:val="ColorfulList-Accent11"/>
              <w:numPr>
                <w:ilvl w:val="0"/>
                <w:numId w:val="26"/>
              </w:numPr>
              <w:tabs>
                <w:tab w:val="clear" w:pos="1247"/>
                <w:tab w:val="clear" w:pos="1814"/>
                <w:tab w:val="clear" w:pos="2381"/>
                <w:tab w:val="clear" w:pos="2948"/>
                <w:tab w:val="clear" w:pos="3515"/>
              </w:tabs>
              <w:ind w:left="317" w:hanging="283"/>
              <w:contextualSpacing/>
            </w:pPr>
            <w:r>
              <w:t>Gas from i</w:t>
            </w:r>
            <w:r w:rsidRPr="002F7F82">
              <w:t xml:space="preserve">ncineration </w:t>
            </w:r>
            <w:r>
              <w:t>facilities</w:t>
            </w:r>
            <w:r w:rsidRPr="002F7F82">
              <w:t xml:space="preserve"> </w:t>
            </w:r>
          </w:p>
          <w:p w:rsidR="00093BCE" w:rsidRDefault="00890CDD" w:rsidP="00093BCE">
            <w:pPr>
              <w:pStyle w:val="ColorfulList-Accent11"/>
              <w:numPr>
                <w:ilvl w:val="0"/>
                <w:numId w:val="26"/>
              </w:numPr>
              <w:tabs>
                <w:tab w:val="clear" w:pos="1247"/>
                <w:tab w:val="clear" w:pos="1814"/>
                <w:tab w:val="clear" w:pos="2381"/>
                <w:tab w:val="clear" w:pos="2948"/>
                <w:tab w:val="clear" w:pos="3515"/>
              </w:tabs>
              <w:ind w:left="317" w:hanging="283"/>
              <w:contextualSpacing/>
            </w:pPr>
            <w:r>
              <w:t xml:space="preserve">Gas from recycling facilities </w:t>
            </w:r>
          </w:p>
          <w:p w:rsidR="00093BCE" w:rsidRDefault="00890CDD" w:rsidP="00093BCE">
            <w:pPr>
              <w:pStyle w:val="ColorfulList-Accent11"/>
              <w:numPr>
                <w:ilvl w:val="0"/>
                <w:numId w:val="26"/>
              </w:numPr>
              <w:tabs>
                <w:tab w:val="clear" w:pos="1247"/>
                <w:tab w:val="clear" w:pos="1814"/>
                <w:tab w:val="clear" w:pos="2381"/>
                <w:tab w:val="clear" w:pos="2948"/>
                <w:tab w:val="clear" w:pos="3515"/>
              </w:tabs>
              <w:ind w:left="317" w:hanging="283"/>
              <w:contextualSpacing/>
            </w:pPr>
            <w:r>
              <w:t>Gas from certain (i</w:t>
            </w:r>
            <w:r w:rsidRPr="002F7F82">
              <w:t>ndustrial</w:t>
            </w:r>
            <w:r>
              <w:t>)</w:t>
            </w:r>
            <w:r w:rsidRPr="002F7F82">
              <w:t xml:space="preserve"> process</w:t>
            </w:r>
            <w:r>
              <w:t>es</w:t>
            </w:r>
          </w:p>
        </w:tc>
      </w:tr>
    </w:tbl>
    <w:p w:rsidR="00890CDD" w:rsidRDefault="00890CDD" w:rsidP="004756B6">
      <w:pPr>
        <w:pStyle w:val="Paralevel1"/>
        <w:numPr>
          <w:ilvl w:val="0"/>
          <w:numId w:val="0"/>
        </w:numPr>
        <w:ind w:left="1713"/>
      </w:pPr>
    </w:p>
    <w:p w:rsidR="00890CDD" w:rsidRPr="007D6E1B" w:rsidRDefault="00890CDD" w:rsidP="00980527">
      <w:pPr>
        <w:pStyle w:val="Paralevel1"/>
        <w:tabs>
          <w:tab w:val="clear" w:pos="1843"/>
          <w:tab w:val="left" w:pos="1701"/>
        </w:tabs>
        <w:ind w:left="1134" w:firstLine="0"/>
      </w:pPr>
      <w:r w:rsidRPr="007D6E1B">
        <w:t xml:space="preserve">In </w:t>
      </w:r>
      <w:r w:rsidR="00EF09C6">
        <w:t xml:space="preserve">Article 6, </w:t>
      </w:r>
      <w:r w:rsidRPr="007D6E1B">
        <w:t>paragraph 1</w:t>
      </w:r>
      <w:r w:rsidR="00182AD6">
        <w:t>,</w:t>
      </w:r>
      <w:r w:rsidRPr="007D6E1B">
        <w:t xml:space="preserve"> the Stockholm Convention requires</w:t>
      </w:r>
      <w:r w:rsidR="00FA42EF" w:rsidRPr="00FA42EF">
        <w:t xml:space="preserve"> </w:t>
      </w:r>
      <w:r w:rsidR="00EF09C6">
        <w:t xml:space="preserve">each </w:t>
      </w:r>
      <w:r w:rsidR="00405DFE" w:rsidRPr="0061097D">
        <w:t>p</w:t>
      </w:r>
      <w:r w:rsidR="00EF09C6">
        <w:t>arty to</w:t>
      </w:r>
      <w:r w:rsidRPr="007D6E1B">
        <w:t>:</w:t>
      </w:r>
    </w:p>
    <w:p w:rsidR="00890CDD" w:rsidRPr="007D6E1B" w:rsidRDefault="0092748C" w:rsidP="00795341">
      <w:pPr>
        <w:tabs>
          <w:tab w:val="clear" w:pos="1247"/>
          <w:tab w:val="clear" w:pos="1814"/>
          <w:tab w:val="clear" w:pos="2381"/>
          <w:tab w:val="left" w:pos="2268"/>
        </w:tabs>
        <w:spacing w:after="120"/>
        <w:ind w:left="1134" w:firstLine="567"/>
      </w:pPr>
      <w:r>
        <w:rPr>
          <w:rFonts w:eastAsia="SimSun"/>
          <w:lang w:val="en-US"/>
        </w:rPr>
        <w:t>(a)</w:t>
      </w:r>
      <w:r>
        <w:rPr>
          <w:rFonts w:eastAsia="SimSun"/>
          <w:lang w:val="en-US"/>
        </w:rPr>
        <w:tab/>
        <w:t>Develop</w:t>
      </w:r>
      <w:r w:rsidR="00EF09C6">
        <w:rPr>
          <w:rFonts w:eastAsia="SimSun"/>
          <w:lang w:val="en-US"/>
        </w:rPr>
        <w:t xml:space="preserve"> </w:t>
      </w:r>
      <w:r>
        <w:rPr>
          <w:rFonts w:eastAsia="SimSun"/>
          <w:lang w:val="en-US"/>
        </w:rPr>
        <w:t xml:space="preserve">appropriate strategies for the identification of stockpiles consisting of or containing chemicals listed either in Annex A or Annex B and </w:t>
      </w:r>
      <w:r w:rsidR="00EF09C6">
        <w:rPr>
          <w:rFonts w:eastAsia="SimSun"/>
          <w:lang w:val="en-US"/>
        </w:rPr>
        <w:t xml:space="preserve">of </w:t>
      </w:r>
      <w:r>
        <w:rPr>
          <w:rFonts w:eastAsia="SimSun"/>
          <w:lang w:val="en-US"/>
        </w:rPr>
        <w:t xml:space="preserve">products and articles in use and wastes consisting of, containing or contaminated with </w:t>
      </w:r>
      <w:r>
        <w:t xml:space="preserve">a chemical listed in Annex A, B or C; and </w:t>
      </w:r>
    </w:p>
    <w:p w:rsidR="00890CDD" w:rsidRDefault="0092748C" w:rsidP="00795341">
      <w:pPr>
        <w:tabs>
          <w:tab w:val="clear" w:pos="1247"/>
          <w:tab w:val="clear" w:pos="1814"/>
          <w:tab w:val="clear" w:pos="2381"/>
          <w:tab w:val="left" w:pos="2268"/>
        </w:tabs>
        <w:spacing w:after="120"/>
        <w:ind w:left="1134" w:firstLine="567"/>
      </w:pPr>
      <w:r>
        <w:t>(b)</w:t>
      </w:r>
      <w:r>
        <w:tab/>
        <w:t>Identif</w:t>
      </w:r>
      <w:r w:rsidR="00EF09C6">
        <w:t>y</w:t>
      </w:r>
      <w:r w:rsidR="00182AD6">
        <w:t>,</w:t>
      </w:r>
      <w:r>
        <w:t xml:space="preserve"> to the extent practicable, </w:t>
      </w:r>
      <w:r w:rsidR="00890CDD" w:rsidRPr="007D6E1B">
        <w:t>stockpiles consisting of or containing chemicals listed either in Annex A or Annex B on the basis of the strategies referred to in subparagraph (a).</w:t>
      </w:r>
    </w:p>
    <w:p w:rsidR="00890CDD" w:rsidRDefault="00890CDD" w:rsidP="00980527">
      <w:pPr>
        <w:pStyle w:val="Paralevel1"/>
        <w:tabs>
          <w:tab w:val="clear" w:pos="1843"/>
          <w:tab w:val="left" w:pos="1701"/>
        </w:tabs>
        <w:ind w:left="1134" w:firstLine="0"/>
      </w:pPr>
      <w:r>
        <w:t xml:space="preserve">The list of source categories provided in Annex C to the Stockholm Convention can assist industrial managers and government regulators, and the general public, in identifying </w:t>
      </w:r>
      <w:r w:rsidR="00306E1B">
        <w:t xml:space="preserve">unintentionally produced </w:t>
      </w:r>
      <w:r>
        <w:t xml:space="preserve">POP wastes. </w:t>
      </w:r>
    </w:p>
    <w:p w:rsidR="00E8028C" w:rsidRDefault="003760F3">
      <w:pPr>
        <w:pStyle w:val="Heading3"/>
        <w:spacing w:before="240" w:after="120"/>
        <w:ind w:left="1134" w:hanging="425"/>
        <w:rPr>
          <w:b w:val="0"/>
        </w:rPr>
      </w:pPr>
      <w:bookmarkStart w:id="484" w:name="_Toc59943358"/>
      <w:bookmarkStart w:id="485" w:name="_Toc59943523"/>
      <w:bookmarkStart w:id="486" w:name="_Toc59943581"/>
      <w:bookmarkStart w:id="487" w:name="_Toc59943674"/>
      <w:bookmarkStart w:id="488" w:name="_Toc61328039"/>
      <w:bookmarkStart w:id="489" w:name="_Toc61681680"/>
      <w:bookmarkStart w:id="490" w:name="_Toc61681749"/>
      <w:bookmarkStart w:id="491" w:name="_Toc62220545"/>
      <w:bookmarkStart w:id="492" w:name="_Toc95280673"/>
      <w:bookmarkStart w:id="493" w:name="_Toc145395120"/>
      <w:bookmarkStart w:id="494" w:name="_Toc161804573"/>
      <w:bookmarkStart w:id="495" w:name="_Toc405988646"/>
      <w:bookmarkStart w:id="496" w:name="_Toc437340539"/>
      <w:r w:rsidRPr="003760F3">
        <w:rPr>
          <w:szCs w:val="20"/>
        </w:rPr>
        <w:t>2.</w:t>
      </w:r>
      <w:r w:rsidRPr="003760F3">
        <w:rPr>
          <w:szCs w:val="20"/>
        </w:rPr>
        <w:tab/>
        <w:t>Inventories</w:t>
      </w:r>
      <w:bookmarkEnd w:id="484"/>
      <w:bookmarkEnd w:id="485"/>
      <w:bookmarkEnd w:id="486"/>
      <w:bookmarkEnd w:id="487"/>
      <w:bookmarkEnd w:id="488"/>
      <w:bookmarkEnd w:id="489"/>
      <w:bookmarkEnd w:id="490"/>
      <w:bookmarkEnd w:id="491"/>
      <w:bookmarkEnd w:id="492"/>
      <w:bookmarkEnd w:id="493"/>
      <w:bookmarkEnd w:id="494"/>
      <w:bookmarkEnd w:id="495"/>
      <w:bookmarkEnd w:id="496"/>
      <w:r w:rsidRPr="003760F3">
        <w:rPr>
          <w:szCs w:val="20"/>
        </w:rPr>
        <w:t xml:space="preserve"> </w:t>
      </w:r>
    </w:p>
    <w:p w:rsidR="00890CDD" w:rsidRDefault="00890CDD" w:rsidP="00980527">
      <w:pPr>
        <w:pStyle w:val="Paralevel1"/>
        <w:tabs>
          <w:tab w:val="clear" w:pos="1843"/>
          <w:tab w:val="left" w:pos="1701"/>
        </w:tabs>
        <w:ind w:left="1134" w:firstLine="0"/>
      </w:pPr>
      <w:r>
        <w:rPr>
          <w:iCs/>
        </w:rPr>
        <w:t>Inventories a</w:t>
      </w:r>
      <w:r>
        <w:t xml:space="preserve">re an important tool for identifying, quantifying and characterizing </w:t>
      </w:r>
      <w:r w:rsidR="008A6A07">
        <w:t xml:space="preserve">POP </w:t>
      </w:r>
      <w:r>
        <w:t>wastes.</w:t>
      </w:r>
    </w:p>
    <w:p w:rsidR="00890CDD" w:rsidRDefault="008A6A07" w:rsidP="00980527">
      <w:pPr>
        <w:pStyle w:val="Paralevel1"/>
        <w:tabs>
          <w:tab w:val="clear" w:pos="1843"/>
          <w:tab w:val="left" w:pos="1701"/>
        </w:tabs>
        <w:ind w:left="1134" w:firstLine="0"/>
      </w:pPr>
      <w:r>
        <w:t xml:space="preserve">Stockholm Convention </w:t>
      </w:r>
      <w:r w:rsidR="00712A35">
        <w:t>a</w:t>
      </w:r>
      <w:r>
        <w:t>rticles 5</w:t>
      </w:r>
      <w:r w:rsidR="00CD080B">
        <w:t xml:space="preserve">, paragraph </w:t>
      </w:r>
      <w:r w:rsidR="00D567F6">
        <w:t>(</w:t>
      </w:r>
      <w:r>
        <w:t>a</w:t>
      </w:r>
      <w:r w:rsidR="00D567F6">
        <w:t>), 6</w:t>
      </w:r>
      <w:r w:rsidR="00CD080B">
        <w:t>,</w:t>
      </w:r>
      <w:r w:rsidR="00D567F6">
        <w:t xml:space="preserve"> paragraph 1(a)</w:t>
      </w:r>
      <w:r w:rsidR="00CD080B">
        <w:t>,</w:t>
      </w:r>
      <w:r w:rsidR="00D567F6">
        <w:t xml:space="preserve"> and 11</w:t>
      </w:r>
      <w:r w:rsidR="00CD080B">
        <w:t>,</w:t>
      </w:r>
      <w:r w:rsidR="00D567F6">
        <w:t xml:space="preserve"> paragraph </w:t>
      </w:r>
      <w:r>
        <w:t>1</w:t>
      </w:r>
      <w:r w:rsidR="00CD080B">
        <w:t>,</w:t>
      </w:r>
      <w:r>
        <w:t xml:space="preserve"> provide elements that contribute to the identification of waste</w:t>
      </w:r>
      <w:r w:rsidR="00CD080B">
        <w:t>-</w:t>
      </w:r>
      <w:r>
        <w:t xml:space="preserve">related sources of POPs. </w:t>
      </w:r>
      <w:r w:rsidR="00890CDD">
        <w:t xml:space="preserve">For the purpose of the </w:t>
      </w:r>
      <w:r w:rsidR="002244D1">
        <w:t>ESM</w:t>
      </w:r>
      <w:r w:rsidR="00890CDD">
        <w:t xml:space="preserve"> of wastes, a more specific and complete inventory may be needed. </w:t>
      </w:r>
    </w:p>
    <w:p w:rsidR="00890CDD" w:rsidRDefault="00890CDD" w:rsidP="00980527">
      <w:pPr>
        <w:pStyle w:val="Paralevel1"/>
        <w:tabs>
          <w:tab w:val="clear" w:pos="1843"/>
          <w:tab w:val="left" w:pos="1701"/>
        </w:tabs>
        <w:ind w:left="1134" w:firstLine="0"/>
      </w:pPr>
      <w:r>
        <w:t>When developing an inventory, priority should be given to the identification of important waste streams in terms of high volume and high POP concentrations. National inventories may be used:</w:t>
      </w:r>
    </w:p>
    <w:p w:rsidR="00890CDD" w:rsidRDefault="00890CDD" w:rsidP="00795341">
      <w:pPr>
        <w:tabs>
          <w:tab w:val="clear" w:pos="1247"/>
          <w:tab w:val="clear" w:pos="1814"/>
          <w:tab w:val="clear" w:pos="2381"/>
          <w:tab w:val="left" w:pos="2268"/>
        </w:tabs>
        <w:spacing w:after="120"/>
        <w:ind w:left="1134" w:firstLine="567"/>
      </w:pPr>
      <w:r>
        <w:t>(a)</w:t>
      </w:r>
      <w:r>
        <w:tab/>
        <w:t>To establish a baseline quantity of products, articles and POP wastes;</w:t>
      </w:r>
    </w:p>
    <w:p w:rsidR="00890CDD" w:rsidRDefault="00890CDD" w:rsidP="00795341">
      <w:pPr>
        <w:tabs>
          <w:tab w:val="clear" w:pos="1247"/>
          <w:tab w:val="clear" w:pos="1814"/>
          <w:tab w:val="clear" w:pos="2381"/>
          <w:tab w:val="left" w:pos="2268"/>
        </w:tabs>
        <w:spacing w:after="120"/>
        <w:ind w:left="1134" w:firstLine="567"/>
      </w:pPr>
      <w:r>
        <w:t>(b)</w:t>
      </w:r>
      <w:r>
        <w:tab/>
        <w:t>To establish an information registry to assist with safety and regulatory inspections;</w:t>
      </w:r>
    </w:p>
    <w:p w:rsidR="00890CDD" w:rsidRDefault="00890CDD" w:rsidP="00795341">
      <w:pPr>
        <w:tabs>
          <w:tab w:val="clear" w:pos="1247"/>
          <w:tab w:val="clear" w:pos="1814"/>
          <w:tab w:val="clear" w:pos="2381"/>
          <w:tab w:val="left" w:pos="2268"/>
        </w:tabs>
        <w:spacing w:after="120"/>
        <w:ind w:left="1134" w:firstLine="567"/>
      </w:pPr>
      <w:r>
        <w:t>(c)</w:t>
      </w:r>
      <w:r>
        <w:tab/>
        <w:t>To obtain the accurate information needed to draw up plans for site stabilization;</w:t>
      </w:r>
    </w:p>
    <w:p w:rsidR="00890CDD" w:rsidRDefault="00890CDD" w:rsidP="00795341">
      <w:pPr>
        <w:tabs>
          <w:tab w:val="clear" w:pos="1247"/>
          <w:tab w:val="clear" w:pos="1814"/>
          <w:tab w:val="clear" w:pos="2381"/>
          <w:tab w:val="left" w:pos="2268"/>
        </w:tabs>
        <w:spacing w:after="120"/>
        <w:ind w:left="1134" w:firstLine="567"/>
      </w:pPr>
      <w:r>
        <w:t>(d)</w:t>
      </w:r>
      <w:r>
        <w:tab/>
        <w:t xml:space="preserve">To assist with the preparation of emergency response plans; </w:t>
      </w:r>
      <w:r w:rsidR="00E608F6">
        <w:t>and</w:t>
      </w:r>
    </w:p>
    <w:p w:rsidR="00890CDD" w:rsidRDefault="00890CDD" w:rsidP="00795341">
      <w:pPr>
        <w:tabs>
          <w:tab w:val="clear" w:pos="1247"/>
          <w:tab w:val="clear" w:pos="1814"/>
          <w:tab w:val="clear" w:pos="2381"/>
          <w:tab w:val="left" w:pos="2268"/>
        </w:tabs>
        <w:spacing w:after="120"/>
        <w:ind w:left="1134" w:firstLine="567"/>
      </w:pPr>
      <w:r>
        <w:t>(e)</w:t>
      </w:r>
      <w:r>
        <w:tab/>
        <w:t xml:space="preserve">To track progress towards minimizing and phasing out POPs. </w:t>
      </w:r>
    </w:p>
    <w:p w:rsidR="00890CDD" w:rsidRPr="00161EBE" w:rsidRDefault="00890CDD" w:rsidP="00980527">
      <w:pPr>
        <w:pStyle w:val="Paralevel1"/>
        <w:tabs>
          <w:tab w:val="clear" w:pos="1843"/>
          <w:tab w:val="left" w:pos="1701"/>
        </w:tabs>
        <w:ind w:left="1134" w:firstLine="0"/>
      </w:pPr>
      <w:r>
        <w:t xml:space="preserve">For further information on the development of national inventories, </w:t>
      </w:r>
      <w:r w:rsidR="009C3CF0">
        <w:t xml:space="preserve">consult </w:t>
      </w:r>
      <w:r>
        <w:t xml:space="preserve">the </w:t>
      </w:r>
      <w:r w:rsidR="00405DFE" w:rsidRPr="00405DFE">
        <w:rPr>
          <w:i/>
        </w:rPr>
        <w:t>Methodological guide for the development of inventories of hazardous wastes and other wastes under the Basel Convention</w:t>
      </w:r>
      <w:r w:rsidR="00712A35">
        <w:rPr>
          <w:i/>
        </w:rPr>
        <w:t xml:space="preserve"> </w:t>
      </w:r>
      <w:r w:rsidR="00E608F6">
        <w:t>(</w:t>
      </w:r>
      <w:r w:rsidR="00D12CF3">
        <w:t>UNEP, 2015</w:t>
      </w:r>
      <w:r w:rsidR="00735A70">
        <w:t>j</w:t>
      </w:r>
      <w:r w:rsidR="00D95AEB">
        <w:t>)</w:t>
      </w:r>
      <w:r>
        <w:t xml:space="preserve">. </w:t>
      </w:r>
      <w:r w:rsidR="009C3CF0">
        <w:t xml:space="preserve">The guide </w:t>
      </w:r>
      <w:r>
        <w:t xml:space="preserve">focuses on the actions </w:t>
      </w:r>
      <w:r w:rsidR="00306E1B">
        <w:t xml:space="preserve">recommended </w:t>
      </w:r>
      <w:r>
        <w:t xml:space="preserve">to develop the national information systems that produce the information needed to assist </w:t>
      </w:r>
      <w:r w:rsidRPr="00161EBE">
        <w:t xml:space="preserve">countries in fulfilling their reporting obligations under the Basel Convention. </w:t>
      </w:r>
    </w:p>
    <w:p w:rsidR="00890CDD" w:rsidRPr="00161EBE" w:rsidRDefault="00890CDD" w:rsidP="00980527">
      <w:pPr>
        <w:pStyle w:val="Paralevel1"/>
        <w:tabs>
          <w:tab w:val="clear" w:pos="1843"/>
          <w:tab w:val="left" w:pos="1701"/>
        </w:tabs>
        <w:ind w:left="1134" w:firstLine="0"/>
        <w:rPr>
          <w:color w:val="548DD4"/>
        </w:rPr>
      </w:pPr>
      <w:r w:rsidRPr="00161EBE">
        <w:t>Guidance documents for the inventory of specific POPs are also available (e.g.</w:t>
      </w:r>
      <w:r w:rsidR="00575183">
        <w:t>,</w:t>
      </w:r>
      <w:r w:rsidRPr="00161EBE">
        <w:t xml:space="preserve"> </w:t>
      </w:r>
      <w:r w:rsidR="00CC3849" w:rsidRPr="00161EBE">
        <w:t xml:space="preserve">PCBs, </w:t>
      </w:r>
      <w:r w:rsidRPr="00161EBE">
        <w:t>PFOS and P</w:t>
      </w:r>
      <w:r w:rsidR="002764A3" w:rsidRPr="00161EBE">
        <w:t>OP-</w:t>
      </w:r>
      <w:r w:rsidRPr="00161EBE">
        <w:t>BDEs)</w:t>
      </w:r>
      <w:r w:rsidR="00575183">
        <w:t>,</w:t>
      </w:r>
      <w:r w:rsidRPr="00161EBE">
        <w:rPr>
          <w:rStyle w:val="FootnoteReference"/>
        </w:rPr>
        <w:footnoteReference w:id="39"/>
      </w:r>
      <w:r w:rsidR="00575183">
        <w:t xml:space="preserve"> as is guidance </w:t>
      </w:r>
      <w:r w:rsidR="00027E11" w:rsidRPr="00161EBE">
        <w:rPr>
          <w:lang w:val="en-GB"/>
        </w:rPr>
        <w:t>for developing release inventories of unintentionally generated POPs</w:t>
      </w:r>
      <w:r w:rsidR="00182AD6">
        <w:rPr>
          <w:lang w:val="en-GB"/>
        </w:rPr>
        <w:t xml:space="preserve"> (see </w:t>
      </w:r>
      <w:r w:rsidR="00405DFE" w:rsidRPr="00405DFE">
        <w:rPr>
          <w:i/>
          <w:lang w:eastAsia="zh-CN"/>
        </w:rPr>
        <w:t>Toolkit for Identification and Quantification of Releases of Dioxins, Furans and Other Unintentional Persistent Organic Pollutants under Article 5 of the Stockholm Convention</w:t>
      </w:r>
      <w:r w:rsidR="004B7A91">
        <w:rPr>
          <w:lang w:eastAsia="zh-CN"/>
        </w:rPr>
        <w:t xml:space="preserve"> (</w:t>
      </w:r>
      <w:r w:rsidR="00027E11" w:rsidRPr="00161EBE">
        <w:rPr>
          <w:lang w:eastAsia="zh-CN"/>
        </w:rPr>
        <w:t>UNEP, 2013</w:t>
      </w:r>
      <w:r w:rsidR="00827D93" w:rsidRPr="00161EBE">
        <w:rPr>
          <w:lang w:eastAsia="zh-CN"/>
        </w:rPr>
        <w:t>b</w:t>
      </w:r>
      <w:r w:rsidR="004B7A91">
        <w:rPr>
          <w:lang w:eastAsia="zh-CN"/>
        </w:rPr>
        <w:t>)</w:t>
      </w:r>
      <w:r w:rsidR="00182AD6">
        <w:rPr>
          <w:lang w:eastAsia="zh-CN"/>
        </w:rPr>
        <w:t>)</w:t>
      </w:r>
      <w:r w:rsidR="00027E11" w:rsidRPr="00161EBE">
        <w:rPr>
          <w:lang w:eastAsia="zh-CN"/>
        </w:rPr>
        <w:t>.</w:t>
      </w:r>
      <w:r w:rsidR="00CC3849" w:rsidRPr="00161EBE">
        <w:rPr>
          <w:i/>
          <w:lang w:val="en-GB" w:eastAsia="ja-JP"/>
        </w:rPr>
        <w:t xml:space="preserve"> </w:t>
      </w:r>
    </w:p>
    <w:p w:rsidR="00890CDD" w:rsidRDefault="00890CDD" w:rsidP="00980527">
      <w:pPr>
        <w:pStyle w:val="Paralevel1"/>
        <w:tabs>
          <w:tab w:val="clear" w:pos="1843"/>
          <w:tab w:val="left" w:pos="1701"/>
        </w:tabs>
        <w:ind w:left="1134" w:firstLine="0"/>
      </w:pPr>
      <w:r>
        <w:t>In addition, it should be noted that the 2003 Protocol on Pollutant Release and Transfer Register</w:t>
      </w:r>
      <w:r w:rsidR="00ED0A62">
        <w:t>s</w:t>
      </w:r>
      <w:r>
        <w:t xml:space="preserve"> to the 1998 United Nations Economic Commission for Europe (UNECE) Convention on Access to Information, Public Participation in Decision-making and Access to Justice in Environmental Matters </w:t>
      </w:r>
      <w:r w:rsidR="009E7C76">
        <w:t xml:space="preserve">(Aarhus Convention) </w:t>
      </w:r>
      <w:r>
        <w:t>includes provisions pertaining to inventories that may be applicable to POPs.</w:t>
      </w:r>
    </w:p>
    <w:p w:rsidR="00890CDD" w:rsidRDefault="00890CDD" w:rsidP="0088229A">
      <w:pPr>
        <w:pStyle w:val="Heading2"/>
        <w:spacing w:before="240" w:after="120"/>
        <w:ind w:left="1134" w:hanging="510"/>
      </w:pPr>
      <w:bookmarkStart w:id="497" w:name="_Toc161804574"/>
      <w:bookmarkStart w:id="498" w:name="_Toc405988647"/>
      <w:bookmarkStart w:id="499" w:name="_Toc437340540"/>
      <w:bookmarkStart w:id="500" w:name="_Toc49228131"/>
      <w:bookmarkStart w:id="501" w:name="_Toc49228182"/>
      <w:bookmarkStart w:id="502" w:name="_Toc49228304"/>
      <w:bookmarkStart w:id="503" w:name="_Toc49228436"/>
      <w:bookmarkStart w:id="504" w:name="_Toc49228486"/>
      <w:r>
        <w:t>E.</w:t>
      </w:r>
      <w:r>
        <w:tab/>
      </w:r>
      <w:bookmarkStart w:id="505" w:name="_Toc58997124"/>
      <w:bookmarkStart w:id="506" w:name="_Toc58999203"/>
      <w:bookmarkStart w:id="507" w:name="_Toc58999262"/>
      <w:bookmarkStart w:id="508" w:name="_Toc61328040"/>
      <w:bookmarkStart w:id="509" w:name="_Toc61681681"/>
      <w:bookmarkStart w:id="510" w:name="_Toc61681750"/>
      <w:bookmarkStart w:id="511" w:name="_Toc62220546"/>
      <w:r>
        <w:t xml:space="preserve">Sampling, </w:t>
      </w:r>
      <w:bookmarkEnd w:id="505"/>
      <w:bookmarkEnd w:id="506"/>
      <w:bookmarkEnd w:id="507"/>
      <w:bookmarkEnd w:id="508"/>
      <w:r>
        <w:t>analysis and monitoring</w:t>
      </w:r>
      <w:bookmarkEnd w:id="497"/>
      <w:bookmarkEnd w:id="498"/>
      <w:bookmarkEnd w:id="499"/>
      <w:bookmarkEnd w:id="509"/>
      <w:bookmarkEnd w:id="510"/>
      <w:bookmarkEnd w:id="511"/>
    </w:p>
    <w:p w:rsidR="00890CDD" w:rsidRDefault="00890CDD" w:rsidP="00980527">
      <w:pPr>
        <w:pStyle w:val="Paralevel1"/>
        <w:tabs>
          <w:tab w:val="clear" w:pos="1843"/>
          <w:tab w:val="left" w:pos="1701"/>
        </w:tabs>
        <w:ind w:left="1134" w:firstLine="0"/>
      </w:pPr>
      <w:r>
        <w:t xml:space="preserve">Sampling, analysis and monitoring are important activities in the management of POP wastes enabling the manager of the wastes and those who regulate its </w:t>
      </w:r>
      <w:r w:rsidRPr="00497A73">
        <w:t xml:space="preserve">management to identify the concentration of POPs in some waste streams and select the appropriate management method. </w:t>
      </w:r>
      <w:r w:rsidR="00FA42EF" w:rsidRPr="00FA42EF">
        <w:t xml:space="preserve">The activities may also be necessary to monitor if </w:t>
      </w:r>
      <w:r w:rsidR="00104248">
        <w:t xml:space="preserve">the </w:t>
      </w:r>
      <w:r w:rsidR="00FA42EF" w:rsidRPr="00FA42EF">
        <w:t xml:space="preserve">methods of destruction </w:t>
      </w:r>
      <w:r w:rsidR="00104248">
        <w:t xml:space="preserve">chosen </w:t>
      </w:r>
      <w:r w:rsidR="00FA42EF" w:rsidRPr="00FA42EF">
        <w:t xml:space="preserve">are operating within the set standards and to ensure </w:t>
      </w:r>
      <w:r w:rsidR="00E80E42">
        <w:t xml:space="preserve">that </w:t>
      </w:r>
      <w:r w:rsidR="00FA42EF" w:rsidRPr="00FA42EF">
        <w:t xml:space="preserve">POPs are not released </w:t>
      </w:r>
      <w:r w:rsidR="00E80E42">
        <w:t>in</w:t>
      </w:r>
      <w:r w:rsidR="00FA42EF" w:rsidRPr="00FA42EF">
        <w:t>to the environment</w:t>
      </w:r>
      <w:r w:rsidRPr="00497A73">
        <w:t xml:space="preserve">. Monitoring and surveillance serve as elements for identifying </w:t>
      </w:r>
      <w:r w:rsidRPr="0092665E">
        <w:t xml:space="preserve">and </w:t>
      </w:r>
      <w:r w:rsidR="00405DFE" w:rsidRPr="007F5738">
        <w:t>tracking</w:t>
      </w:r>
      <w:r w:rsidRPr="0040503E">
        <w:t xml:space="preserve"> </w:t>
      </w:r>
      <w:r w:rsidRPr="0092665E">
        <w:t>environmental concerns</w:t>
      </w:r>
      <w:r w:rsidRPr="00497A73">
        <w:t xml:space="preserve"> and human health risks. Information</w:t>
      </w:r>
      <w:r w:rsidRPr="00DB2168">
        <w:t xml:space="preserve"> collected from monitoring </w:t>
      </w:r>
      <w:proofErr w:type="spellStart"/>
      <w:r w:rsidRPr="00DB2168">
        <w:t>program</w:t>
      </w:r>
      <w:r w:rsidR="009C3CF0">
        <w:t>me</w:t>
      </w:r>
      <w:r w:rsidRPr="00DB2168">
        <w:t>s</w:t>
      </w:r>
      <w:proofErr w:type="spellEnd"/>
      <w:r w:rsidRPr="00DB2168">
        <w:t xml:space="preserve"> feeds into science-based decision-making processes and is used for the evaluation of the effectiveness of risk management measures, including regulations. </w:t>
      </w:r>
    </w:p>
    <w:p w:rsidR="00890CDD" w:rsidRDefault="00890CDD" w:rsidP="00980527">
      <w:pPr>
        <w:pStyle w:val="Paralevel1"/>
        <w:tabs>
          <w:tab w:val="clear" w:pos="1843"/>
          <w:tab w:val="left" w:pos="1701"/>
        </w:tabs>
        <w:ind w:left="1134" w:firstLine="0"/>
      </w:pPr>
      <w:r>
        <w:t xml:space="preserve">Sampling, analysis and monitoring should be conducted by trained professionals in accordance with a well-designed </w:t>
      </w:r>
      <w:proofErr w:type="spellStart"/>
      <w:r w:rsidR="0040503E" w:rsidRPr="001C2ACA">
        <w:t>programme</w:t>
      </w:r>
      <w:proofErr w:type="spellEnd"/>
      <w:r w:rsidR="0040503E">
        <w:t xml:space="preserve"> </w:t>
      </w:r>
      <w:r>
        <w:t xml:space="preserve">and using internationally accepted or nationally approved methods, carried out using the same method each time over the time span of the </w:t>
      </w:r>
      <w:proofErr w:type="spellStart"/>
      <w:r>
        <w:t>programme</w:t>
      </w:r>
      <w:proofErr w:type="spellEnd"/>
      <w:r>
        <w:t xml:space="preserve">. They should also be subjected to rigorous quality assurance and quality control measures. Mistakes in sampling, analysis or monitoring, or deviation from standard operational procedures, can result in meaningless data or even </w:t>
      </w:r>
      <w:proofErr w:type="spellStart"/>
      <w:r>
        <w:t>programme</w:t>
      </w:r>
      <w:proofErr w:type="spellEnd"/>
      <w:r>
        <w:t xml:space="preserve">-damaging data. </w:t>
      </w:r>
    </w:p>
    <w:p w:rsidR="000E79E2" w:rsidRDefault="00890CDD" w:rsidP="00980527">
      <w:pPr>
        <w:pStyle w:val="Paralevel1"/>
        <w:tabs>
          <w:tab w:val="clear" w:pos="1843"/>
          <w:tab w:val="left" w:pos="1701"/>
        </w:tabs>
        <w:ind w:left="1134" w:firstLine="0"/>
      </w:pPr>
      <w:r>
        <w:t xml:space="preserve">Each </w:t>
      </w:r>
      <w:r w:rsidR="009C3CF0">
        <w:t>p</w:t>
      </w:r>
      <w:r>
        <w:t xml:space="preserve">arty should identify its sampling, analysis and monitoring needs and ensure it has laboratory capacity that will meet the required operating standards. Training and protocols should be in place to </w:t>
      </w:r>
      <w:r w:rsidR="009C3CF0">
        <w:t xml:space="preserve">ensure that </w:t>
      </w:r>
      <w:r>
        <w:t xml:space="preserve">these standards </w:t>
      </w:r>
      <w:r w:rsidR="009C3CF0">
        <w:t xml:space="preserve">can be met </w:t>
      </w:r>
      <w:r>
        <w:t xml:space="preserve">and </w:t>
      </w:r>
      <w:r w:rsidR="009C3CF0">
        <w:t xml:space="preserve">that </w:t>
      </w:r>
      <w:r>
        <w:t>quality data and meaningful results</w:t>
      </w:r>
      <w:r w:rsidR="009C3CF0">
        <w:t xml:space="preserve"> can be obtained</w:t>
      </w:r>
      <w:r>
        <w:t>. Building this capacity may be necessary in some countries if none exist</w:t>
      </w:r>
      <w:r w:rsidR="002C6FAF">
        <w:t>s</w:t>
      </w:r>
      <w:r>
        <w:t xml:space="preserve">. </w:t>
      </w:r>
    </w:p>
    <w:p w:rsidR="00890CDD" w:rsidRDefault="00E27707" w:rsidP="00980527">
      <w:pPr>
        <w:pStyle w:val="Paralevel1"/>
        <w:tabs>
          <w:tab w:val="clear" w:pos="1843"/>
          <w:tab w:val="left" w:pos="1701"/>
        </w:tabs>
        <w:ind w:left="1134" w:firstLine="0"/>
      </w:pPr>
      <w:r>
        <w:t>Different analytical methods can be used d</w:t>
      </w:r>
      <w:r w:rsidR="00890CDD">
        <w:t xml:space="preserve">epending on the purpose of the sampling or monitoring activity and the physical form of the waste. For information on good laboratory practices the OECD series (OECD, various years) and the </w:t>
      </w:r>
      <w:r w:rsidR="00405DFE" w:rsidRPr="00405DFE">
        <w:rPr>
          <w:i/>
        </w:rPr>
        <w:t>Handbook on Good Laboratory Practices</w:t>
      </w:r>
      <w:r w:rsidR="00890CDD">
        <w:t xml:space="preserve"> (</w:t>
      </w:r>
      <w:r w:rsidR="00890CDD" w:rsidRPr="00752009">
        <w:t>WHO, 2009</w:t>
      </w:r>
      <w:r w:rsidR="00890CDD">
        <w:t xml:space="preserve">) may be consulted; on general </w:t>
      </w:r>
      <w:r w:rsidR="00890CDD" w:rsidRPr="00DD7089">
        <w:t xml:space="preserve">methodological considerations, the </w:t>
      </w:r>
      <w:r w:rsidR="00405DFE" w:rsidRPr="00405DFE">
        <w:rPr>
          <w:i/>
        </w:rPr>
        <w:t xml:space="preserve">Guidance for a Global Monitoring </w:t>
      </w:r>
      <w:proofErr w:type="spellStart"/>
      <w:r w:rsidR="00405DFE" w:rsidRPr="00405DFE">
        <w:rPr>
          <w:i/>
        </w:rPr>
        <w:t>Programme</w:t>
      </w:r>
      <w:proofErr w:type="spellEnd"/>
      <w:r w:rsidR="00405DFE" w:rsidRPr="00405DFE">
        <w:rPr>
          <w:i/>
        </w:rPr>
        <w:t xml:space="preserve"> for Persistent Organic Pollutants</w:t>
      </w:r>
      <w:r w:rsidR="00890CDD" w:rsidRPr="00DD7089">
        <w:t xml:space="preserve"> (UNEP, </w:t>
      </w:r>
      <w:r w:rsidR="00002CD2" w:rsidRPr="00DD7089">
        <w:t>2015</w:t>
      </w:r>
      <w:r w:rsidR="00735A70">
        <w:t>a</w:t>
      </w:r>
      <w:r w:rsidR="00415649">
        <w:t>)</w:t>
      </w:r>
      <w:r w:rsidR="00890CDD" w:rsidRPr="00DD7089">
        <w:t xml:space="preserve"> may be used</w:t>
      </w:r>
      <w:r w:rsidR="00415649">
        <w:t>. F</w:t>
      </w:r>
      <w:r w:rsidR="00890CDD" w:rsidRPr="00DD7089">
        <w:t>urther information on POPs analysis may be obtained from the UNEP/Global</w:t>
      </w:r>
      <w:r w:rsidR="00890CDD">
        <w:t xml:space="preserve"> Environment Facility (GEF) project on capacity needs for </w:t>
      </w:r>
      <w:r>
        <w:t xml:space="preserve">analyzing </w:t>
      </w:r>
      <w:r w:rsidR="00890CDD">
        <w:t xml:space="preserve">POPs at </w:t>
      </w:r>
      <w:hyperlink r:id="rId15" w:history="1">
        <w:r w:rsidR="00890CDD" w:rsidRPr="009F6440">
          <w:rPr>
            <w:rStyle w:val="Hyperlink"/>
          </w:rPr>
          <w:t>www.chem.unep.ch/pops/laboratory/default.htm</w:t>
        </w:r>
      </w:hyperlink>
      <w:r w:rsidR="00890CDD">
        <w:t xml:space="preserve">. </w:t>
      </w:r>
    </w:p>
    <w:p w:rsidR="00890CDD" w:rsidRDefault="00890CDD">
      <w:pPr>
        <w:pStyle w:val="Heading3"/>
        <w:spacing w:before="240" w:after="120"/>
        <w:ind w:left="1134" w:hanging="425"/>
      </w:pPr>
      <w:bookmarkStart w:id="512" w:name="_Toc58997125"/>
      <w:bookmarkStart w:id="513" w:name="_Toc58999204"/>
      <w:bookmarkStart w:id="514" w:name="_Toc58999263"/>
      <w:bookmarkStart w:id="515" w:name="_Toc61328041"/>
      <w:bookmarkStart w:id="516" w:name="_Toc61681682"/>
      <w:bookmarkStart w:id="517" w:name="_Toc61681751"/>
      <w:bookmarkStart w:id="518" w:name="_Toc62220547"/>
      <w:bookmarkStart w:id="519" w:name="_Toc95280675"/>
      <w:bookmarkStart w:id="520" w:name="_Toc145395122"/>
      <w:bookmarkStart w:id="521" w:name="_Toc161804575"/>
      <w:bookmarkStart w:id="522" w:name="_Toc405988648"/>
      <w:bookmarkStart w:id="523" w:name="_Toc437340541"/>
      <w:r w:rsidRPr="005E5BFF">
        <w:rPr>
          <w:szCs w:val="20"/>
        </w:rPr>
        <w:t>1.</w:t>
      </w:r>
      <w:r w:rsidRPr="005E5BFF">
        <w:rPr>
          <w:szCs w:val="20"/>
        </w:rPr>
        <w:tab/>
        <w:t>Sampling</w:t>
      </w:r>
      <w:bookmarkEnd w:id="512"/>
      <w:bookmarkEnd w:id="513"/>
      <w:bookmarkEnd w:id="514"/>
      <w:bookmarkEnd w:id="515"/>
      <w:bookmarkEnd w:id="516"/>
      <w:bookmarkEnd w:id="517"/>
      <w:bookmarkEnd w:id="518"/>
      <w:r w:rsidRPr="005E5BFF">
        <w:rPr>
          <w:rStyle w:val="FootnoteReference"/>
          <w:b w:val="0"/>
          <w:szCs w:val="20"/>
        </w:rPr>
        <w:footnoteReference w:id="40"/>
      </w:r>
      <w:bookmarkEnd w:id="519"/>
      <w:bookmarkEnd w:id="520"/>
      <w:bookmarkEnd w:id="521"/>
      <w:bookmarkEnd w:id="522"/>
      <w:bookmarkEnd w:id="523"/>
    </w:p>
    <w:p w:rsidR="00890CDD" w:rsidRDefault="00890CDD" w:rsidP="00980527">
      <w:pPr>
        <w:pStyle w:val="Paralevel1"/>
        <w:tabs>
          <w:tab w:val="clear" w:pos="1843"/>
          <w:tab w:val="left" w:pos="1701"/>
        </w:tabs>
        <w:ind w:left="1134" w:firstLine="0"/>
      </w:pPr>
      <w:r>
        <w:t xml:space="preserve">The overall objective of any sampling activity is to obtain a sample </w:t>
      </w:r>
      <w:r w:rsidR="00424862">
        <w:t xml:space="preserve">that </w:t>
      </w:r>
      <w:r>
        <w:t xml:space="preserve">can be used for the targeted purpose, </w:t>
      </w:r>
      <w:r>
        <w:rPr>
          <w:iCs/>
        </w:rPr>
        <w:t>e.g.,</w:t>
      </w:r>
      <w:r>
        <w:t xml:space="preserve"> waste characterization, compliance with regulatory standards or suitability </w:t>
      </w:r>
      <w:r w:rsidR="002C6FAF">
        <w:t xml:space="preserve">of </w:t>
      </w:r>
      <w:r>
        <w:t>proposed treatment or disposal</w:t>
      </w:r>
      <w:r w:rsidR="00415649">
        <w:t xml:space="preserve"> methods</w:t>
      </w:r>
      <w:r>
        <w:t xml:space="preserve">. This objective should be identified before sampling is started. It is indispensable </w:t>
      </w:r>
      <w:r w:rsidR="00415649">
        <w:t xml:space="preserve">that </w:t>
      </w:r>
      <w:r>
        <w:t xml:space="preserve">quality requirements </w:t>
      </w:r>
      <w:r w:rsidR="00415649">
        <w:t xml:space="preserve">for </w:t>
      </w:r>
      <w:r>
        <w:t>equipment, transportation and traceability be met.</w:t>
      </w:r>
    </w:p>
    <w:p w:rsidR="00890CDD" w:rsidRDefault="00890CDD" w:rsidP="00980527">
      <w:pPr>
        <w:pStyle w:val="Paralevel1"/>
        <w:tabs>
          <w:tab w:val="clear" w:pos="1843"/>
          <w:tab w:val="left" w:pos="1701"/>
        </w:tabs>
        <w:ind w:left="1134" w:firstLine="0"/>
      </w:pPr>
      <w:r>
        <w:t>Standardized sampling procedures should be established and agreed upon before the start of the sampling campaign (both matrix- and POP-specific). Elements of these procedures include the following:</w:t>
      </w:r>
    </w:p>
    <w:p w:rsidR="00890CDD" w:rsidRDefault="00890CDD" w:rsidP="00795341">
      <w:pPr>
        <w:tabs>
          <w:tab w:val="clear" w:pos="1247"/>
          <w:tab w:val="clear" w:pos="1814"/>
          <w:tab w:val="clear" w:pos="2381"/>
          <w:tab w:val="left" w:pos="2268"/>
        </w:tabs>
        <w:spacing w:after="120"/>
        <w:ind w:left="1134" w:firstLine="567"/>
      </w:pPr>
      <w:r>
        <w:t>(a)</w:t>
      </w:r>
      <w:r>
        <w:tab/>
        <w:t>The number of samples to be taken, the sampling frequency, the duration of the sampling project and a description of the sampling method (including quality assurance procedures put in place, e.g., field blanks and chain-of-custody);</w:t>
      </w:r>
    </w:p>
    <w:p w:rsidR="00890CDD" w:rsidRDefault="00890CDD" w:rsidP="00795341">
      <w:pPr>
        <w:tabs>
          <w:tab w:val="clear" w:pos="1247"/>
          <w:tab w:val="clear" w:pos="1814"/>
          <w:tab w:val="clear" w:pos="2381"/>
          <w:tab w:val="left" w:pos="2268"/>
        </w:tabs>
        <w:spacing w:after="120"/>
        <w:ind w:left="1134" w:firstLine="567"/>
      </w:pPr>
      <w:r>
        <w:t>(b)</w:t>
      </w:r>
      <w:r>
        <w:tab/>
        <w:t>Selection of location or sites and time of sample-taking (including description and geographic localization);</w:t>
      </w:r>
    </w:p>
    <w:p w:rsidR="00890CDD" w:rsidRDefault="00890CDD" w:rsidP="00795341">
      <w:pPr>
        <w:tabs>
          <w:tab w:val="clear" w:pos="1247"/>
          <w:tab w:val="clear" w:pos="1814"/>
          <w:tab w:val="clear" w:pos="2381"/>
          <w:tab w:val="left" w:pos="2268"/>
        </w:tabs>
        <w:spacing w:after="120"/>
        <w:ind w:left="1134" w:firstLine="567"/>
      </w:pPr>
      <w:r>
        <w:t>(c)</w:t>
      </w:r>
      <w:r>
        <w:tab/>
        <w:t xml:space="preserve">Identity of </w:t>
      </w:r>
      <w:r w:rsidR="003753A7">
        <w:t xml:space="preserve">the </w:t>
      </w:r>
      <w:r>
        <w:t>person who took the sample and conditions during sampling;</w:t>
      </w:r>
    </w:p>
    <w:p w:rsidR="00890CDD" w:rsidRDefault="00890CDD" w:rsidP="00795341">
      <w:pPr>
        <w:tabs>
          <w:tab w:val="clear" w:pos="1247"/>
          <w:tab w:val="clear" w:pos="1814"/>
          <w:tab w:val="clear" w:pos="2381"/>
          <w:tab w:val="left" w:pos="2268"/>
        </w:tabs>
        <w:spacing w:after="120"/>
        <w:ind w:left="1134" w:firstLine="567"/>
      </w:pPr>
      <w:r>
        <w:t>(d)</w:t>
      </w:r>
      <w:r>
        <w:tab/>
        <w:t>Full description of sample characteristics – labelling;</w:t>
      </w:r>
    </w:p>
    <w:p w:rsidR="00890CDD" w:rsidRDefault="00890CDD" w:rsidP="00795341">
      <w:pPr>
        <w:tabs>
          <w:tab w:val="clear" w:pos="1247"/>
          <w:tab w:val="clear" w:pos="1814"/>
          <w:tab w:val="clear" w:pos="2381"/>
          <w:tab w:val="left" w:pos="2268"/>
        </w:tabs>
        <w:spacing w:after="120"/>
        <w:ind w:left="1134" w:firstLine="567"/>
      </w:pPr>
      <w:r>
        <w:t>(e)</w:t>
      </w:r>
      <w:r>
        <w:tab/>
        <w:t>Preservation of the integrity of samples during transport and storage (before analysis);</w:t>
      </w:r>
    </w:p>
    <w:p w:rsidR="00890CDD" w:rsidRDefault="00890CDD" w:rsidP="00795341">
      <w:pPr>
        <w:tabs>
          <w:tab w:val="clear" w:pos="1247"/>
          <w:tab w:val="clear" w:pos="1814"/>
          <w:tab w:val="clear" w:pos="2381"/>
          <w:tab w:val="left" w:pos="2268"/>
        </w:tabs>
        <w:spacing w:after="120"/>
        <w:ind w:left="1134" w:firstLine="567"/>
      </w:pPr>
      <w:r>
        <w:t>(f)</w:t>
      </w:r>
      <w:r>
        <w:tab/>
        <w:t>Close cooperation between the sampler and the analytical laboratory;</w:t>
      </w:r>
      <w:r w:rsidR="003753A7">
        <w:t xml:space="preserve"> and</w:t>
      </w:r>
    </w:p>
    <w:p w:rsidR="00890CDD" w:rsidRDefault="00890CDD" w:rsidP="00795341">
      <w:pPr>
        <w:tabs>
          <w:tab w:val="clear" w:pos="1247"/>
          <w:tab w:val="clear" w:pos="1814"/>
          <w:tab w:val="clear" w:pos="2381"/>
          <w:tab w:val="left" w:pos="2268"/>
        </w:tabs>
        <w:spacing w:after="120"/>
        <w:ind w:left="1134" w:firstLine="567"/>
      </w:pPr>
      <w:r>
        <w:t>(g)</w:t>
      </w:r>
      <w:r>
        <w:tab/>
        <w:t>Appropriately trained sampling personnel.</w:t>
      </w:r>
    </w:p>
    <w:p w:rsidR="00890CDD" w:rsidRDefault="00890CDD" w:rsidP="00980527">
      <w:pPr>
        <w:pStyle w:val="Paralevel1"/>
        <w:tabs>
          <w:tab w:val="clear" w:pos="1843"/>
          <w:tab w:val="left" w:pos="1701"/>
        </w:tabs>
        <w:ind w:left="1134" w:firstLine="0"/>
      </w:pPr>
      <w:r>
        <w:t>Sampling should comply with specific national legislation, where it exists, or with international regulations</w:t>
      </w:r>
      <w:r w:rsidR="00306E1B">
        <w:t xml:space="preserve"> and standards</w:t>
      </w:r>
      <w:r>
        <w:t>. In countries where regulations do not exist, qualified staff should be appointed. Sampling procedures include the following:</w:t>
      </w:r>
    </w:p>
    <w:p w:rsidR="00890CDD" w:rsidRDefault="00890CDD" w:rsidP="00795341">
      <w:pPr>
        <w:tabs>
          <w:tab w:val="clear" w:pos="1247"/>
          <w:tab w:val="clear" w:pos="1814"/>
          <w:tab w:val="clear" w:pos="2381"/>
          <w:tab w:val="left" w:pos="2268"/>
        </w:tabs>
        <w:spacing w:after="120"/>
        <w:ind w:left="1134" w:firstLine="567"/>
      </w:pPr>
      <w:r>
        <w:t>(a)</w:t>
      </w:r>
      <w:r>
        <w:tab/>
        <w:t xml:space="preserve">Development of a standard operational procedure (SOP) for sampling each of the matrices for subsequent POPs analysis; </w:t>
      </w:r>
    </w:p>
    <w:p w:rsidR="00890CDD" w:rsidRDefault="00890CDD" w:rsidP="00795341">
      <w:pPr>
        <w:tabs>
          <w:tab w:val="clear" w:pos="1247"/>
          <w:tab w:val="clear" w:pos="1814"/>
          <w:tab w:val="clear" w:pos="2381"/>
          <w:tab w:val="left" w:pos="2268"/>
        </w:tabs>
        <w:spacing w:after="120"/>
        <w:ind w:left="1134" w:firstLine="567"/>
      </w:pPr>
      <w:r>
        <w:t>(b)</w:t>
      </w:r>
      <w:r>
        <w:tab/>
        <w:t>Application of well-established sampling procedures such as those developed by ISO, the American Society for Testing and Materials (ASTM), the European Union, the United States Environmental Protection Agency (EPA</w:t>
      </w:r>
      <w:r w:rsidR="003753A7">
        <w:t>)</w:t>
      </w:r>
      <w:r w:rsidR="002C6FAF">
        <w:t>,</w:t>
      </w:r>
      <w:r w:rsidR="003753A7">
        <w:t xml:space="preserve"> </w:t>
      </w:r>
      <w:r>
        <w:t>the Global Environment Monitoring System (GEMS)</w:t>
      </w:r>
      <w:r w:rsidR="003753A7">
        <w:t>,</w:t>
      </w:r>
      <w:r w:rsidRPr="001A62E7">
        <w:t xml:space="preserve"> </w:t>
      </w:r>
      <w:r w:rsidRPr="002C6FAF">
        <w:t xml:space="preserve">and </w:t>
      </w:r>
      <w:r w:rsidRPr="00A60E31">
        <w:t xml:space="preserve">the </w:t>
      </w:r>
      <w:r w:rsidR="00FF22FA" w:rsidRPr="00FA4AB4">
        <w:rPr>
          <w:rFonts w:eastAsia="PMingLiU"/>
          <w:lang w:val="en-US" w:eastAsia="zh-TW"/>
        </w:rPr>
        <w:t xml:space="preserve">European Committee for </w:t>
      </w:r>
      <w:proofErr w:type="spellStart"/>
      <w:r w:rsidR="00FF22FA" w:rsidRPr="00FA4AB4">
        <w:rPr>
          <w:rFonts w:eastAsia="PMingLiU"/>
          <w:lang w:val="en-US" w:eastAsia="zh-TW"/>
        </w:rPr>
        <w:t>Electrotechnical</w:t>
      </w:r>
      <w:proofErr w:type="spellEnd"/>
      <w:r w:rsidR="00FF22FA" w:rsidRPr="00FA4AB4">
        <w:rPr>
          <w:rFonts w:eastAsia="PMingLiU"/>
          <w:lang w:val="en-US" w:eastAsia="zh-TW"/>
        </w:rPr>
        <w:t xml:space="preserve"> Standardization </w:t>
      </w:r>
      <w:r w:rsidR="00462F0B">
        <w:t>(</w:t>
      </w:r>
      <w:r w:rsidRPr="00FF22FA">
        <w:t>CENELEC</w:t>
      </w:r>
      <w:r w:rsidR="00462F0B">
        <w:t>)</w:t>
      </w:r>
      <w:r w:rsidR="002C6FAF">
        <w:t xml:space="preserve"> (See </w:t>
      </w:r>
      <w:r w:rsidR="00462F0B">
        <w:t>S</w:t>
      </w:r>
      <w:r w:rsidRPr="00FF22FA">
        <w:t xml:space="preserve">tandard on </w:t>
      </w:r>
      <w:r w:rsidRPr="00A60E31">
        <w:t xml:space="preserve">Collection, logistics and </w:t>
      </w:r>
      <w:r w:rsidR="00462F0B">
        <w:t>t</w:t>
      </w:r>
      <w:r w:rsidRPr="00A60E31">
        <w:t xml:space="preserve">reatment requirements for WEEE </w:t>
      </w:r>
      <w:r w:rsidR="00462F0B">
        <w:t>[</w:t>
      </w:r>
      <w:r w:rsidR="00462F0B" w:rsidRPr="00FF22FA">
        <w:t>Waste Electrical and Electronic Equipment</w:t>
      </w:r>
      <w:r w:rsidR="00462F0B">
        <w:t>]</w:t>
      </w:r>
      <w:r w:rsidR="00462F0B" w:rsidRPr="00FF22FA">
        <w:t xml:space="preserve"> </w:t>
      </w:r>
      <w:r w:rsidRPr="00A60E31">
        <w:t xml:space="preserve">– Part 1: </w:t>
      </w:r>
      <w:r w:rsidR="00462F0B">
        <w:t>General Treatment Requirements</w:t>
      </w:r>
      <w:r w:rsidR="00B23336">
        <w:t xml:space="preserve">, </w:t>
      </w:r>
      <w:r w:rsidR="002C6FAF" w:rsidRPr="00BD3D60">
        <w:t xml:space="preserve">in particular </w:t>
      </w:r>
      <w:r w:rsidR="00BD3D60">
        <w:t>s</w:t>
      </w:r>
      <w:r w:rsidRPr="00BD3D60">
        <w:t>pecification</w:t>
      </w:r>
      <w:r w:rsidR="00791B26">
        <w:t>s</w:t>
      </w:r>
      <w:r w:rsidRPr="00BD3D60">
        <w:t xml:space="preserve"> for de-pollution</w:t>
      </w:r>
      <w:r w:rsidR="00791B26">
        <w:t>).</w:t>
      </w:r>
    </w:p>
    <w:p w:rsidR="00890CDD" w:rsidRDefault="00890CDD" w:rsidP="00795341">
      <w:pPr>
        <w:tabs>
          <w:tab w:val="clear" w:pos="1247"/>
          <w:tab w:val="clear" w:pos="1814"/>
          <w:tab w:val="clear" w:pos="2381"/>
          <w:tab w:val="left" w:pos="2268"/>
        </w:tabs>
        <w:spacing w:after="120"/>
        <w:ind w:left="1134" w:firstLine="567"/>
      </w:pPr>
      <w:r>
        <w:t>(c)</w:t>
      </w:r>
      <w:r>
        <w:tab/>
        <w:t>Establishment of quality assurance and quality control (QA/QC) procedures.</w:t>
      </w:r>
    </w:p>
    <w:p w:rsidR="00890CDD" w:rsidRDefault="00890CDD" w:rsidP="00980527">
      <w:pPr>
        <w:pStyle w:val="Paralevel1"/>
        <w:tabs>
          <w:tab w:val="clear" w:pos="1843"/>
          <w:tab w:val="left" w:pos="1701"/>
        </w:tabs>
        <w:ind w:left="1134" w:firstLine="0"/>
      </w:pPr>
      <w:r>
        <w:t xml:space="preserve">All these steps should be followed for a sampling </w:t>
      </w:r>
      <w:proofErr w:type="spellStart"/>
      <w:r>
        <w:t>programme</w:t>
      </w:r>
      <w:proofErr w:type="spellEnd"/>
      <w:r>
        <w:t xml:space="preserve"> to be successful. Similarly, documentation should be thorough and rigorous. </w:t>
      </w:r>
    </w:p>
    <w:p w:rsidR="00890CDD" w:rsidRDefault="00890CDD" w:rsidP="00980527">
      <w:pPr>
        <w:pStyle w:val="Paralevel1"/>
        <w:tabs>
          <w:tab w:val="clear" w:pos="1843"/>
          <w:tab w:val="left" w:pos="1701"/>
        </w:tabs>
        <w:ind w:left="1134" w:firstLine="0"/>
      </w:pPr>
      <w:r>
        <w:t>Types of waste matrices typically sampled for POPs include solids, liquids and gases:</w:t>
      </w:r>
    </w:p>
    <w:p w:rsidR="001A1011" w:rsidRDefault="00890CDD" w:rsidP="001A1011">
      <w:pPr>
        <w:tabs>
          <w:tab w:val="clear" w:pos="1247"/>
          <w:tab w:val="clear" w:pos="1814"/>
          <w:tab w:val="clear" w:pos="2381"/>
          <w:tab w:val="left" w:pos="2268"/>
        </w:tabs>
        <w:spacing w:after="120"/>
        <w:ind w:left="1138" w:firstLine="562"/>
      </w:pPr>
      <w:r>
        <w:t>(a)</w:t>
      </w:r>
      <w:r>
        <w:tab/>
        <w:t>Liquids:</w:t>
      </w:r>
    </w:p>
    <w:p w:rsidR="001A1011" w:rsidRDefault="00890CDD" w:rsidP="001A1011">
      <w:pPr>
        <w:keepNext/>
        <w:tabs>
          <w:tab w:val="clear" w:pos="2381"/>
          <w:tab w:val="clear" w:pos="2948"/>
        </w:tabs>
        <w:spacing w:after="120"/>
        <w:ind w:left="2837" w:hanging="562"/>
      </w:pPr>
      <w:r>
        <w:t>(</w:t>
      </w:r>
      <w:proofErr w:type="spellStart"/>
      <w:r>
        <w:t>i</w:t>
      </w:r>
      <w:proofErr w:type="spellEnd"/>
      <w:r>
        <w:t>)</w:t>
      </w:r>
      <w:r>
        <w:tab/>
      </w:r>
      <w:proofErr w:type="spellStart"/>
      <w:r>
        <w:t>Leachate</w:t>
      </w:r>
      <w:proofErr w:type="spellEnd"/>
      <w:r>
        <w:t xml:space="preserve"> from dumpsites and landfills; </w:t>
      </w:r>
    </w:p>
    <w:p w:rsidR="001A1011" w:rsidRDefault="00890CDD" w:rsidP="001A1011">
      <w:pPr>
        <w:keepNext/>
        <w:tabs>
          <w:tab w:val="clear" w:pos="2381"/>
          <w:tab w:val="clear" w:pos="2948"/>
        </w:tabs>
        <w:spacing w:after="120"/>
        <w:ind w:left="2837" w:hanging="562"/>
      </w:pPr>
      <w:r>
        <w:t>(ii)</w:t>
      </w:r>
      <w:r>
        <w:tab/>
        <w:t>Liquid collected from spills;</w:t>
      </w:r>
    </w:p>
    <w:p w:rsidR="001A1011" w:rsidRDefault="00890CDD" w:rsidP="001A1011">
      <w:pPr>
        <w:keepNext/>
        <w:tabs>
          <w:tab w:val="clear" w:pos="2381"/>
          <w:tab w:val="clear" w:pos="2948"/>
        </w:tabs>
        <w:spacing w:after="120"/>
        <w:ind w:left="2837" w:hanging="562"/>
      </w:pPr>
      <w:r>
        <w:t>(iii)</w:t>
      </w:r>
      <w:r>
        <w:tab/>
        <w:t>Water (surface water, drinking water and industrial and municipal effluents);</w:t>
      </w:r>
    </w:p>
    <w:p w:rsidR="00093BCE" w:rsidRDefault="00890CDD" w:rsidP="00093BCE">
      <w:pPr>
        <w:tabs>
          <w:tab w:val="clear" w:pos="1247"/>
          <w:tab w:val="clear" w:pos="1814"/>
          <w:tab w:val="clear" w:pos="2381"/>
          <w:tab w:val="left" w:pos="2268"/>
        </w:tabs>
        <w:spacing w:after="120"/>
        <w:ind w:left="1138" w:firstLine="562"/>
      </w:pPr>
      <w:r>
        <w:t>(b)</w:t>
      </w:r>
      <w:r>
        <w:tab/>
        <w:t>Solids:</w:t>
      </w:r>
    </w:p>
    <w:p w:rsidR="00890CDD" w:rsidRDefault="00890CDD" w:rsidP="00795341">
      <w:pPr>
        <w:keepNext/>
        <w:tabs>
          <w:tab w:val="clear" w:pos="2381"/>
          <w:tab w:val="clear" w:pos="2948"/>
        </w:tabs>
        <w:spacing w:after="120"/>
        <w:ind w:left="2835" w:hanging="567"/>
      </w:pPr>
      <w:r>
        <w:t>(</w:t>
      </w:r>
      <w:proofErr w:type="spellStart"/>
      <w:r>
        <w:t>i</w:t>
      </w:r>
      <w:proofErr w:type="spellEnd"/>
      <w:r>
        <w:t>)</w:t>
      </w:r>
      <w:r>
        <w:tab/>
        <w:t xml:space="preserve">Stockpiles, products and formulations consisting of, containing or contaminated with POPs; </w:t>
      </w:r>
    </w:p>
    <w:p w:rsidR="00890CDD" w:rsidRDefault="00890CDD" w:rsidP="00795341">
      <w:pPr>
        <w:keepNext/>
        <w:tabs>
          <w:tab w:val="clear" w:pos="2381"/>
          <w:tab w:val="clear" w:pos="2948"/>
        </w:tabs>
        <w:spacing w:after="120"/>
        <w:ind w:left="2835" w:hanging="567"/>
      </w:pPr>
      <w:r>
        <w:t>(ii)</w:t>
      </w:r>
      <w:r>
        <w:tab/>
        <w:t>Solids from industrial sources and treatment or disposal processes (fly ash, bottom ash, sludge, still bottoms, other residues, clothing, etc.);</w:t>
      </w:r>
    </w:p>
    <w:p w:rsidR="00890CDD" w:rsidRDefault="00890CDD" w:rsidP="00795341">
      <w:pPr>
        <w:keepNext/>
        <w:tabs>
          <w:tab w:val="clear" w:pos="2381"/>
          <w:tab w:val="clear" w:pos="2948"/>
        </w:tabs>
        <w:spacing w:after="120"/>
        <w:ind w:left="2835" w:hanging="567"/>
      </w:pPr>
      <w:r>
        <w:t>(iii)</w:t>
      </w:r>
      <w:r>
        <w:tab/>
        <w:t>Containers, equipment or other packaging materials (rinse or wipe samples), including the tissues or fabric used in the collection of wipe samples;</w:t>
      </w:r>
    </w:p>
    <w:p w:rsidR="00890CDD" w:rsidRDefault="00890CDD" w:rsidP="00795341">
      <w:pPr>
        <w:keepNext/>
        <w:tabs>
          <w:tab w:val="clear" w:pos="2381"/>
          <w:tab w:val="clear" w:pos="2948"/>
        </w:tabs>
        <w:spacing w:after="120"/>
        <w:ind w:left="2835" w:hanging="567"/>
      </w:pPr>
      <w:proofErr w:type="gramStart"/>
      <w:r>
        <w:t>(iv)</w:t>
      </w:r>
      <w:r>
        <w:tab/>
        <w:t>Soil</w:t>
      </w:r>
      <w:proofErr w:type="gramEnd"/>
      <w:r>
        <w:t>, sediment, rubble</w:t>
      </w:r>
      <w:r w:rsidRPr="00A45B8E">
        <w:t xml:space="preserve"> and compost;</w:t>
      </w:r>
    </w:p>
    <w:p w:rsidR="00890CDD" w:rsidRDefault="00890CDD" w:rsidP="00795341">
      <w:pPr>
        <w:keepNext/>
        <w:tabs>
          <w:tab w:val="clear" w:pos="2381"/>
          <w:tab w:val="clear" w:pos="2948"/>
        </w:tabs>
        <w:spacing w:after="120"/>
        <w:ind w:left="2835" w:hanging="567"/>
      </w:pPr>
      <w:r>
        <w:t>(v)</w:t>
      </w:r>
      <w:r>
        <w:tab/>
        <w:t>Consumer articles and products.</w:t>
      </w:r>
    </w:p>
    <w:p w:rsidR="00890CDD" w:rsidRDefault="00890CDD" w:rsidP="00795341">
      <w:pPr>
        <w:tabs>
          <w:tab w:val="clear" w:pos="1247"/>
          <w:tab w:val="clear" w:pos="1814"/>
          <w:tab w:val="clear" w:pos="2381"/>
          <w:tab w:val="left" w:pos="2268"/>
        </w:tabs>
        <w:spacing w:after="120"/>
        <w:ind w:left="1134" w:firstLine="567"/>
      </w:pPr>
      <w:r>
        <w:t>(c)</w:t>
      </w:r>
      <w:r>
        <w:tab/>
        <w:t>Gases:</w:t>
      </w:r>
    </w:p>
    <w:p w:rsidR="00890CDD" w:rsidRDefault="00890CDD" w:rsidP="00795341">
      <w:pPr>
        <w:keepNext/>
        <w:tabs>
          <w:tab w:val="clear" w:pos="2381"/>
          <w:tab w:val="clear" w:pos="2948"/>
        </w:tabs>
        <w:spacing w:after="120"/>
        <w:ind w:left="2835" w:hanging="567"/>
      </w:pPr>
      <w:r>
        <w:t>(</w:t>
      </w:r>
      <w:proofErr w:type="spellStart"/>
      <w:proofErr w:type="gramStart"/>
      <w:r>
        <w:t>i</w:t>
      </w:r>
      <w:proofErr w:type="spellEnd"/>
      <w:proofErr w:type="gramEnd"/>
      <w:r>
        <w:t>)</w:t>
      </w:r>
      <w:r>
        <w:tab/>
        <w:t>Air (indoor);</w:t>
      </w:r>
    </w:p>
    <w:p w:rsidR="00890CDD" w:rsidRDefault="00890CDD" w:rsidP="00795341">
      <w:pPr>
        <w:keepNext/>
        <w:tabs>
          <w:tab w:val="clear" w:pos="2381"/>
          <w:tab w:val="clear" w:pos="2948"/>
        </w:tabs>
        <w:spacing w:after="120"/>
        <w:ind w:left="2835" w:hanging="567"/>
      </w:pPr>
      <w:r>
        <w:t>(ii)</w:t>
      </w:r>
      <w:r>
        <w:tab/>
        <w:t>Air (emissions).</w:t>
      </w:r>
    </w:p>
    <w:p w:rsidR="00890CDD" w:rsidRDefault="00B23336">
      <w:pPr>
        <w:pStyle w:val="Heading3"/>
        <w:spacing w:before="240" w:after="120"/>
        <w:ind w:left="1134" w:hanging="425"/>
      </w:pPr>
      <w:bookmarkStart w:id="524" w:name="_Toc61328043"/>
      <w:bookmarkStart w:id="525" w:name="_Toc61681684"/>
      <w:bookmarkStart w:id="526" w:name="_Toc61681753"/>
      <w:bookmarkStart w:id="527" w:name="_Toc62220548"/>
      <w:bookmarkStart w:id="528" w:name="_Toc95280676"/>
      <w:bookmarkStart w:id="529" w:name="_Toc145395123"/>
      <w:bookmarkStart w:id="530" w:name="_Toc161804576"/>
      <w:r w:rsidDel="00B23336">
        <w:t xml:space="preserve"> </w:t>
      </w:r>
      <w:bookmarkStart w:id="531" w:name="_Toc405988649"/>
      <w:bookmarkStart w:id="532" w:name="_Toc437340542"/>
      <w:r w:rsidR="00890CDD" w:rsidRPr="005E5BFF">
        <w:rPr>
          <w:szCs w:val="20"/>
        </w:rPr>
        <w:t>2.</w:t>
      </w:r>
      <w:r w:rsidR="00890CDD" w:rsidRPr="005E5BFF">
        <w:rPr>
          <w:szCs w:val="20"/>
        </w:rPr>
        <w:tab/>
        <w:t>Analysis</w:t>
      </w:r>
      <w:bookmarkEnd w:id="524"/>
      <w:bookmarkEnd w:id="525"/>
      <w:bookmarkEnd w:id="526"/>
      <w:bookmarkEnd w:id="527"/>
      <w:bookmarkEnd w:id="528"/>
      <w:bookmarkEnd w:id="529"/>
      <w:bookmarkEnd w:id="530"/>
      <w:bookmarkEnd w:id="531"/>
      <w:bookmarkEnd w:id="532"/>
    </w:p>
    <w:p w:rsidR="00890CDD" w:rsidRDefault="00890CDD" w:rsidP="00980527">
      <w:pPr>
        <w:pStyle w:val="Paralevel1"/>
        <w:tabs>
          <w:tab w:val="clear" w:pos="1843"/>
          <w:tab w:val="left" w:pos="1701"/>
        </w:tabs>
        <w:ind w:left="1134" w:firstLine="0"/>
      </w:pPr>
      <w:r>
        <w:t xml:space="preserve">Typically, POPs analysis is performed in a dedicated laboratory. In some situations, for example in remote areas, testing in the field can be made possible using test kits designed for screening purposes in the field. </w:t>
      </w:r>
    </w:p>
    <w:p w:rsidR="00890CDD" w:rsidRDefault="00890CDD" w:rsidP="00980527">
      <w:pPr>
        <w:pStyle w:val="Paralevel1"/>
        <w:tabs>
          <w:tab w:val="clear" w:pos="1843"/>
          <w:tab w:val="left" w:pos="1701"/>
        </w:tabs>
        <w:ind w:left="1134" w:firstLine="0"/>
      </w:pPr>
      <w:r>
        <w:t>For analysis in laboratories, there are several analytical methods available</w:t>
      </w:r>
      <w:r w:rsidR="006D7B14">
        <w:t>,</w:t>
      </w:r>
      <w:r>
        <w:t xml:space="preserve"> although for some POPs analytical methods may still be in development. Therefore</w:t>
      </w:r>
      <w:r w:rsidR="006D7B14">
        <w:t>,</w:t>
      </w:r>
      <w:r>
        <w:t xml:space="preserve"> </w:t>
      </w:r>
      <w:r w:rsidR="006D7B14">
        <w:t>p</w:t>
      </w:r>
      <w:r>
        <w:t xml:space="preserve">arties should verify the availability and costs of methods for the POP they want to monitor before developing their monitoring and sampling </w:t>
      </w:r>
      <w:proofErr w:type="spellStart"/>
      <w:r>
        <w:t>program</w:t>
      </w:r>
      <w:r w:rsidR="00324EDC">
        <w:t>me</w:t>
      </w:r>
      <w:proofErr w:type="spellEnd"/>
      <w:r>
        <w:t>. Methods of analy</w:t>
      </w:r>
      <w:r w:rsidR="00E27707">
        <w:t>z</w:t>
      </w:r>
      <w:r>
        <w:t>ing the various matrices for POPs have been developed by ISO, the European Committee for Standardization (CEN), EPA, AOAC and ASTM. Most in-house methods are variations of these, and such in-house methods are also acceptable</w:t>
      </w:r>
      <w:r w:rsidR="006D7B14" w:rsidRPr="006D7B14">
        <w:t xml:space="preserve"> </w:t>
      </w:r>
      <w:r w:rsidR="006D7B14">
        <w:t>after validation</w:t>
      </w:r>
      <w:r>
        <w:t xml:space="preserve">. </w:t>
      </w:r>
    </w:p>
    <w:p w:rsidR="000E79E2" w:rsidRDefault="00890CDD" w:rsidP="00980527">
      <w:pPr>
        <w:pStyle w:val="Paralevel1"/>
        <w:tabs>
          <w:tab w:val="clear" w:pos="1843"/>
          <w:tab w:val="left" w:pos="1701"/>
        </w:tabs>
        <w:ind w:left="1134" w:firstLine="0"/>
      </w:pPr>
      <w:r>
        <w:t>The identification of a POP can be a difficult task</w:t>
      </w:r>
      <w:r w:rsidR="006D7B14">
        <w:t>,</w:t>
      </w:r>
      <w:r>
        <w:t xml:space="preserve"> particular</w:t>
      </w:r>
      <w:r w:rsidR="006D7B14">
        <w:t>ly</w:t>
      </w:r>
      <w:r>
        <w:t xml:space="preserve"> when </w:t>
      </w:r>
      <w:r w:rsidR="00981E48">
        <w:t>the</w:t>
      </w:r>
      <w:r>
        <w:t xml:space="preserve"> POP consists of a number of congeners or even isomers. </w:t>
      </w:r>
    </w:p>
    <w:p w:rsidR="000E79E2" w:rsidRDefault="00890CDD" w:rsidP="00980527">
      <w:pPr>
        <w:pStyle w:val="Paralevel1"/>
        <w:tabs>
          <w:tab w:val="clear" w:pos="1843"/>
          <w:tab w:val="left" w:pos="1701"/>
        </w:tabs>
        <w:ind w:left="1134" w:firstLine="0"/>
      </w:pPr>
      <w:r>
        <w:t>A tiered approach for the analysis (</w:t>
      </w:r>
      <w:r w:rsidR="00324EDC">
        <w:t xml:space="preserve">for the </w:t>
      </w:r>
      <w:r>
        <w:t>purpose of identification and quantification of a POP) is recommended</w:t>
      </w:r>
      <w:r w:rsidR="006D7B14">
        <w:t xml:space="preserve">; this would </w:t>
      </w:r>
      <w:r>
        <w:t xml:space="preserve">begin with simple steps and </w:t>
      </w:r>
      <w:r w:rsidR="006D7B14">
        <w:t xml:space="preserve">thereafter </w:t>
      </w:r>
      <w:r>
        <w:t>involv</w:t>
      </w:r>
      <w:r w:rsidR="006D7B14">
        <w:t>e</w:t>
      </w:r>
      <w:r>
        <w:t xml:space="preserve"> more sophisticated methods.  The first step is to identify wastes that potentially contain POPs in order to reduce the number of samples (and subsequently </w:t>
      </w:r>
      <w:r w:rsidR="00324EDC">
        <w:t xml:space="preserve">the </w:t>
      </w:r>
      <w:r>
        <w:t xml:space="preserve">amounts of waste to be disposed). The screening methods are especially valuable </w:t>
      </w:r>
      <w:r w:rsidR="006D7B14">
        <w:t xml:space="preserve">in situations </w:t>
      </w:r>
      <w:r>
        <w:t xml:space="preserve">where decisions </w:t>
      </w:r>
      <w:r w:rsidR="006D7B14">
        <w:t xml:space="preserve">need </w:t>
      </w:r>
      <w:r>
        <w:t xml:space="preserve">to be taken rapidly, </w:t>
      </w:r>
      <w:r w:rsidR="006D7B14">
        <w:t xml:space="preserve">or where there is a </w:t>
      </w:r>
      <w:r>
        <w:t xml:space="preserve">limited capacity, and </w:t>
      </w:r>
      <w:r w:rsidR="006D7B14">
        <w:t xml:space="preserve">also </w:t>
      </w:r>
      <w:r>
        <w:t>to reduce costs. In general, there are three steps, which sequentially include:</w:t>
      </w:r>
    </w:p>
    <w:p w:rsidR="001A1011" w:rsidRDefault="00890CDD" w:rsidP="001A1011">
      <w:pPr>
        <w:pStyle w:val="Paralevel1"/>
        <w:numPr>
          <w:ilvl w:val="0"/>
          <w:numId w:val="412"/>
        </w:numPr>
        <w:tabs>
          <w:tab w:val="clear" w:pos="1843"/>
          <w:tab w:val="left" w:pos="2268"/>
        </w:tabs>
        <w:ind w:left="1138" w:firstLine="562"/>
      </w:pPr>
      <w:r>
        <w:t>Coarse screening for presence of halogens contained in a POP; these are chlorine (</w:t>
      </w:r>
      <w:proofErr w:type="spellStart"/>
      <w:r>
        <w:t>Cl</w:t>
      </w:r>
      <w:proofErr w:type="spellEnd"/>
      <w:r>
        <w:t>), bromine (Br) or fluorine (F). The purpose of this step is to identify from a large amount of sample</w:t>
      </w:r>
      <w:r w:rsidR="00C000BE">
        <w:t>s</w:t>
      </w:r>
      <w:r>
        <w:t xml:space="preserve"> those that contain chlorine, bromine or fluorine. Hand-held instruments are available to test for these halogens without “destroying” the sample; e.g.</w:t>
      </w:r>
      <w:r w:rsidR="003822A8">
        <w:t>,</w:t>
      </w:r>
      <w:r>
        <w:t xml:space="preserve"> X</w:t>
      </w:r>
      <w:r w:rsidR="0069368F">
        <w:t>-ray fluorescence</w:t>
      </w:r>
      <w:r>
        <w:t xml:space="preserve"> has the advantage of being non-destructive, multi-elemental, fast and cost-effective. </w:t>
      </w:r>
      <w:r w:rsidR="005F0B00">
        <w:t xml:space="preserve">X-ray fluorescence </w:t>
      </w:r>
      <w:r>
        <w:t>is applicable to a wide range of concentrations, from 100</w:t>
      </w:r>
      <w:r w:rsidR="006D7B14">
        <w:t xml:space="preserve"> </w:t>
      </w:r>
      <w:r w:rsidR="00944A8E">
        <w:t xml:space="preserve">per cent </w:t>
      </w:r>
      <w:r>
        <w:t xml:space="preserve">to </w:t>
      </w:r>
      <w:r w:rsidR="00944A8E">
        <w:t xml:space="preserve">a </w:t>
      </w:r>
      <w:r>
        <w:t>few parts per million (</w:t>
      </w:r>
      <w:proofErr w:type="spellStart"/>
      <w:r>
        <w:t>ppm</w:t>
      </w:r>
      <w:proofErr w:type="spellEnd"/>
      <w:r>
        <w:t>)</w:t>
      </w:r>
      <w:r w:rsidR="005F0B00">
        <w:t xml:space="preserve">; </w:t>
      </w:r>
      <w:r w:rsidR="00405DFE" w:rsidRPr="00405DFE">
        <w:t>i</w:t>
      </w:r>
      <w:r w:rsidRPr="005F0B00">
        <w:t>ts</w:t>
      </w:r>
      <w:r>
        <w:t xml:space="preserve"> main disadvantage is that analyses are generally restricted to elements heavier than fluorine (Br, </w:t>
      </w:r>
      <w:proofErr w:type="spellStart"/>
      <w:r>
        <w:t>Cl</w:t>
      </w:r>
      <w:proofErr w:type="spellEnd"/>
      <w:r>
        <w:t>)</w:t>
      </w:r>
      <w:r w:rsidR="002764A3">
        <w:t xml:space="preserve"> a</w:t>
      </w:r>
      <w:r w:rsidR="00306E1B">
        <w:t xml:space="preserve">nd </w:t>
      </w:r>
      <w:r w:rsidR="002764A3">
        <w:t>cannot detect a sp</w:t>
      </w:r>
      <w:r w:rsidR="00306E1B">
        <w:t>ecific substance.</w:t>
      </w:r>
      <w:r w:rsidR="00405DFE" w:rsidRPr="00405DFE">
        <w:rPr>
          <w:b/>
          <w:i/>
        </w:rPr>
        <w:t xml:space="preserve"> </w:t>
      </w:r>
    </w:p>
    <w:p w:rsidR="001A1011" w:rsidRDefault="00890CDD" w:rsidP="001A1011">
      <w:pPr>
        <w:pStyle w:val="Paralevel1"/>
        <w:numPr>
          <w:ilvl w:val="0"/>
          <w:numId w:val="412"/>
        </w:numPr>
        <w:ind w:left="1138" w:firstLine="562"/>
      </w:pPr>
      <w:r>
        <w:t xml:space="preserve">Biological or chemical screening methods (applied if a sample is positive under </w:t>
      </w:r>
      <w:r w:rsidR="006D7B14">
        <w:t>step 1</w:t>
      </w:r>
      <w:r>
        <w:t xml:space="preserve">): Test kits or simple detection methods with less costly instrumentation are available to further reduce the number of samples which may </w:t>
      </w:r>
      <w:r w:rsidR="00C000BE">
        <w:t>contain</w:t>
      </w:r>
      <w:r>
        <w:t xml:space="preserve"> POPs listed in the Stockholm Convention. </w:t>
      </w:r>
      <w:r w:rsidR="006D7B14">
        <w:t>T</w:t>
      </w:r>
      <w:r>
        <w:t>he determination of organic chlorine with the DEXSIL</w:t>
      </w:r>
      <w:r>
        <w:rPr>
          <w:rStyle w:val="FootnoteReference"/>
        </w:rPr>
        <w:footnoteReference w:id="41"/>
      </w:r>
      <w:r>
        <w:t xml:space="preserve"> test kits or the L2000 </w:t>
      </w:r>
      <w:r w:rsidR="006D7B14">
        <w:t>a</w:t>
      </w:r>
      <w:r>
        <w:t>nalyzer</w:t>
      </w:r>
      <w:r w:rsidR="00906FA0">
        <w:rPr>
          <w:rStyle w:val="FootnoteReference"/>
        </w:rPr>
        <w:footnoteReference w:id="42"/>
      </w:r>
      <w:r>
        <w:t xml:space="preserve"> </w:t>
      </w:r>
      <w:r w:rsidR="00C000BE">
        <w:t>is</w:t>
      </w:r>
      <w:r w:rsidR="006D7B14">
        <w:t xml:space="preserve"> well established</w:t>
      </w:r>
      <w:r w:rsidR="00CB3D2A">
        <w:t>,</w:t>
      </w:r>
      <w:r w:rsidR="006D7B14">
        <w:t xml:space="preserve"> as</w:t>
      </w:r>
      <w:r>
        <w:t xml:space="preserve"> both </w:t>
      </w:r>
      <w:r w:rsidR="00C000BE">
        <w:t xml:space="preserve">methods </w:t>
      </w:r>
      <w:r w:rsidR="006D7B14">
        <w:t xml:space="preserve">are </w:t>
      </w:r>
      <w:r>
        <w:t xml:space="preserve">able to </w:t>
      </w:r>
      <w:proofErr w:type="spellStart"/>
      <w:r w:rsidR="00C000BE">
        <w:t>analy</w:t>
      </w:r>
      <w:r w:rsidR="00CB3D2A">
        <w:t>s</w:t>
      </w:r>
      <w:r w:rsidR="00C000BE">
        <w:t>e</w:t>
      </w:r>
      <w:proofErr w:type="spellEnd"/>
      <w:r w:rsidR="006B70C9">
        <w:t xml:space="preserve"> POPs in</w:t>
      </w:r>
      <w:r w:rsidR="00C000BE">
        <w:t xml:space="preserve"> </w:t>
      </w:r>
      <w:r>
        <w:t>oil or soil samples</w:t>
      </w:r>
      <w:r w:rsidR="00C000BE">
        <w:t>.</w:t>
      </w:r>
      <w:r>
        <w:t xml:space="preserve"> </w:t>
      </w:r>
      <w:proofErr w:type="spellStart"/>
      <w:r w:rsidR="00C000BE">
        <w:t>B</w:t>
      </w:r>
      <w:r>
        <w:t>ioanalytical</w:t>
      </w:r>
      <w:proofErr w:type="spellEnd"/>
      <w:r>
        <w:t xml:space="preserve"> methods</w:t>
      </w:r>
      <w:r w:rsidR="006D7B14">
        <w:t>,</w:t>
      </w:r>
      <w:r>
        <w:t xml:space="preserve"> such as CALUX</w:t>
      </w:r>
      <w:r w:rsidR="00CB3D2A">
        <w:t>,</w:t>
      </w:r>
      <w:r>
        <w:rPr>
          <w:rStyle w:val="FootnoteReference"/>
        </w:rPr>
        <w:footnoteReference w:id="43"/>
      </w:r>
      <w:r>
        <w:t xml:space="preserve"> </w:t>
      </w:r>
      <w:r w:rsidR="002D4E0F">
        <w:t>are</w:t>
      </w:r>
      <w:r w:rsidR="006B70C9">
        <w:t xml:space="preserve"> recognized </w:t>
      </w:r>
      <w:r>
        <w:t>for the detection of dioxin-like toxic equivalents. Also</w:t>
      </w:r>
      <w:r w:rsidR="006D7B14">
        <w:t>,</w:t>
      </w:r>
      <w:r>
        <w:t xml:space="preserve"> fast extraction methods and use of short GC columns and a simple detector can be used to identify chlorinated POPs.</w:t>
      </w:r>
      <w:r w:rsidR="00CB3D2A">
        <w:t xml:space="preserve"> </w:t>
      </w:r>
    </w:p>
    <w:p w:rsidR="001A1011" w:rsidRDefault="00890CDD" w:rsidP="001A1011">
      <w:pPr>
        <w:pStyle w:val="Paralevel1"/>
        <w:numPr>
          <w:ilvl w:val="0"/>
          <w:numId w:val="412"/>
        </w:numPr>
        <w:ind w:left="1138" w:firstLine="562"/>
      </w:pPr>
      <w:r>
        <w:t>The final step is the confirmation of the chemical analysis</w:t>
      </w:r>
      <w:r w:rsidR="006D7B14">
        <w:t>,</w:t>
      </w:r>
      <w:r>
        <w:t xml:space="preserve"> which is typically required for all samples that result positive under step 2. Such analysis is done in chemical laboratories, which often are specialized for a certain group of POPs (e.g.</w:t>
      </w:r>
      <w:r w:rsidR="00CB3D2A">
        <w:t>,</w:t>
      </w:r>
      <w:r w:rsidR="006D7B14">
        <w:t xml:space="preserve"> </w:t>
      </w:r>
      <w:r>
        <w:t>pesticide</w:t>
      </w:r>
      <w:r w:rsidR="003923B9">
        <w:t xml:space="preserve"> POPs</w:t>
      </w:r>
      <w:r>
        <w:t xml:space="preserve">, dioxin-like POPs, </w:t>
      </w:r>
      <w:r w:rsidR="00AD2DE0">
        <w:t xml:space="preserve">POP </w:t>
      </w:r>
      <w:proofErr w:type="spellStart"/>
      <w:r w:rsidR="006D7B14">
        <w:t>b</w:t>
      </w:r>
      <w:r>
        <w:t>rominated</w:t>
      </w:r>
      <w:proofErr w:type="spellEnd"/>
      <w:r>
        <w:t xml:space="preserve"> flame retardants, PFOS) and specialized to a certain matrix. Confirmatory chemical analytical methods have been developed by international and national organizations and include:</w:t>
      </w:r>
      <w:r w:rsidR="00AD152A">
        <w:t xml:space="preserve"> </w:t>
      </w:r>
    </w:p>
    <w:p w:rsidR="001A1011" w:rsidRDefault="00466EA2" w:rsidP="001A1011">
      <w:pPr>
        <w:tabs>
          <w:tab w:val="clear" w:pos="1247"/>
          <w:tab w:val="clear" w:pos="1814"/>
          <w:tab w:val="clear" w:pos="2381"/>
          <w:tab w:val="left" w:pos="2268"/>
        </w:tabs>
        <w:spacing w:after="120"/>
        <w:ind w:left="2837" w:hanging="562"/>
      </w:pPr>
      <w:r>
        <w:t>(</w:t>
      </w:r>
      <w:proofErr w:type="spellStart"/>
      <w:r w:rsidR="00602E24">
        <w:t>i</w:t>
      </w:r>
      <w:proofErr w:type="spellEnd"/>
      <w:r>
        <w:t>)</w:t>
      </w:r>
      <w:r w:rsidR="00445359" w:rsidRPr="00445359">
        <w:t xml:space="preserve"> </w:t>
      </w:r>
      <w:r w:rsidR="00445359">
        <w:tab/>
      </w:r>
      <w:r w:rsidR="00890CDD">
        <w:t xml:space="preserve">For </w:t>
      </w:r>
      <w:r w:rsidR="003923B9">
        <w:t xml:space="preserve">pesticide </w:t>
      </w:r>
      <w:r w:rsidR="00890CDD">
        <w:t>POPs and PCB</w:t>
      </w:r>
      <w:r w:rsidR="003923B9">
        <w:t>s</w:t>
      </w:r>
      <w:r w:rsidR="00890CDD">
        <w:t xml:space="preserve">: capillary gas chromatography </w:t>
      </w:r>
      <w:r w:rsidR="00A03A12">
        <w:t xml:space="preserve">(GC) </w:t>
      </w:r>
      <w:r w:rsidR="00890CDD">
        <w:t xml:space="preserve">+ </w:t>
      </w:r>
      <w:r w:rsidR="00405DFE" w:rsidRPr="00405DFE">
        <w:t>electron capture detector (</w:t>
      </w:r>
      <w:r w:rsidR="00890CDD">
        <w:t>ECD</w:t>
      </w:r>
      <w:r w:rsidR="00A03A12">
        <w:t>)</w:t>
      </w:r>
      <w:r w:rsidR="002244D1">
        <w:t>, mass spectrometry</w:t>
      </w:r>
      <w:r w:rsidR="00A03A12">
        <w:t xml:space="preserve"> (MS)</w:t>
      </w:r>
      <w:r w:rsidR="002244D1">
        <w:t xml:space="preserve">, or </w:t>
      </w:r>
      <w:r w:rsidR="00A03A12">
        <w:t>tandem mass spectrometry (</w:t>
      </w:r>
      <w:r w:rsidR="002244D1">
        <w:t>MS/MS</w:t>
      </w:r>
      <w:r w:rsidR="00A03A12">
        <w:t>)</w:t>
      </w:r>
      <w:r w:rsidR="00F21921">
        <w:t>;</w:t>
      </w:r>
    </w:p>
    <w:p w:rsidR="001A1011" w:rsidRDefault="00466EA2" w:rsidP="001A1011">
      <w:pPr>
        <w:tabs>
          <w:tab w:val="clear" w:pos="1247"/>
          <w:tab w:val="clear" w:pos="1814"/>
          <w:tab w:val="clear" w:pos="2381"/>
          <w:tab w:val="left" w:pos="2268"/>
        </w:tabs>
        <w:spacing w:after="120"/>
        <w:ind w:left="2837" w:hanging="562"/>
      </w:pPr>
      <w:r>
        <w:t>(</w:t>
      </w:r>
      <w:r w:rsidR="00602E24">
        <w:t>ii</w:t>
      </w:r>
      <w:r>
        <w:t>)</w:t>
      </w:r>
      <w:r w:rsidR="00445359" w:rsidRPr="00445359">
        <w:t xml:space="preserve"> </w:t>
      </w:r>
      <w:r w:rsidR="00445359">
        <w:tab/>
      </w:r>
      <w:r w:rsidR="00890CDD">
        <w:t>For P</w:t>
      </w:r>
      <w:r w:rsidR="00AD2DE0">
        <w:t>OP-</w:t>
      </w:r>
      <w:r w:rsidR="00890CDD">
        <w:t>BDE</w:t>
      </w:r>
      <w:r w:rsidR="00AD2DE0">
        <w:t>s</w:t>
      </w:r>
      <w:r w:rsidR="00890CDD">
        <w:t xml:space="preserve">, dioxin-like POPs: capillary </w:t>
      </w:r>
      <w:r w:rsidR="00A03A12">
        <w:t>GC</w:t>
      </w:r>
      <w:r w:rsidR="00890CDD">
        <w:t xml:space="preserve"> + </w:t>
      </w:r>
      <w:r w:rsidR="00A03A12">
        <w:t>MS</w:t>
      </w:r>
      <w:r w:rsidR="00890CDD">
        <w:t xml:space="preserve"> (for dioxin-like preferentially high-resolution)</w:t>
      </w:r>
      <w:r w:rsidR="00F21921">
        <w:t>;</w:t>
      </w:r>
    </w:p>
    <w:p w:rsidR="001A1011" w:rsidRDefault="00466EA2" w:rsidP="001A1011">
      <w:pPr>
        <w:tabs>
          <w:tab w:val="clear" w:pos="1247"/>
          <w:tab w:val="clear" w:pos="1814"/>
          <w:tab w:val="clear" w:pos="2381"/>
          <w:tab w:val="left" w:pos="2268"/>
        </w:tabs>
        <w:spacing w:after="120"/>
        <w:ind w:left="2837" w:hanging="562"/>
      </w:pPr>
      <w:r>
        <w:t>(</w:t>
      </w:r>
      <w:r w:rsidR="00602E24">
        <w:t>iii</w:t>
      </w:r>
      <w:r>
        <w:t>)</w:t>
      </w:r>
      <w:r w:rsidR="00445359" w:rsidRPr="00445359">
        <w:t xml:space="preserve"> </w:t>
      </w:r>
      <w:r w:rsidR="00445359">
        <w:tab/>
      </w:r>
      <w:r w:rsidR="00890CDD">
        <w:t xml:space="preserve">For PFOS: liquid chromatography </w:t>
      </w:r>
      <w:r w:rsidR="00A03A12">
        <w:t xml:space="preserve">(LC) </w:t>
      </w:r>
      <w:r w:rsidR="00890CDD">
        <w:t xml:space="preserve">+ </w:t>
      </w:r>
      <w:r w:rsidR="00A03A12">
        <w:t>(</w:t>
      </w:r>
      <w:r w:rsidR="00890CDD">
        <w:t>MS</w:t>
      </w:r>
      <w:r w:rsidR="009D50A0">
        <w:t>/MS</w:t>
      </w:r>
      <w:r w:rsidR="00A03A12">
        <w:t>)</w:t>
      </w:r>
      <w:r w:rsidR="00F21921">
        <w:t>;</w:t>
      </w:r>
    </w:p>
    <w:p w:rsidR="001A1011" w:rsidRDefault="00466EA2" w:rsidP="001A1011">
      <w:pPr>
        <w:tabs>
          <w:tab w:val="clear" w:pos="1247"/>
          <w:tab w:val="clear" w:pos="1814"/>
          <w:tab w:val="clear" w:pos="2381"/>
          <w:tab w:val="left" w:pos="2268"/>
        </w:tabs>
        <w:spacing w:after="120"/>
        <w:ind w:left="2837" w:hanging="562"/>
      </w:pPr>
      <w:proofErr w:type="gramStart"/>
      <w:r>
        <w:t>(</w:t>
      </w:r>
      <w:r w:rsidR="00602E24">
        <w:t>iv</w:t>
      </w:r>
      <w:r>
        <w:t>)</w:t>
      </w:r>
      <w:r w:rsidR="00445359" w:rsidRPr="00445359">
        <w:t xml:space="preserve"> </w:t>
      </w:r>
      <w:r w:rsidR="00445359">
        <w:tab/>
      </w:r>
      <w:r w:rsidR="00F87B04">
        <w:t>F</w:t>
      </w:r>
      <w:r w:rsidR="00306E1B">
        <w:t>or</w:t>
      </w:r>
      <w:proofErr w:type="gramEnd"/>
      <w:r w:rsidR="00306E1B">
        <w:t xml:space="preserve"> </w:t>
      </w:r>
      <w:r w:rsidR="00F87B04" w:rsidRPr="00F549EF">
        <w:t xml:space="preserve">HBCD: GC/MS, LC-MS and HPLC-MS. GC-FID </w:t>
      </w:r>
      <w:r w:rsidR="00686A40">
        <w:t xml:space="preserve">(flame ionization detector) </w:t>
      </w:r>
      <w:r w:rsidR="00F87B04" w:rsidRPr="00F549EF">
        <w:t xml:space="preserve">using a HBCD reference is also able to identify and quantify HBCD. </w:t>
      </w:r>
    </w:p>
    <w:p w:rsidR="00890CDD" w:rsidRDefault="00890CDD" w:rsidP="00980527">
      <w:pPr>
        <w:pStyle w:val="Paralevel1"/>
        <w:tabs>
          <w:tab w:val="clear" w:pos="1843"/>
          <w:tab w:val="left" w:pos="1701"/>
        </w:tabs>
        <w:ind w:left="1134" w:firstLine="0"/>
      </w:pPr>
      <w:r>
        <w:t xml:space="preserve">It is important </w:t>
      </w:r>
      <w:r w:rsidR="00B405AA">
        <w:t xml:space="preserve">that </w:t>
      </w:r>
      <w:r w:rsidR="005F0B00">
        <w:t xml:space="preserve">the </w:t>
      </w:r>
      <w:r>
        <w:t>step</w:t>
      </w:r>
      <w:r w:rsidR="00ED380F">
        <w:t xml:space="preserve">s </w:t>
      </w:r>
      <w:r w:rsidR="005F0B00">
        <w:t xml:space="preserve">described in subsections (a) </w:t>
      </w:r>
      <w:r>
        <w:t xml:space="preserve">and </w:t>
      </w:r>
      <w:r w:rsidR="005F0B00">
        <w:t xml:space="preserve">(b) of </w:t>
      </w:r>
      <w:r w:rsidR="00093BCE" w:rsidRPr="00093BCE">
        <w:t>paragraph 96</w:t>
      </w:r>
      <w:r w:rsidR="005F0B00">
        <w:t xml:space="preserve"> above </w:t>
      </w:r>
      <w:r>
        <w:t>do not generate false negatives and that any method compl</w:t>
      </w:r>
      <w:r w:rsidR="00445359">
        <w:t xml:space="preserve">y </w:t>
      </w:r>
      <w:r>
        <w:t xml:space="preserve"> </w:t>
      </w:r>
      <w:r w:rsidRPr="00445359">
        <w:t xml:space="preserve">with </w:t>
      </w:r>
      <w:r w:rsidRPr="00AB0D16">
        <w:t>the level of interest for the analysis</w:t>
      </w:r>
      <w:r>
        <w:t xml:space="preserve">. </w:t>
      </w:r>
    </w:p>
    <w:p w:rsidR="00890CDD" w:rsidRDefault="00890CDD" w:rsidP="00980527">
      <w:pPr>
        <w:pStyle w:val="Paralevel1"/>
        <w:tabs>
          <w:tab w:val="clear" w:pos="1843"/>
          <w:tab w:val="left" w:pos="1701"/>
        </w:tabs>
        <w:ind w:left="1134" w:firstLine="0"/>
      </w:pPr>
      <w:r>
        <w:t>Analysis refers to the extraction, purification, separation, identification, quantification and reporting of POPs concentrations in the matrix of interest. To obtain meaningful and acceptable results, the analytical laboratory should have the necessary infrastructure (housing) and proven experience with the matrix and the POP (</w:t>
      </w:r>
      <w:r>
        <w:rPr>
          <w:iCs/>
        </w:rPr>
        <w:t>e.g.,</w:t>
      </w:r>
      <w:r>
        <w:t xml:space="preserve"> successful participation in international </w:t>
      </w:r>
      <w:proofErr w:type="spellStart"/>
      <w:r>
        <w:t>intercalibration</w:t>
      </w:r>
      <w:proofErr w:type="spellEnd"/>
      <w:r>
        <w:t xml:space="preserve"> </w:t>
      </w:r>
      <w:r w:rsidR="009D50A0">
        <w:t>assessments</w:t>
      </w:r>
      <w:r>
        <w:t xml:space="preserve">). </w:t>
      </w:r>
      <w:r>
        <w:rPr>
          <w:iCs/>
        </w:rPr>
        <w:t xml:space="preserve">Accreditation of the laboratory </w:t>
      </w:r>
      <w:r w:rsidR="00405DFE" w:rsidRPr="00E67180">
        <w:rPr>
          <w:iCs/>
        </w:rPr>
        <w:t>in accordance with</w:t>
      </w:r>
      <w:r>
        <w:rPr>
          <w:iCs/>
        </w:rPr>
        <w:t xml:space="preserve"> ISO 17025 or other standards </w:t>
      </w:r>
      <w:r>
        <w:t xml:space="preserve">by an independent body </w:t>
      </w:r>
      <w:r w:rsidR="00405DFE" w:rsidRPr="00E67180">
        <w:rPr>
          <w:iCs/>
        </w:rPr>
        <w:t>is important</w:t>
      </w:r>
      <w:r>
        <w:rPr>
          <w:iCs/>
        </w:rPr>
        <w:t>. Indispensable criteria for obtaining high-quality results include:</w:t>
      </w:r>
    </w:p>
    <w:p w:rsidR="00890CDD" w:rsidRDefault="00890CDD" w:rsidP="00795341">
      <w:pPr>
        <w:tabs>
          <w:tab w:val="clear" w:pos="1247"/>
          <w:tab w:val="clear" w:pos="1814"/>
          <w:tab w:val="clear" w:pos="2381"/>
          <w:tab w:val="left" w:pos="2268"/>
        </w:tabs>
        <w:spacing w:after="120"/>
        <w:ind w:left="1134" w:firstLine="567"/>
      </w:pPr>
      <w:r>
        <w:t>(a)</w:t>
      </w:r>
      <w:r>
        <w:tab/>
      </w:r>
      <w:r w:rsidRPr="00A83D4B">
        <w:t xml:space="preserve">Specification of the analytical </w:t>
      </w:r>
      <w:r w:rsidRPr="00AB0D16">
        <w:t>technique</w:t>
      </w:r>
      <w:r w:rsidR="00650FA2" w:rsidRPr="00AB0D16">
        <w:t xml:space="preserve"> used</w:t>
      </w:r>
      <w:r w:rsidRPr="00A60E31">
        <w:t>;</w:t>
      </w:r>
      <w:r w:rsidR="007F298B">
        <w:t xml:space="preserve"> </w:t>
      </w:r>
    </w:p>
    <w:p w:rsidR="00890CDD" w:rsidRDefault="00890CDD" w:rsidP="00795341">
      <w:pPr>
        <w:tabs>
          <w:tab w:val="clear" w:pos="1247"/>
          <w:tab w:val="clear" w:pos="1814"/>
          <w:tab w:val="clear" w:pos="2381"/>
          <w:tab w:val="left" w:pos="2268"/>
        </w:tabs>
        <w:spacing w:after="120"/>
        <w:ind w:left="1134" w:firstLine="567"/>
      </w:pPr>
      <w:r>
        <w:t>(b)</w:t>
      </w:r>
      <w:r>
        <w:tab/>
      </w:r>
      <w:r w:rsidRPr="00A83D4B">
        <w:t>Maintenance of analytical equipment;</w:t>
      </w:r>
    </w:p>
    <w:p w:rsidR="00890CDD" w:rsidRDefault="00890CDD" w:rsidP="00795341">
      <w:pPr>
        <w:tabs>
          <w:tab w:val="clear" w:pos="1247"/>
          <w:tab w:val="clear" w:pos="1814"/>
          <w:tab w:val="clear" w:pos="2381"/>
          <w:tab w:val="left" w:pos="2268"/>
        </w:tabs>
        <w:spacing w:after="120"/>
        <w:ind w:left="1134" w:firstLine="567"/>
      </w:pPr>
      <w:r>
        <w:t>(c)</w:t>
      </w:r>
      <w:r>
        <w:tab/>
      </w:r>
      <w:r w:rsidRPr="00A83D4B">
        <w:t>Validation of all methods used (including in-house methods);</w:t>
      </w:r>
      <w:r>
        <w:t xml:space="preserve"> and</w:t>
      </w:r>
    </w:p>
    <w:p w:rsidR="00890CDD" w:rsidRDefault="00890CDD" w:rsidP="00795341">
      <w:pPr>
        <w:tabs>
          <w:tab w:val="clear" w:pos="1247"/>
          <w:tab w:val="clear" w:pos="1814"/>
          <w:tab w:val="clear" w:pos="2381"/>
          <w:tab w:val="left" w:pos="2268"/>
        </w:tabs>
        <w:spacing w:after="120"/>
        <w:ind w:left="1134" w:firstLine="567"/>
      </w:pPr>
      <w:r>
        <w:t>(d)</w:t>
      </w:r>
      <w:r>
        <w:tab/>
      </w:r>
      <w:r w:rsidRPr="00A83D4B">
        <w:t>Training of laboratory staff.</w:t>
      </w:r>
    </w:p>
    <w:p w:rsidR="00890CDD" w:rsidRDefault="00890CDD" w:rsidP="00980527">
      <w:pPr>
        <w:pStyle w:val="Paralevel1"/>
        <w:tabs>
          <w:tab w:val="clear" w:pos="1843"/>
          <w:tab w:val="left" w:pos="1701"/>
        </w:tabs>
        <w:ind w:left="1134" w:firstLine="0"/>
      </w:pPr>
      <w:r>
        <w:t xml:space="preserve">Typically, POPs analysis is performed in a dedicated laboratory. For specific situations, test kits are available that can be used in the field for screening purposes. </w:t>
      </w:r>
    </w:p>
    <w:p w:rsidR="00890CDD" w:rsidRDefault="00890CDD" w:rsidP="00980527">
      <w:pPr>
        <w:pStyle w:val="Paralevel1"/>
        <w:tabs>
          <w:tab w:val="clear" w:pos="1843"/>
          <w:tab w:val="left" w:pos="1701"/>
        </w:tabs>
        <w:ind w:left="1134" w:firstLine="0"/>
      </w:pPr>
      <w:r>
        <w:t xml:space="preserve">For laboratory POPs analysis, there is no </w:t>
      </w:r>
      <w:r w:rsidR="00542AC2">
        <w:t xml:space="preserve">single </w:t>
      </w:r>
      <w:r>
        <w:t xml:space="preserve">analytical method available. Methods of </w:t>
      </w:r>
      <w:r w:rsidR="00ED380F">
        <w:t xml:space="preserve">analyzing </w:t>
      </w:r>
      <w:r>
        <w:t xml:space="preserve">the various matrices for POPs have been developed by ISO, the European Committee for Standardization (CEN), EPA, AOAC and ASTM. Most in-house methods are variations of these, and after validation such in-house methods are also acceptable. </w:t>
      </w:r>
    </w:p>
    <w:p w:rsidR="00890CDD" w:rsidRDefault="00890CDD" w:rsidP="00980527">
      <w:pPr>
        <w:pStyle w:val="Paralevel1"/>
        <w:tabs>
          <w:tab w:val="clear" w:pos="1843"/>
          <w:tab w:val="left" w:pos="1701"/>
        </w:tabs>
        <w:ind w:left="1134" w:firstLine="0"/>
      </w:pPr>
      <w:r>
        <w:t xml:space="preserve">In addition, procedures and acceptance criteria for handling and preparation of the sample in the laboratory, </w:t>
      </w:r>
      <w:r>
        <w:rPr>
          <w:iCs/>
        </w:rPr>
        <w:t>e.g.,</w:t>
      </w:r>
      <w:r>
        <w:t xml:space="preserve"> homogenization, should be established.</w:t>
      </w:r>
    </w:p>
    <w:p w:rsidR="00890CDD" w:rsidRDefault="00890CDD" w:rsidP="00980527">
      <w:pPr>
        <w:pStyle w:val="Paralevel1"/>
        <w:tabs>
          <w:tab w:val="clear" w:pos="1843"/>
          <w:tab w:val="left" w:pos="1701"/>
        </w:tabs>
        <w:ind w:left="1134" w:firstLine="0"/>
      </w:pPr>
      <w:r>
        <w:t>The individual steps in the analytical determination include:</w:t>
      </w:r>
    </w:p>
    <w:p w:rsidR="00890CDD" w:rsidRDefault="00890CDD" w:rsidP="00795341">
      <w:pPr>
        <w:tabs>
          <w:tab w:val="clear" w:pos="1247"/>
          <w:tab w:val="clear" w:pos="1814"/>
          <w:tab w:val="clear" w:pos="2381"/>
          <w:tab w:val="left" w:pos="2268"/>
        </w:tabs>
        <w:spacing w:after="120"/>
        <w:ind w:left="1134" w:firstLine="567"/>
      </w:pPr>
      <w:r>
        <w:t>(a)</w:t>
      </w:r>
      <w:r>
        <w:tab/>
        <w:t xml:space="preserve">Extraction, e.g., by </w:t>
      </w:r>
      <w:proofErr w:type="spellStart"/>
      <w:r>
        <w:t>Soxhlet</w:t>
      </w:r>
      <w:proofErr w:type="spellEnd"/>
      <w:r>
        <w:t>, pressurized solvent extraction, liquid-liquid, etc</w:t>
      </w:r>
      <w:proofErr w:type="gramStart"/>
      <w:r>
        <w:t>.;</w:t>
      </w:r>
      <w:proofErr w:type="gramEnd"/>
    </w:p>
    <w:p w:rsidR="00890CDD" w:rsidRDefault="00890CDD" w:rsidP="00795341">
      <w:pPr>
        <w:tabs>
          <w:tab w:val="clear" w:pos="1247"/>
          <w:tab w:val="clear" w:pos="1814"/>
          <w:tab w:val="clear" w:pos="2381"/>
          <w:tab w:val="left" w:pos="2268"/>
        </w:tabs>
        <w:spacing w:after="120"/>
        <w:ind w:left="1134" w:firstLine="567"/>
      </w:pPr>
      <w:r>
        <w:t>(b)</w:t>
      </w:r>
      <w:r>
        <w:tab/>
        <w:t xml:space="preserve">Purification, e.g., by column chromatography or with </w:t>
      </w:r>
      <w:proofErr w:type="spellStart"/>
      <w:r>
        <w:t>Florisil</w:t>
      </w:r>
      <w:proofErr w:type="spellEnd"/>
      <w:r>
        <w:t>. Purification should be efficient enough so that chromatographic retention is not influenced by the matrix;</w:t>
      </w:r>
    </w:p>
    <w:p w:rsidR="00890CDD" w:rsidRDefault="00890CDD" w:rsidP="00795341">
      <w:pPr>
        <w:tabs>
          <w:tab w:val="clear" w:pos="1247"/>
          <w:tab w:val="clear" w:pos="1814"/>
          <w:tab w:val="clear" w:pos="2381"/>
          <w:tab w:val="left" w:pos="2268"/>
        </w:tabs>
        <w:spacing w:after="120"/>
        <w:ind w:left="1134" w:firstLine="567"/>
      </w:pPr>
      <w:r>
        <w:t>(c)</w:t>
      </w:r>
      <w:r>
        <w:tab/>
        <w:t xml:space="preserve">Separation by capillary gas chromatography (HRGC), which will provide sufficient separation of </w:t>
      </w:r>
      <w:proofErr w:type="spellStart"/>
      <w:r>
        <w:t>analytes</w:t>
      </w:r>
      <w:proofErr w:type="spellEnd"/>
      <w:r>
        <w:t>;</w:t>
      </w:r>
    </w:p>
    <w:p w:rsidR="00890CDD" w:rsidRDefault="00890CDD" w:rsidP="00795341">
      <w:pPr>
        <w:tabs>
          <w:tab w:val="clear" w:pos="1247"/>
          <w:tab w:val="clear" w:pos="1814"/>
          <w:tab w:val="clear" w:pos="2381"/>
          <w:tab w:val="left" w:pos="2268"/>
        </w:tabs>
        <w:spacing w:after="120"/>
        <w:ind w:left="1134" w:firstLine="567"/>
      </w:pPr>
      <w:r>
        <w:t>(d)</w:t>
      </w:r>
      <w:r>
        <w:tab/>
        <w:t>Identification by suitable detectors such as an ECD or a mass</w:t>
      </w:r>
      <w:r>
        <w:noBreakHyphen/>
      </w:r>
      <w:proofErr w:type="spellStart"/>
      <w:r>
        <w:t>selective</w:t>
      </w:r>
      <w:proofErr w:type="spellEnd"/>
      <w:r>
        <w:t xml:space="preserve"> detector, or by either low-resolution mass spectrometry </w:t>
      </w:r>
      <w:r w:rsidR="00302028">
        <w:t xml:space="preserve">(LRMS) </w:t>
      </w:r>
      <w:r>
        <w:t>or high-resolution mass spectrometry (HRMS);</w:t>
      </w:r>
    </w:p>
    <w:p w:rsidR="00890CDD" w:rsidRDefault="00890CDD" w:rsidP="00795341">
      <w:pPr>
        <w:tabs>
          <w:tab w:val="clear" w:pos="1247"/>
          <w:tab w:val="clear" w:pos="1814"/>
          <w:tab w:val="clear" w:pos="2381"/>
          <w:tab w:val="left" w:pos="2268"/>
        </w:tabs>
        <w:spacing w:after="120"/>
        <w:ind w:left="1134" w:firstLine="567"/>
      </w:pPr>
      <w:r>
        <w:t>(e)</w:t>
      </w:r>
      <w:r>
        <w:tab/>
        <w:t xml:space="preserve">Quantification </w:t>
      </w:r>
      <w:r w:rsidR="00405DFE" w:rsidRPr="00E67180">
        <w:t>in accordance with</w:t>
      </w:r>
      <w:r w:rsidRPr="00E67180">
        <w:t xml:space="preserve"> internal standard </w:t>
      </w:r>
      <w:r w:rsidR="00405DFE" w:rsidRPr="00E67180">
        <w:t>methodologies</w:t>
      </w:r>
      <w:r w:rsidRPr="00E67180">
        <w:t xml:space="preserve"> (for reference, see UNEP</w:t>
      </w:r>
      <w:r w:rsidR="003B1AFF" w:rsidRPr="00E67180">
        <w:t>,</w:t>
      </w:r>
      <w:r w:rsidRPr="00E67180">
        <w:t> </w:t>
      </w:r>
      <w:r w:rsidR="00002CD2" w:rsidRPr="00E67180">
        <w:t>2015</w:t>
      </w:r>
      <w:r w:rsidR="00405DFE" w:rsidRPr="00E67180">
        <w:t>d and</w:t>
      </w:r>
      <w:r w:rsidR="009C3E60">
        <w:t xml:space="preserve"> </w:t>
      </w:r>
      <w:r>
        <w:t>UNEP,</w:t>
      </w:r>
      <w:r w:rsidR="003B1AFF">
        <w:t xml:space="preserve"> </w:t>
      </w:r>
      <w:r>
        <w:t>2006b); and</w:t>
      </w:r>
    </w:p>
    <w:p w:rsidR="00890CDD" w:rsidRDefault="00890CDD" w:rsidP="00795341">
      <w:pPr>
        <w:tabs>
          <w:tab w:val="clear" w:pos="1247"/>
          <w:tab w:val="clear" w:pos="1814"/>
          <w:tab w:val="clear" w:pos="2381"/>
          <w:tab w:val="left" w:pos="2268"/>
        </w:tabs>
        <w:spacing w:after="120"/>
        <w:ind w:left="1134" w:firstLine="567"/>
      </w:pPr>
      <w:r>
        <w:t>(f)</w:t>
      </w:r>
      <w:r>
        <w:tab/>
        <w:t>Reporting in accordance with regulation(s).</w:t>
      </w:r>
    </w:p>
    <w:p w:rsidR="00890CDD" w:rsidRDefault="00890CDD">
      <w:pPr>
        <w:pStyle w:val="Heading3"/>
        <w:spacing w:before="240" w:after="120"/>
        <w:ind w:left="1134" w:hanging="425"/>
      </w:pPr>
      <w:bookmarkStart w:id="533" w:name="_Toc61328045"/>
      <w:bookmarkStart w:id="534" w:name="_Toc61681686"/>
      <w:bookmarkStart w:id="535" w:name="_Toc61681755"/>
      <w:bookmarkStart w:id="536" w:name="_Toc62220549"/>
      <w:bookmarkStart w:id="537" w:name="_Toc95280677"/>
      <w:bookmarkStart w:id="538" w:name="_Toc145395124"/>
      <w:bookmarkStart w:id="539" w:name="_Toc161804577"/>
      <w:bookmarkStart w:id="540" w:name="_Toc405988650"/>
      <w:bookmarkStart w:id="541" w:name="_Toc437340543"/>
      <w:r w:rsidRPr="005E5BFF">
        <w:rPr>
          <w:szCs w:val="20"/>
        </w:rPr>
        <w:t>3.</w:t>
      </w:r>
      <w:r w:rsidRPr="005E5BFF">
        <w:rPr>
          <w:szCs w:val="20"/>
        </w:rPr>
        <w:tab/>
        <w:t>Monitoring</w:t>
      </w:r>
      <w:bookmarkEnd w:id="533"/>
      <w:bookmarkEnd w:id="534"/>
      <w:bookmarkEnd w:id="535"/>
      <w:bookmarkEnd w:id="536"/>
      <w:bookmarkEnd w:id="537"/>
      <w:bookmarkEnd w:id="538"/>
      <w:bookmarkEnd w:id="539"/>
      <w:bookmarkEnd w:id="540"/>
      <w:bookmarkEnd w:id="541"/>
    </w:p>
    <w:p w:rsidR="00890CDD" w:rsidRDefault="00890CDD" w:rsidP="00980527">
      <w:pPr>
        <w:pStyle w:val="Paralevel1"/>
        <w:tabs>
          <w:tab w:val="clear" w:pos="1843"/>
          <w:tab w:val="left" w:pos="1701"/>
        </w:tabs>
        <w:ind w:left="1134" w:firstLine="0"/>
      </w:pPr>
      <w:r>
        <w:t xml:space="preserve">In Article 10 (“International Cooperation”), </w:t>
      </w:r>
      <w:r w:rsidR="00450D70">
        <w:t xml:space="preserve">paragraph 2 (b), </w:t>
      </w:r>
      <w:r>
        <w:t xml:space="preserve">the Basel Convention requires </w:t>
      </w:r>
      <w:r w:rsidR="00405DFE" w:rsidRPr="00E67180">
        <w:t>p</w:t>
      </w:r>
      <w:r>
        <w:t xml:space="preserve">arties to “cooperate in monitoring the effects of the management of hazardous wastes on human health and the environment”. In </w:t>
      </w:r>
      <w:r w:rsidR="00E430D7">
        <w:t xml:space="preserve">Article 11, </w:t>
      </w:r>
      <w:r>
        <w:t xml:space="preserve">paragraph 1, the Stockholm Convention requires </w:t>
      </w:r>
      <w:r w:rsidR="00405DFE" w:rsidRPr="00E67180">
        <w:t>p</w:t>
      </w:r>
      <w:r>
        <w:t>arties</w:t>
      </w:r>
      <w:r w:rsidR="0062439B">
        <w:t>,</w:t>
      </w:r>
      <w:r>
        <w:t xml:space="preserve"> </w:t>
      </w:r>
      <w:r w:rsidR="00357AB2">
        <w:t xml:space="preserve">within their capabilities, at the national and international levels, </w:t>
      </w:r>
      <w:r>
        <w:t xml:space="preserve">to </w:t>
      </w:r>
      <w:r w:rsidRPr="0079228D">
        <w:t>encourage and/or undertake appropria</w:t>
      </w:r>
      <w:r>
        <w:t xml:space="preserve">te monitoring pertaining to </w:t>
      </w:r>
      <w:r w:rsidRPr="0079228D">
        <w:t xml:space="preserve">POPs. </w:t>
      </w:r>
    </w:p>
    <w:p w:rsidR="00890CDD" w:rsidRDefault="00890CDD" w:rsidP="00980527">
      <w:pPr>
        <w:pStyle w:val="Paralevel1"/>
        <w:tabs>
          <w:tab w:val="clear" w:pos="1843"/>
          <w:tab w:val="left" w:pos="1701"/>
        </w:tabs>
        <w:ind w:left="1134" w:firstLine="0"/>
      </w:pPr>
      <w:r w:rsidRPr="009A0F29">
        <w:t xml:space="preserve">Monitoring </w:t>
      </w:r>
      <w:proofErr w:type="spellStart"/>
      <w:r w:rsidRPr="009A0F29">
        <w:t>program</w:t>
      </w:r>
      <w:r w:rsidR="00ED380F">
        <w:t>me</w:t>
      </w:r>
      <w:r w:rsidRPr="009A0F29">
        <w:t>s</w:t>
      </w:r>
      <w:proofErr w:type="spellEnd"/>
      <w:r w:rsidRPr="009A0F29">
        <w:t xml:space="preserve"> should be implemented for facilities managing </w:t>
      </w:r>
      <w:r>
        <w:t xml:space="preserve">POP </w:t>
      </w:r>
      <w:r w:rsidRPr="009A0F29">
        <w:t>wastes</w:t>
      </w:r>
      <w:r w:rsidR="00366B65">
        <w:t>,</w:t>
      </w:r>
      <w:r>
        <w:t xml:space="preserve"> as they </w:t>
      </w:r>
      <w:r w:rsidRPr="0079228D">
        <w:t>provide an indication</w:t>
      </w:r>
      <w:r w:rsidRPr="00844303">
        <w:t xml:space="preserve"> </w:t>
      </w:r>
      <w:r w:rsidRPr="0079228D">
        <w:t>of whether a hazardous waste management operation is functioning in accordance with its design</w:t>
      </w:r>
      <w:r>
        <w:t xml:space="preserve"> and environmental regulations</w:t>
      </w:r>
      <w:r w:rsidR="00366B65">
        <w:t>.</w:t>
      </w:r>
      <w:r w:rsidRPr="0079228D">
        <w:t xml:space="preserve"> </w:t>
      </w:r>
    </w:p>
    <w:p w:rsidR="00A65BF3" w:rsidRDefault="00A65BF3" w:rsidP="00980527">
      <w:pPr>
        <w:pStyle w:val="Paralevel1"/>
        <w:tabs>
          <w:tab w:val="clear" w:pos="1843"/>
          <w:tab w:val="left" w:pos="1701"/>
        </w:tabs>
        <w:ind w:left="1134" w:firstLine="0"/>
      </w:pPr>
      <w:r>
        <w:t xml:space="preserve">In environmental and human monitoring </w:t>
      </w:r>
      <w:proofErr w:type="spellStart"/>
      <w:r>
        <w:t>programmes</w:t>
      </w:r>
      <w:proofErr w:type="spellEnd"/>
      <w:r>
        <w:t xml:space="preserve">, both biotic and </w:t>
      </w:r>
      <w:proofErr w:type="spellStart"/>
      <w:r>
        <w:t>abiotic</w:t>
      </w:r>
      <w:proofErr w:type="spellEnd"/>
      <w:r>
        <w:t xml:space="preserve"> matrices may be included:</w:t>
      </w:r>
    </w:p>
    <w:p w:rsidR="00A65BF3" w:rsidRDefault="00A65BF3" w:rsidP="00795341">
      <w:pPr>
        <w:tabs>
          <w:tab w:val="clear" w:pos="1247"/>
          <w:tab w:val="clear" w:pos="1814"/>
          <w:tab w:val="clear" w:pos="2381"/>
          <w:tab w:val="left" w:pos="2268"/>
        </w:tabs>
        <w:spacing w:after="120"/>
        <w:ind w:left="1134" w:firstLine="567"/>
      </w:pPr>
      <w:r>
        <w:t>(a)</w:t>
      </w:r>
      <w:r>
        <w:tab/>
        <w:t>Plant materials and food;</w:t>
      </w:r>
    </w:p>
    <w:p w:rsidR="00A65BF3" w:rsidRDefault="00A65BF3" w:rsidP="00795341">
      <w:pPr>
        <w:tabs>
          <w:tab w:val="clear" w:pos="1247"/>
          <w:tab w:val="clear" w:pos="1814"/>
          <w:tab w:val="clear" w:pos="2381"/>
          <w:tab w:val="left" w:pos="2268"/>
        </w:tabs>
        <w:spacing w:after="120"/>
        <w:ind w:left="1134" w:firstLine="567"/>
      </w:pPr>
      <w:r>
        <w:t>(b)</w:t>
      </w:r>
      <w:r>
        <w:tab/>
        <w:t>Human breast milk or blood;</w:t>
      </w:r>
    </w:p>
    <w:p w:rsidR="00A65BF3" w:rsidRDefault="00A65BF3" w:rsidP="00795341">
      <w:pPr>
        <w:tabs>
          <w:tab w:val="clear" w:pos="1247"/>
          <w:tab w:val="clear" w:pos="1814"/>
          <w:tab w:val="clear" w:pos="2381"/>
          <w:tab w:val="left" w:pos="2268"/>
        </w:tabs>
        <w:spacing w:after="120"/>
        <w:ind w:left="1134" w:firstLine="567"/>
      </w:pPr>
      <w:r>
        <w:t>(c)</w:t>
      </w:r>
      <w:r>
        <w:tab/>
        <w:t>Air (ambient, wet or dry deposition such as snow, ice, dust);</w:t>
      </w:r>
    </w:p>
    <w:p w:rsidR="00A65BF3" w:rsidRDefault="00A65BF3" w:rsidP="00795341">
      <w:pPr>
        <w:tabs>
          <w:tab w:val="clear" w:pos="1247"/>
          <w:tab w:val="clear" w:pos="1814"/>
          <w:tab w:val="clear" w:pos="2381"/>
          <w:tab w:val="left" w:pos="2268"/>
        </w:tabs>
        <w:spacing w:after="120"/>
        <w:ind w:left="1134" w:firstLine="567"/>
      </w:pPr>
      <w:r>
        <w:t>(d)</w:t>
      </w:r>
      <w:r>
        <w:tab/>
        <w:t xml:space="preserve">Water. </w:t>
      </w:r>
    </w:p>
    <w:p w:rsidR="00890CDD" w:rsidRDefault="00890CDD" w:rsidP="00980527">
      <w:pPr>
        <w:pStyle w:val="Paralevel1"/>
        <w:tabs>
          <w:tab w:val="clear" w:pos="1843"/>
          <w:tab w:val="left" w:pos="1701"/>
        </w:tabs>
        <w:ind w:left="1134" w:firstLine="0"/>
      </w:pPr>
      <w:r w:rsidRPr="0079228D">
        <w:t xml:space="preserve">The information from the monitoring </w:t>
      </w:r>
      <w:proofErr w:type="spellStart"/>
      <w:r w:rsidRPr="0079228D">
        <w:t>programme</w:t>
      </w:r>
      <w:proofErr w:type="spellEnd"/>
      <w:r w:rsidRPr="0079228D">
        <w:t xml:space="preserve"> should be used</w:t>
      </w:r>
      <w:r>
        <w:t xml:space="preserve"> to:</w:t>
      </w:r>
    </w:p>
    <w:p w:rsidR="00890CDD" w:rsidRDefault="00795341" w:rsidP="00795341">
      <w:pPr>
        <w:tabs>
          <w:tab w:val="clear" w:pos="1247"/>
          <w:tab w:val="clear" w:pos="1814"/>
          <w:tab w:val="clear" w:pos="2381"/>
          <w:tab w:val="left" w:pos="2268"/>
        </w:tabs>
        <w:spacing w:after="120"/>
        <w:ind w:left="1134" w:firstLine="567"/>
      </w:pPr>
      <w:r>
        <w:t>(a)</w:t>
      </w:r>
      <w:r>
        <w:tab/>
      </w:r>
      <w:r w:rsidR="00890CDD">
        <w:t xml:space="preserve">Detect any releases </w:t>
      </w:r>
      <w:r w:rsidR="00302028">
        <w:t xml:space="preserve">to </w:t>
      </w:r>
      <w:r w:rsidR="00890CDD">
        <w:t xml:space="preserve">or changes </w:t>
      </w:r>
      <w:r w:rsidR="00302028">
        <w:t>in</w:t>
      </w:r>
      <w:r w:rsidR="00890CDD">
        <w:t xml:space="preserve"> the quality of the surrounding environment;</w:t>
      </w:r>
    </w:p>
    <w:p w:rsidR="00890CDD" w:rsidRPr="005B67E9" w:rsidRDefault="00795341" w:rsidP="00795341">
      <w:pPr>
        <w:tabs>
          <w:tab w:val="clear" w:pos="1247"/>
          <w:tab w:val="clear" w:pos="1814"/>
          <w:tab w:val="clear" w:pos="2381"/>
          <w:tab w:val="left" w:pos="2268"/>
        </w:tabs>
        <w:spacing w:after="120"/>
        <w:ind w:left="1134" w:firstLine="567"/>
      </w:pPr>
      <w:r>
        <w:t>(b)</w:t>
      </w:r>
      <w:r>
        <w:tab/>
      </w:r>
      <w:r w:rsidR="00890CDD">
        <w:t xml:space="preserve">Ensure that different types of hazardous wastes are properly managed by the waste </w:t>
      </w:r>
      <w:r w:rsidR="00890CDD" w:rsidRPr="005B67E9">
        <w:t>management operation; and</w:t>
      </w:r>
    </w:p>
    <w:p w:rsidR="00890CDD" w:rsidRPr="005B67E9" w:rsidRDefault="00795341" w:rsidP="00795341">
      <w:pPr>
        <w:tabs>
          <w:tab w:val="clear" w:pos="1247"/>
          <w:tab w:val="clear" w:pos="1814"/>
          <w:tab w:val="clear" w:pos="2381"/>
          <w:tab w:val="left" w:pos="2268"/>
        </w:tabs>
        <w:spacing w:after="120"/>
        <w:ind w:left="1134" w:firstLine="567"/>
      </w:pPr>
      <w:r>
        <w:t>(c)</w:t>
      </w:r>
      <w:r>
        <w:tab/>
      </w:r>
      <w:r w:rsidR="00890CDD" w:rsidRPr="005B67E9">
        <w:t xml:space="preserve">Identify potential issues relating to possible release or exposure and determine whether </w:t>
      </w:r>
      <w:r w:rsidR="00FA42EF">
        <w:t xml:space="preserve">adjustments to the management approach might be appropriate. </w:t>
      </w:r>
    </w:p>
    <w:p w:rsidR="000E79E2" w:rsidRPr="005B67E9" w:rsidRDefault="00FA42EF" w:rsidP="00980527">
      <w:pPr>
        <w:pStyle w:val="Paralevel1"/>
        <w:tabs>
          <w:tab w:val="clear" w:pos="1843"/>
          <w:tab w:val="left" w:pos="1701"/>
        </w:tabs>
        <w:ind w:left="1134" w:firstLine="0"/>
      </w:pPr>
      <w:r>
        <w:t xml:space="preserve">By implementing a monitoring </w:t>
      </w:r>
      <w:proofErr w:type="spellStart"/>
      <w:r>
        <w:t>programme</w:t>
      </w:r>
      <w:proofErr w:type="spellEnd"/>
      <w:r>
        <w:t>, governments, regulators, municipalities and recycling and waste facility managers can identify problems and take appropriate measures to remedy them</w:t>
      </w:r>
      <w:r w:rsidR="00357AB2">
        <w:t>.</w:t>
      </w:r>
      <w:r>
        <w:t xml:space="preserve"> Further information on monitoring can be found in the following documents: Monitoring and research under the Chemicals Management Plan (Government of Canada, 2011; Environment Canada, 2011); </w:t>
      </w:r>
      <w:r>
        <w:rPr>
          <w:rStyle w:val="FootnoteReference"/>
          <w:vertAlign w:val="baseline"/>
        </w:rPr>
        <w:t xml:space="preserve">General Principles of Monitoring (European Commission, 2003); Guidance for a Global Monitoring </w:t>
      </w:r>
      <w:proofErr w:type="spellStart"/>
      <w:r>
        <w:rPr>
          <w:rStyle w:val="FootnoteReference"/>
          <w:vertAlign w:val="baseline"/>
        </w:rPr>
        <w:t>P</w:t>
      </w:r>
      <w:r w:rsidR="008468C4">
        <w:t>rogramme</w:t>
      </w:r>
      <w:proofErr w:type="spellEnd"/>
      <w:r>
        <w:rPr>
          <w:rStyle w:val="FootnoteReference"/>
          <w:vertAlign w:val="baseline"/>
        </w:rPr>
        <w:t xml:space="preserve"> for Persistent Organic Pollutants (</w:t>
      </w:r>
      <w:r w:rsidRPr="00AB0D16">
        <w:rPr>
          <w:rStyle w:val="FootnoteReference"/>
          <w:vertAlign w:val="baseline"/>
        </w:rPr>
        <w:t>UNEP, 20</w:t>
      </w:r>
      <w:r w:rsidR="00002CD2" w:rsidRPr="00AB0D16">
        <w:t>15</w:t>
      </w:r>
      <w:r w:rsidR="00405DFE" w:rsidRPr="00405DFE">
        <w:t>a</w:t>
      </w:r>
      <w:r w:rsidR="00E67180">
        <w:t>)</w:t>
      </w:r>
      <w:r w:rsidR="00405DFE" w:rsidRPr="00405DFE">
        <w:t>;</w:t>
      </w:r>
      <w:r w:rsidR="001C2ACA">
        <w:rPr>
          <w:i/>
        </w:rPr>
        <w:t xml:space="preserve"> </w:t>
      </w:r>
      <w:r w:rsidRPr="00FA42EF">
        <w:t>Ministry of the Environment of Japan, 2013</w:t>
      </w:r>
      <w:r w:rsidR="009F2A71">
        <w:t>a</w:t>
      </w:r>
      <w:r w:rsidRPr="00FA42EF">
        <w:t>; and German Federation/</w:t>
      </w:r>
      <w:proofErr w:type="spellStart"/>
      <w:r w:rsidRPr="00FA42EF">
        <w:t>Länder</w:t>
      </w:r>
      <w:proofErr w:type="spellEnd"/>
      <w:r w:rsidRPr="00FA42EF">
        <w:t xml:space="preserve"> Dioxin Database (German Federal Environment Agency Dessau-</w:t>
      </w:r>
      <w:proofErr w:type="spellStart"/>
      <w:r w:rsidRPr="00FA42EF">
        <w:t>Roßlau</w:t>
      </w:r>
      <w:proofErr w:type="spellEnd"/>
      <w:r w:rsidRPr="00FA42EF">
        <w:t xml:space="preserve">, 2014). </w:t>
      </w:r>
    </w:p>
    <w:p w:rsidR="00890CDD" w:rsidRDefault="00FA42EF">
      <w:pPr>
        <w:pStyle w:val="Heading2"/>
        <w:spacing w:before="240" w:after="120"/>
        <w:ind w:left="1134" w:hanging="510"/>
      </w:pPr>
      <w:bookmarkStart w:id="542" w:name="_Toc52011577"/>
      <w:bookmarkStart w:id="543" w:name="_Toc52131816"/>
      <w:bookmarkStart w:id="544" w:name="_Toc52175493"/>
      <w:bookmarkStart w:id="545" w:name="_Toc52512378"/>
      <w:bookmarkStart w:id="546" w:name="_Toc52512429"/>
      <w:bookmarkStart w:id="547" w:name="_Toc52524030"/>
      <w:bookmarkStart w:id="548" w:name="_Toc58997128"/>
      <w:bookmarkStart w:id="549" w:name="_Toc58999207"/>
      <w:bookmarkStart w:id="550" w:name="_Toc58999266"/>
      <w:bookmarkStart w:id="551" w:name="_Toc61328046"/>
      <w:bookmarkStart w:id="552" w:name="_Toc61681687"/>
      <w:bookmarkStart w:id="553" w:name="_Toc61681756"/>
      <w:bookmarkStart w:id="554" w:name="_Toc62220550"/>
      <w:bookmarkStart w:id="555" w:name="_Toc161804578"/>
      <w:bookmarkStart w:id="556" w:name="_Toc405988651"/>
      <w:bookmarkStart w:id="557" w:name="_Toc437340544"/>
      <w:bookmarkStart w:id="558" w:name="_Hlt64439794"/>
      <w:r w:rsidRPr="00FA42EF">
        <w:t>F.</w:t>
      </w:r>
      <w:r w:rsidRPr="00FA42EF">
        <w:tab/>
        <w:t xml:space="preserve">Handling, collection, packaging, </w:t>
      </w:r>
      <w:bookmarkEnd w:id="542"/>
      <w:bookmarkEnd w:id="543"/>
      <w:bookmarkEnd w:id="544"/>
      <w:bookmarkEnd w:id="545"/>
      <w:bookmarkEnd w:id="546"/>
      <w:bookmarkEnd w:id="547"/>
      <w:r w:rsidRPr="00FA42EF">
        <w:t>labelling</w:t>
      </w:r>
      <w:r w:rsidR="00890CDD">
        <w:t xml:space="preserve">, transportation and </w:t>
      </w:r>
      <w:bookmarkStart w:id="559" w:name="_Toc49228129"/>
      <w:bookmarkStart w:id="560" w:name="_Toc49228180"/>
      <w:bookmarkStart w:id="561" w:name="_Toc49228302"/>
      <w:bookmarkStart w:id="562" w:name="_Toc49228434"/>
      <w:bookmarkStart w:id="563" w:name="_Toc49228484"/>
      <w:bookmarkStart w:id="564" w:name="_Toc52011578"/>
      <w:bookmarkStart w:id="565" w:name="_Toc52131817"/>
      <w:bookmarkStart w:id="566" w:name="_Toc52175494"/>
      <w:bookmarkEnd w:id="548"/>
      <w:bookmarkEnd w:id="549"/>
      <w:bookmarkEnd w:id="550"/>
      <w:bookmarkEnd w:id="551"/>
      <w:bookmarkEnd w:id="552"/>
      <w:bookmarkEnd w:id="553"/>
      <w:bookmarkEnd w:id="554"/>
      <w:bookmarkEnd w:id="555"/>
      <w:r w:rsidR="00890CDD" w:rsidRPr="00D602BA">
        <w:t>storage</w:t>
      </w:r>
      <w:bookmarkEnd w:id="556"/>
      <w:bookmarkEnd w:id="557"/>
    </w:p>
    <w:p w:rsidR="00890CDD" w:rsidRDefault="00890CDD" w:rsidP="00980527">
      <w:pPr>
        <w:pStyle w:val="Paralevel1"/>
        <w:tabs>
          <w:tab w:val="clear" w:pos="1843"/>
          <w:tab w:val="left" w:pos="1701"/>
        </w:tabs>
        <w:ind w:left="1134" w:firstLine="0"/>
      </w:pPr>
      <w:r>
        <w:t xml:space="preserve">Handling, collection, packaging, </w:t>
      </w:r>
      <w:proofErr w:type="spellStart"/>
      <w:r>
        <w:t>labelling</w:t>
      </w:r>
      <w:proofErr w:type="spellEnd"/>
      <w:r>
        <w:t xml:space="preserve">, transportation and storage are critically important steps as the risk of a spill, leak or fire </w:t>
      </w:r>
      <w:r w:rsidR="00655389">
        <w:t>can be</w:t>
      </w:r>
      <w:r>
        <w:t xml:space="preserve"> as great as at other </w:t>
      </w:r>
      <w:r w:rsidR="00655389">
        <w:t>stages of the life cycle</w:t>
      </w:r>
      <w:r w:rsidR="003308AB">
        <w:t xml:space="preserve"> of a POP</w:t>
      </w:r>
      <w:r w:rsidR="00655389">
        <w:t>.</w:t>
      </w:r>
    </w:p>
    <w:p w:rsidR="00890CDD" w:rsidRPr="007D6E1B" w:rsidRDefault="00890CDD" w:rsidP="00980527">
      <w:pPr>
        <w:pStyle w:val="Paralevel1"/>
        <w:tabs>
          <w:tab w:val="clear" w:pos="1843"/>
          <w:tab w:val="left" w:pos="1701"/>
        </w:tabs>
        <w:ind w:left="1134" w:firstLine="0"/>
      </w:pPr>
      <w:r>
        <w:t xml:space="preserve">Considerations and provisions unique to POP waste streams are presented in the specific POP technical guidelines when appropriate. A tailored approach for certain POP waste </w:t>
      </w:r>
      <w:proofErr w:type="gramStart"/>
      <w:r>
        <w:t>streams</w:t>
      </w:r>
      <w:proofErr w:type="gramEnd"/>
      <w:r>
        <w:t xml:space="preserve"> (e.g. articles and products that have become waste) is desirable considering </w:t>
      </w:r>
      <w:r w:rsidRPr="007F298B">
        <w:t>the</w:t>
      </w:r>
      <w:r w:rsidR="00FA384A" w:rsidRPr="007F298B">
        <w:t>ir</w:t>
      </w:r>
      <w:r>
        <w:t xml:space="preserve"> various sources, waste types, volumes and POP concentrations. This allows decision</w:t>
      </w:r>
      <w:r w:rsidR="00ED380F">
        <w:t xml:space="preserve"> </w:t>
      </w:r>
      <w:r>
        <w:t xml:space="preserve">makers to consider the risks </w:t>
      </w:r>
      <w:r w:rsidR="00FA384A">
        <w:t xml:space="preserve">that </w:t>
      </w:r>
      <w:r>
        <w:t>various waste streams may pose at different stages of their management</w:t>
      </w:r>
      <w:r w:rsidR="00ED380F">
        <w:t>,</w:t>
      </w:r>
      <w:r>
        <w:t xml:space="preserve"> and the appropriate actions that may be necessary to </w:t>
      </w:r>
      <w:r w:rsidR="00AF63E7">
        <w:t xml:space="preserve">prevent, </w:t>
      </w:r>
      <w:r>
        <w:t xml:space="preserve">eliminate or minimize their impact on the environment. </w:t>
      </w:r>
      <w:r w:rsidR="00FA42EF" w:rsidRPr="00FA42EF">
        <w:t>Best</w:t>
      </w:r>
      <w:r w:rsidRPr="007D6E1B">
        <w:t xml:space="preserve"> management practices are</w:t>
      </w:r>
      <w:r w:rsidR="00FA42EF" w:rsidRPr="00FA42EF">
        <w:t xml:space="preserve">, in some cases, </w:t>
      </w:r>
      <w:r w:rsidRPr="007D6E1B">
        <w:t xml:space="preserve">in </w:t>
      </w:r>
      <w:r w:rsidR="00FA42EF" w:rsidRPr="00FA42EF">
        <w:t xml:space="preserve">the </w:t>
      </w:r>
      <w:r w:rsidRPr="007D6E1B">
        <w:t xml:space="preserve">early stages of being developed or documented. </w:t>
      </w:r>
    </w:p>
    <w:p w:rsidR="00890CDD" w:rsidRDefault="00C560D5" w:rsidP="00980527">
      <w:pPr>
        <w:pStyle w:val="Paralevel1"/>
        <w:tabs>
          <w:tab w:val="clear" w:pos="1843"/>
          <w:tab w:val="left" w:pos="1701"/>
        </w:tabs>
        <w:ind w:left="1134" w:firstLine="0"/>
      </w:pPr>
      <w:r>
        <w:t xml:space="preserve">Where appropriate, procedures and processes for managing hazardous wastes should be considered for </w:t>
      </w:r>
      <w:r w:rsidR="00655389">
        <w:t xml:space="preserve">handling, collecting, packaging, </w:t>
      </w:r>
      <w:proofErr w:type="spellStart"/>
      <w:r w:rsidR="00655389">
        <w:t>labelling</w:t>
      </w:r>
      <w:proofErr w:type="spellEnd"/>
      <w:r w:rsidR="00655389">
        <w:t>, transporting and storing</w:t>
      </w:r>
      <w:r>
        <w:t xml:space="preserve"> wastes with a POP content above the low POP contents referred to in section III.A </w:t>
      </w:r>
      <w:r w:rsidR="00655389">
        <w:t xml:space="preserve">in order </w:t>
      </w:r>
      <w:r w:rsidR="00890CDD">
        <w:t xml:space="preserve">to prevent spills and leaks </w:t>
      </w:r>
      <w:r w:rsidR="00ED380F">
        <w:t xml:space="preserve">resulting in </w:t>
      </w:r>
      <w:r w:rsidR="00890CDD">
        <w:t xml:space="preserve">worker exposure, releases to the environment </w:t>
      </w:r>
      <w:r w:rsidR="00405DFE" w:rsidRPr="00E67180">
        <w:t>or exposure of</w:t>
      </w:r>
      <w:r w:rsidR="00890CDD">
        <w:t xml:space="preserve"> the community. </w:t>
      </w:r>
    </w:p>
    <w:p w:rsidR="008615D8" w:rsidRPr="00E67180" w:rsidRDefault="00405DFE" w:rsidP="00980527">
      <w:pPr>
        <w:pStyle w:val="Paralevel1"/>
        <w:tabs>
          <w:tab w:val="clear" w:pos="1843"/>
          <w:tab w:val="left" w:pos="1701"/>
        </w:tabs>
        <w:ind w:left="1134" w:firstLine="0"/>
      </w:pPr>
      <w:r w:rsidRPr="00E67180">
        <w:t xml:space="preserve">Relevant information regarding the hazardous characteristics and risks of POP wastes should be collected and </w:t>
      </w:r>
      <w:proofErr w:type="spellStart"/>
      <w:r w:rsidRPr="00E67180">
        <w:t>an</w:t>
      </w:r>
      <w:r w:rsidR="00E67180" w:rsidRPr="00E67180">
        <w:t>a</w:t>
      </w:r>
      <w:r w:rsidRPr="00E67180">
        <w:t>lysed</w:t>
      </w:r>
      <w:proofErr w:type="spellEnd"/>
      <w:r w:rsidRPr="00E67180">
        <w:t xml:space="preserve"> in order to plan for the proper handling of such wastes, for example by consulting and following the instructions given on the chemicals they contain and related safety data sheets. For </w:t>
      </w:r>
      <w:proofErr w:type="spellStart"/>
      <w:r w:rsidRPr="00E67180">
        <w:t>labelling</w:t>
      </w:r>
      <w:proofErr w:type="spellEnd"/>
      <w:r w:rsidRPr="00E67180">
        <w:t xml:space="preserve"> and packaging, the United Nations Globally Harmonized System of Classification and </w:t>
      </w:r>
      <w:proofErr w:type="spellStart"/>
      <w:r w:rsidRPr="00E67180">
        <w:t>Labelling</w:t>
      </w:r>
      <w:proofErr w:type="spellEnd"/>
      <w:r w:rsidRPr="00E67180">
        <w:t xml:space="preserve"> of Chemicals (GHS) should be taken into account, accordingly</w:t>
      </w:r>
    </w:p>
    <w:p w:rsidR="00890CDD" w:rsidRDefault="00890CDD" w:rsidP="00980527">
      <w:pPr>
        <w:pStyle w:val="Paralevel1"/>
        <w:tabs>
          <w:tab w:val="clear" w:pos="1843"/>
          <w:tab w:val="left" w:pos="1701"/>
        </w:tabs>
        <w:ind w:left="1134" w:firstLine="0"/>
      </w:pPr>
      <w:r>
        <w:t xml:space="preserve">For transport and </w:t>
      </w:r>
      <w:proofErr w:type="spellStart"/>
      <w:r>
        <w:t>transboundary</w:t>
      </w:r>
      <w:proofErr w:type="spellEnd"/>
      <w:r>
        <w:t xml:space="preserve"> movement of </w:t>
      </w:r>
      <w:r w:rsidR="00655389">
        <w:t xml:space="preserve">POP wastes meeting the criteria </w:t>
      </w:r>
      <w:r w:rsidR="005F2B34">
        <w:t>of</w:t>
      </w:r>
      <w:r w:rsidR="00655389">
        <w:t xml:space="preserve"> </w:t>
      </w:r>
      <w:r>
        <w:t>hazardous wastes, the following documents should be consulted to determine specific requirements:</w:t>
      </w:r>
    </w:p>
    <w:p w:rsidR="00890CDD" w:rsidRDefault="00890CDD" w:rsidP="0080213C">
      <w:pPr>
        <w:tabs>
          <w:tab w:val="clear" w:pos="1247"/>
          <w:tab w:val="clear" w:pos="1814"/>
          <w:tab w:val="clear" w:pos="2381"/>
          <w:tab w:val="left" w:pos="2268"/>
        </w:tabs>
        <w:spacing w:after="120"/>
        <w:ind w:left="1134" w:firstLine="567"/>
      </w:pPr>
      <w:r>
        <w:t>(a)</w:t>
      </w:r>
      <w:r>
        <w:tab/>
        <w:t xml:space="preserve">Manual for the Implementation of the Basel Convention (UNEP, </w:t>
      </w:r>
      <w:r w:rsidR="00920683">
        <w:t>2015</w:t>
      </w:r>
      <w:r w:rsidR="00735A70">
        <w:t>h</w:t>
      </w:r>
      <w:r>
        <w:t xml:space="preserve">); </w:t>
      </w:r>
    </w:p>
    <w:p w:rsidR="00890CDD" w:rsidRDefault="00890CDD" w:rsidP="0080213C">
      <w:pPr>
        <w:tabs>
          <w:tab w:val="clear" w:pos="1247"/>
          <w:tab w:val="clear" w:pos="1814"/>
          <w:tab w:val="clear" w:pos="2381"/>
          <w:tab w:val="left" w:pos="2268"/>
        </w:tabs>
        <w:spacing w:after="120"/>
        <w:ind w:left="1134" w:firstLine="567"/>
      </w:pPr>
      <w:r>
        <w:t>(b)</w:t>
      </w:r>
      <w:r>
        <w:tab/>
        <w:t xml:space="preserve">International Maritime Dangerous Goods Code (IMO, 2002); </w:t>
      </w:r>
    </w:p>
    <w:p w:rsidR="00890CDD" w:rsidRDefault="00890CDD" w:rsidP="0080213C">
      <w:pPr>
        <w:tabs>
          <w:tab w:val="clear" w:pos="1247"/>
          <w:tab w:val="clear" w:pos="1814"/>
          <w:tab w:val="clear" w:pos="2381"/>
          <w:tab w:val="left" w:pos="2268"/>
        </w:tabs>
        <w:spacing w:after="120"/>
        <w:ind w:left="1134" w:firstLine="567"/>
      </w:pPr>
      <w:r>
        <w:t>(c)</w:t>
      </w:r>
      <w:r>
        <w:tab/>
        <w:t>International Civil Aviation Organization (ICAO) Technical Instructions for the Transport of Dangerous Goods by Air; and</w:t>
      </w:r>
    </w:p>
    <w:p w:rsidR="00890CDD" w:rsidRDefault="00890CDD" w:rsidP="0080213C">
      <w:pPr>
        <w:tabs>
          <w:tab w:val="clear" w:pos="1247"/>
          <w:tab w:val="clear" w:pos="1814"/>
          <w:tab w:val="clear" w:pos="2381"/>
          <w:tab w:val="left" w:pos="2268"/>
        </w:tabs>
        <w:spacing w:after="120"/>
        <w:ind w:left="1134" w:firstLine="567"/>
      </w:pPr>
      <w:r>
        <w:t>(d)</w:t>
      </w:r>
      <w:r>
        <w:tab/>
        <w:t>United Nations Recommendations on the Transport of Dangerous Goods Model Regulations.</w:t>
      </w:r>
      <w:r>
        <w:rPr>
          <w:rStyle w:val="FootnoteReference"/>
          <w:rFonts w:eastAsia="SimSun"/>
          <w:szCs w:val="20"/>
        </w:rPr>
        <w:footnoteReference w:id="44"/>
      </w:r>
      <w:r>
        <w:t xml:space="preserve"> </w:t>
      </w:r>
    </w:p>
    <w:p w:rsidR="00890CDD" w:rsidRDefault="00890CDD" w:rsidP="00980527">
      <w:pPr>
        <w:pStyle w:val="Paralevel1"/>
        <w:tabs>
          <w:tab w:val="clear" w:pos="1843"/>
          <w:tab w:val="left" w:pos="1701"/>
        </w:tabs>
        <w:ind w:left="1134" w:firstLine="0"/>
      </w:pPr>
      <w:r>
        <w:t xml:space="preserve">For the following sections </w:t>
      </w:r>
      <w:r w:rsidR="009D3D8B">
        <w:t>(</w:t>
      </w:r>
      <w:r>
        <w:t>1–6</w:t>
      </w:r>
      <w:r w:rsidR="009D3D8B">
        <w:t>)</w:t>
      </w:r>
      <w:r>
        <w:t xml:space="preserve">, detailed information can be obtained from </w:t>
      </w:r>
      <w:r w:rsidR="009D3D8B" w:rsidRPr="00566D00">
        <w:rPr>
          <w:i/>
        </w:rPr>
        <w:t>Destruction and decontamination technologies for PCBs and other POP waste under the Basel Convention: A training manual for hazardous waste project managers</w:t>
      </w:r>
      <w:r w:rsidR="009D3D8B">
        <w:t xml:space="preserve"> </w:t>
      </w:r>
      <w:r>
        <w:t>(UNEP, 2002</w:t>
      </w:r>
      <w:r w:rsidR="008D222C">
        <w:t>a</w:t>
      </w:r>
      <w:r>
        <w:t>).</w:t>
      </w:r>
    </w:p>
    <w:p w:rsidR="00890CDD" w:rsidRDefault="00890CDD">
      <w:pPr>
        <w:pStyle w:val="Heading3"/>
        <w:spacing w:before="240" w:after="120"/>
        <w:ind w:left="1134" w:hanging="425"/>
      </w:pPr>
      <w:bookmarkStart w:id="567" w:name="_Toc95280679"/>
      <w:bookmarkStart w:id="568" w:name="_Toc145395126"/>
      <w:bookmarkStart w:id="569" w:name="_Toc161804579"/>
      <w:bookmarkStart w:id="570" w:name="_Toc405988652"/>
      <w:bookmarkStart w:id="571" w:name="_Toc437340545"/>
      <w:bookmarkStart w:id="572" w:name="_Toc52512379"/>
      <w:bookmarkStart w:id="573" w:name="_Toc52512430"/>
      <w:bookmarkEnd w:id="558"/>
      <w:r w:rsidRPr="005E5BFF">
        <w:rPr>
          <w:szCs w:val="20"/>
        </w:rPr>
        <w:t>1.</w:t>
      </w:r>
      <w:r w:rsidRPr="005E5BFF">
        <w:rPr>
          <w:szCs w:val="20"/>
        </w:rPr>
        <w:tab/>
      </w:r>
      <w:bookmarkStart w:id="574" w:name="_Toc61328047"/>
      <w:bookmarkStart w:id="575" w:name="_Toc61681688"/>
      <w:bookmarkStart w:id="576" w:name="_Toc61681757"/>
      <w:bookmarkStart w:id="577" w:name="_Toc62220551"/>
      <w:bookmarkEnd w:id="567"/>
      <w:bookmarkEnd w:id="568"/>
      <w:bookmarkEnd w:id="569"/>
      <w:r w:rsidRPr="005E5BFF">
        <w:rPr>
          <w:szCs w:val="20"/>
        </w:rPr>
        <w:t>Handling</w:t>
      </w:r>
      <w:bookmarkEnd w:id="574"/>
      <w:bookmarkEnd w:id="575"/>
      <w:bookmarkEnd w:id="576"/>
      <w:bookmarkEnd w:id="577"/>
      <w:r w:rsidRPr="005E5BFF">
        <w:rPr>
          <w:rStyle w:val="FootnoteReference"/>
          <w:b w:val="0"/>
          <w:szCs w:val="20"/>
        </w:rPr>
        <w:footnoteReference w:id="45"/>
      </w:r>
      <w:bookmarkEnd w:id="570"/>
      <w:bookmarkEnd w:id="571"/>
    </w:p>
    <w:p w:rsidR="00890CDD" w:rsidRDefault="00890CDD" w:rsidP="00980527">
      <w:pPr>
        <w:pStyle w:val="Paralevel1"/>
        <w:tabs>
          <w:tab w:val="clear" w:pos="1843"/>
          <w:tab w:val="left" w:pos="1701"/>
        </w:tabs>
        <w:ind w:left="1134" w:firstLine="0"/>
      </w:pPr>
      <w:r>
        <w:t>The main concerns when handling POP wastes are human exposure, accidental release</w:t>
      </w:r>
      <w:r w:rsidR="00655389">
        <w:t>s</w:t>
      </w:r>
      <w:r>
        <w:t xml:space="preserve"> to the environment and contamination of other waste streams with POPs. </w:t>
      </w:r>
      <w:r w:rsidR="00655389">
        <w:t>POP</w:t>
      </w:r>
      <w:r>
        <w:t xml:space="preserve"> wastes should be handled separately from other </w:t>
      </w:r>
      <w:r w:rsidR="006866CD">
        <w:t xml:space="preserve">types of </w:t>
      </w:r>
      <w:r>
        <w:t xml:space="preserve">waste in order to prevent contamination of other waste streams. </w:t>
      </w:r>
      <w:r w:rsidR="00340434">
        <w:t>The management of l</w:t>
      </w:r>
      <w:r w:rsidR="00655389">
        <w:t xml:space="preserve">iquid waste streams, in particular, and other wastes streams as appropriate should </w:t>
      </w:r>
      <w:r w:rsidR="00340434">
        <w:t xml:space="preserve"> include </w:t>
      </w:r>
      <w:r w:rsidR="00655389">
        <w:t>the following r</w:t>
      </w:r>
      <w:r>
        <w:t>ecommended practices:</w:t>
      </w:r>
      <w:r w:rsidR="00340434">
        <w:t xml:space="preserve"> </w:t>
      </w:r>
    </w:p>
    <w:p w:rsidR="00890CDD" w:rsidRDefault="00890CDD" w:rsidP="0080213C">
      <w:pPr>
        <w:tabs>
          <w:tab w:val="clear" w:pos="1247"/>
          <w:tab w:val="clear" w:pos="1814"/>
          <w:tab w:val="clear" w:pos="2381"/>
          <w:tab w:val="left" w:pos="2268"/>
        </w:tabs>
        <w:spacing w:after="120"/>
        <w:ind w:left="1134" w:firstLine="567"/>
      </w:pPr>
      <w:r>
        <w:t>(a)</w:t>
      </w:r>
      <w:r>
        <w:tab/>
        <w:t xml:space="preserve">Inspecting containers for leaks, holes, rust or high temperature, and appropriate repackaging and </w:t>
      </w:r>
      <w:proofErr w:type="spellStart"/>
      <w:r>
        <w:t>relabelling</w:t>
      </w:r>
      <w:proofErr w:type="spellEnd"/>
      <w:r>
        <w:t xml:space="preserve"> as necessary;</w:t>
      </w:r>
    </w:p>
    <w:p w:rsidR="00890CDD" w:rsidRDefault="00890CDD" w:rsidP="0080213C">
      <w:pPr>
        <w:tabs>
          <w:tab w:val="clear" w:pos="1247"/>
          <w:tab w:val="clear" w:pos="1814"/>
          <w:tab w:val="clear" w:pos="2381"/>
          <w:tab w:val="left" w:pos="2268"/>
        </w:tabs>
        <w:spacing w:after="120"/>
        <w:ind w:left="1134" w:firstLine="567"/>
      </w:pPr>
      <w:r>
        <w:t>(b)</w:t>
      </w:r>
      <w:r>
        <w:tab/>
      </w:r>
      <w:r w:rsidRPr="00A60E31">
        <w:t>Handling wastes at temperatures below 25</w:t>
      </w:r>
      <w:r w:rsidRPr="00A60E31">
        <w:rPr>
          <w:vertAlign w:val="superscript"/>
        </w:rPr>
        <w:t>°</w:t>
      </w:r>
      <w:r w:rsidRPr="00A60E31">
        <w:t>C, if possible, because of increased volatility at higher temperatures;</w:t>
      </w:r>
    </w:p>
    <w:p w:rsidR="00890CDD" w:rsidRDefault="00890CDD" w:rsidP="0080213C">
      <w:pPr>
        <w:tabs>
          <w:tab w:val="clear" w:pos="1247"/>
          <w:tab w:val="clear" w:pos="1814"/>
          <w:tab w:val="clear" w:pos="2381"/>
          <w:tab w:val="left" w:pos="2268"/>
        </w:tabs>
        <w:spacing w:after="120"/>
        <w:ind w:left="1134" w:firstLine="567"/>
      </w:pPr>
      <w:r>
        <w:t xml:space="preserve"> (c)</w:t>
      </w:r>
      <w:r>
        <w:tab/>
        <w:t>Ensuring that spill containment measures are adequate and would contain liquid wastes if spilled;</w:t>
      </w:r>
    </w:p>
    <w:p w:rsidR="00890CDD" w:rsidRDefault="00890CDD" w:rsidP="0080213C">
      <w:pPr>
        <w:tabs>
          <w:tab w:val="clear" w:pos="1247"/>
          <w:tab w:val="clear" w:pos="1814"/>
          <w:tab w:val="clear" w:pos="2381"/>
          <w:tab w:val="left" w:pos="2268"/>
        </w:tabs>
        <w:spacing w:after="120"/>
        <w:ind w:left="1134" w:firstLine="567"/>
      </w:pPr>
      <w:r>
        <w:t xml:space="preserve"> (d)</w:t>
      </w:r>
      <w:r>
        <w:tab/>
        <w:t>Placing plastic sheeting or absorbent mats under containers before opening them if the surface of the containment area is not coated with a smooth surface material (paint, urethane or epoxy);</w:t>
      </w:r>
    </w:p>
    <w:p w:rsidR="00890CDD" w:rsidRDefault="00890CDD" w:rsidP="0080213C">
      <w:pPr>
        <w:tabs>
          <w:tab w:val="clear" w:pos="1247"/>
          <w:tab w:val="clear" w:pos="1814"/>
          <w:tab w:val="clear" w:pos="2381"/>
          <w:tab w:val="left" w:pos="2268"/>
        </w:tabs>
        <w:spacing w:after="120"/>
        <w:ind w:left="1134" w:firstLine="567"/>
      </w:pPr>
      <w:r>
        <w:t>(e)</w:t>
      </w:r>
      <w:r>
        <w:tab/>
        <w:t>Removing liquid wastes either by removing the drain plug or by pumping with a peristaltic pump and suitable chemical-resistant tubing;</w:t>
      </w:r>
    </w:p>
    <w:p w:rsidR="00890CDD" w:rsidRDefault="00890CDD" w:rsidP="0080213C">
      <w:pPr>
        <w:tabs>
          <w:tab w:val="clear" w:pos="1247"/>
          <w:tab w:val="clear" w:pos="1814"/>
          <w:tab w:val="clear" w:pos="2381"/>
          <w:tab w:val="left" w:pos="2268"/>
        </w:tabs>
        <w:spacing w:after="120"/>
        <w:ind w:left="1134" w:firstLine="567"/>
      </w:pPr>
      <w:r>
        <w:t>(f)</w:t>
      </w:r>
      <w:r>
        <w:tab/>
        <w:t>Using dedicated pumps, tubing and drums, not used for any other purpose, to transfer liquid wastes;</w:t>
      </w:r>
    </w:p>
    <w:p w:rsidR="00890CDD" w:rsidRDefault="00890CDD" w:rsidP="0080213C">
      <w:pPr>
        <w:tabs>
          <w:tab w:val="clear" w:pos="1247"/>
          <w:tab w:val="clear" w:pos="1814"/>
          <w:tab w:val="clear" w:pos="2381"/>
          <w:tab w:val="left" w:pos="2268"/>
        </w:tabs>
        <w:spacing w:after="120"/>
        <w:ind w:left="1134" w:firstLine="567"/>
      </w:pPr>
      <w:r>
        <w:t>(g)</w:t>
      </w:r>
      <w:r>
        <w:tab/>
        <w:t>Cleaning up any spills with cloths, paper towels or absorbent;</w:t>
      </w:r>
    </w:p>
    <w:p w:rsidR="00890CDD" w:rsidRDefault="00890CDD" w:rsidP="0080213C">
      <w:pPr>
        <w:tabs>
          <w:tab w:val="clear" w:pos="1247"/>
          <w:tab w:val="clear" w:pos="1814"/>
          <w:tab w:val="clear" w:pos="2381"/>
          <w:tab w:val="left" w:pos="2268"/>
        </w:tabs>
        <w:spacing w:after="120"/>
        <w:ind w:left="1134" w:firstLine="567"/>
      </w:pPr>
      <w:r>
        <w:t>(h)</w:t>
      </w:r>
      <w:r>
        <w:tab/>
        <w:t>Triple rinsing of contaminated surfaces with a solvent;</w:t>
      </w:r>
    </w:p>
    <w:p w:rsidR="00890CDD" w:rsidRDefault="00890CDD" w:rsidP="0080213C">
      <w:pPr>
        <w:tabs>
          <w:tab w:val="clear" w:pos="1247"/>
          <w:tab w:val="clear" w:pos="1814"/>
          <w:tab w:val="clear" w:pos="2381"/>
          <w:tab w:val="left" w:pos="2268"/>
        </w:tabs>
        <w:spacing w:after="120"/>
        <w:ind w:left="1134" w:firstLine="567"/>
      </w:pPr>
      <w:r>
        <w:t>(</w:t>
      </w:r>
      <w:proofErr w:type="spellStart"/>
      <w:r>
        <w:t>i</w:t>
      </w:r>
      <w:proofErr w:type="spellEnd"/>
      <w:r>
        <w:t>)</w:t>
      </w:r>
      <w:r>
        <w:tab/>
        <w:t xml:space="preserve">Treating all absorbents and solvent from triple rinsing, disposable protective clothing and plastic sheeting as wastes containing or contaminated with POPs when appropriate; and </w:t>
      </w:r>
    </w:p>
    <w:p w:rsidR="00890CDD" w:rsidRDefault="00890CDD" w:rsidP="0080213C">
      <w:pPr>
        <w:tabs>
          <w:tab w:val="clear" w:pos="1247"/>
          <w:tab w:val="clear" w:pos="1814"/>
          <w:tab w:val="clear" w:pos="2381"/>
          <w:tab w:val="left" w:pos="2268"/>
        </w:tabs>
        <w:spacing w:after="120"/>
        <w:ind w:left="1134" w:firstLine="567"/>
      </w:pPr>
      <w:r>
        <w:t>(j)</w:t>
      </w:r>
      <w:r>
        <w:tab/>
        <w:t>Training staff</w:t>
      </w:r>
      <w:r w:rsidRPr="00B23F15">
        <w:t xml:space="preserve"> in the correct methods of handling </w:t>
      </w:r>
      <w:r>
        <w:t>POP wastes</w:t>
      </w:r>
      <w:r w:rsidRPr="00B23F15">
        <w:t xml:space="preserve">. </w:t>
      </w:r>
    </w:p>
    <w:p w:rsidR="00890CDD" w:rsidRDefault="00890CDD">
      <w:pPr>
        <w:pStyle w:val="Heading3"/>
        <w:spacing w:before="240" w:after="120"/>
        <w:ind w:left="1134" w:hanging="425"/>
      </w:pPr>
      <w:bookmarkStart w:id="578" w:name="_Toc62220552"/>
      <w:bookmarkStart w:id="579" w:name="_Toc95280680"/>
      <w:bookmarkStart w:id="580" w:name="_Toc145395127"/>
      <w:bookmarkStart w:id="581" w:name="_Toc161804580"/>
      <w:bookmarkStart w:id="582" w:name="_Toc405988653"/>
      <w:bookmarkStart w:id="583" w:name="_Toc437340546"/>
      <w:r w:rsidRPr="005E5BFF">
        <w:rPr>
          <w:szCs w:val="20"/>
        </w:rPr>
        <w:t xml:space="preserve">2. </w:t>
      </w:r>
      <w:r w:rsidRPr="005E5BFF">
        <w:rPr>
          <w:szCs w:val="20"/>
        </w:rPr>
        <w:tab/>
      </w:r>
      <w:bookmarkEnd w:id="578"/>
      <w:bookmarkEnd w:id="579"/>
      <w:bookmarkEnd w:id="580"/>
      <w:bookmarkEnd w:id="581"/>
      <w:r w:rsidRPr="005E5BFF">
        <w:rPr>
          <w:szCs w:val="20"/>
        </w:rPr>
        <w:t>Collection</w:t>
      </w:r>
      <w:bookmarkEnd w:id="582"/>
      <w:bookmarkEnd w:id="583"/>
    </w:p>
    <w:p w:rsidR="00890CDD" w:rsidRDefault="00890CDD" w:rsidP="00980527">
      <w:pPr>
        <w:pStyle w:val="Paralevel1"/>
        <w:tabs>
          <w:tab w:val="clear" w:pos="1843"/>
          <w:tab w:val="left" w:pos="1701"/>
        </w:tabs>
        <w:ind w:left="1134" w:firstLine="0"/>
      </w:pPr>
      <w:r>
        <w:t xml:space="preserve">Although large industries may be responsible for the proper management of </w:t>
      </w:r>
      <w:r w:rsidR="005F2B34">
        <w:t xml:space="preserve">the </w:t>
      </w:r>
      <w:r>
        <w:t>POP wastes that they generate or own, many smaller entities also possess such wastes. The POP waste possessed by small entities may include household- or commercial-size pesticide containers, PCB fluorescent light ballasts, small containers of pentachlorophenol-based wood preservatives with PCDD and PCDF contamination, small amounts of “pure” POPs in laboratories and research facilities, and pesticide</w:t>
      </w:r>
      <w:r>
        <w:noBreakHyphen/>
      </w:r>
      <w:proofErr w:type="spellStart"/>
      <w:r>
        <w:t>coated</w:t>
      </w:r>
      <w:proofErr w:type="spellEnd"/>
      <w:r>
        <w:t xml:space="preserve"> seeds used in agricultural and research settings. To deal with this scattered assortment of hazardous wastes, many governments have established depots where small quantities of these wastes can be deposited by the owner at no charge or for a nominal fee. These depots may be permanent or temporary in nature, or may be located at existing commercial hazardous</w:t>
      </w:r>
      <w:r w:rsidR="00345940">
        <w:t xml:space="preserve"> </w:t>
      </w:r>
      <w:r>
        <w:t>waste transfer stations. Waste</w:t>
      </w:r>
      <w:r>
        <w:noBreakHyphen/>
      </w:r>
      <w:proofErr w:type="spellStart"/>
      <w:r>
        <w:t>collection</w:t>
      </w:r>
      <w:proofErr w:type="spellEnd"/>
      <w:r>
        <w:t xml:space="preserve"> depots and transfer stations may be set up on a regional basis by groups of countries or may be provided by a </w:t>
      </w:r>
      <w:r w:rsidR="00BD4328">
        <w:t>third party</w:t>
      </w:r>
      <w:r>
        <w:t xml:space="preserve"> to a developing country.</w:t>
      </w:r>
    </w:p>
    <w:p w:rsidR="00890CDD" w:rsidRDefault="00890CDD" w:rsidP="00980527">
      <w:pPr>
        <w:pStyle w:val="Paralevel1"/>
        <w:tabs>
          <w:tab w:val="clear" w:pos="1843"/>
          <w:tab w:val="left" w:pos="1701"/>
        </w:tabs>
        <w:ind w:left="1134" w:firstLine="0"/>
      </w:pPr>
      <w:r>
        <w:t xml:space="preserve">Care should be taken in establishing and operating waste collection </w:t>
      </w:r>
      <w:proofErr w:type="spellStart"/>
      <w:r>
        <w:t>programmes</w:t>
      </w:r>
      <w:proofErr w:type="spellEnd"/>
      <w:r>
        <w:t>, depots and transfer stations:</w:t>
      </w:r>
    </w:p>
    <w:p w:rsidR="00890CDD" w:rsidRDefault="00890CDD" w:rsidP="0080213C">
      <w:pPr>
        <w:tabs>
          <w:tab w:val="clear" w:pos="1247"/>
          <w:tab w:val="clear" w:pos="1814"/>
          <w:tab w:val="clear" w:pos="2381"/>
          <w:tab w:val="left" w:pos="2268"/>
        </w:tabs>
        <w:spacing w:after="120"/>
        <w:ind w:left="1134" w:firstLine="567"/>
      </w:pPr>
      <w:r>
        <w:t>(a)</w:t>
      </w:r>
      <w:r>
        <w:tab/>
        <w:t>To advertise the programme, depot locations and collection time periods to all potential holders of POP wastes;</w:t>
      </w:r>
    </w:p>
    <w:p w:rsidR="00890CDD" w:rsidRDefault="00890CDD" w:rsidP="0080213C">
      <w:pPr>
        <w:tabs>
          <w:tab w:val="clear" w:pos="1247"/>
          <w:tab w:val="clear" w:pos="1814"/>
          <w:tab w:val="clear" w:pos="2381"/>
          <w:tab w:val="left" w:pos="2268"/>
        </w:tabs>
        <w:spacing w:after="120"/>
        <w:ind w:left="1134" w:firstLine="567"/>
      </w:pPr>
      <w:r>
        <w:t>(b)</w:t>
      </w:r>
      <w:r>
        <w:tab/>
        <w:t>To allow enough time of operation of collection programmes for the complete collection of all potential POP wastes;</w:t>
      </w:r>
      <w:r>
        <w:rPr>
          <w:rStyle w:val="FootnoteReference"/>
          <w:rFonts w:eastAsia="SimSun"/>
        </w:rPr>
        <w:footnoteReference w:id="46"/>
      </w:r>
      <w:r>
        <w:t xml:space="preserve"> </w:t>
      </w:r>
    </w:p>
    <w:p w:rsidR="00890CDD" w:rsidRDefault="00890CDD" w:rsidP="0080213C">
      <w:pPr>
        <w:tabs>
          <w:tab w:val="clear" w:pos="1247"/>
          <w:tab w:val="clear" w:pos="1814"/>
          <w:tab w:val="clear" w:pos="2381"/>
          <w:tab w:val="left" w:pos="2268"/>
        </w:tabs>
        <w:spacing w:after="120"/>
        <w:ind w:left="1134" w:firstLine="567"/>
      </w:pPr>
      <w:r>
        <w:t>(c)</w:t>
      </w:r>
      <w:r>
        <w:tab/>
        <w:t>To include, to the extent practical, all POP wastes in the programme;</w:t>
      </w:r>
    </w:p>
    <w:p w:rsidR="00890CDD" w:rsidRDefault="00890CDD" w:rsidP="0080213C">
      <w:pPr>
        <w:tabs>
          <w:tab w:val="clear" w:pos="1247"/>
          <w:tab w:val="clear" w:pos="1814"/>
          <w:tab w:val="clear" w:pos="2381"/>
          <w:tab w:val="left" w:pos="2268"/>
        </w:tabs>
        <w:spacing w:after="120"/>
        <w:ind w:left="1134" w:firstLine="567"/>
      </w:pPr>
      <w:r>
        <w:t>(d)</w:t>
      </w:r>
      <w:r>
        <w:tab/>
        <w:t>To make acceptable containers and safe-transport materials available to waste owners for those waste materials that may need to be repackaged or made safe for transport;</w:t>
      </w:r>
    </w:p>
    <w:p w:rsidR="00890CDD" w:rsidRDefault="00890CDD" w:rsidP="0080213C">
      <w:pPr>
        <w:tabs>
          <w:tab w:val="clear" w:pos="1247"/>
          <w:tab w:val="clear" w:pos="1814"/>
          <w:tab w:val="clear" w:pos="2381"/>
          <w:tab w:val="left" w:pos="2268"/>
        </w:tabs>
        <w:spacing w:after="120"/>
        <w:ind w:left="1134" w:firstLine="567"/>
      </w:pPr>
      <w:r>
        <w:t>(e)</w:t>
      </w:r>
      <w:r>
        <w:tab/>
        <w:t>To establish simple, low-cost mechanisms for collection;</w:t>
      </w:r>
    </w:p>
    <w:p w:rsidR="00890CDD" w:rsidRDefault="00890CDD" w:rsidP="0080213C">
      <w:pPr>
        <w:tabs>
          <w:tab w:val="clear" w:pos="1247"/>
          <w:tab w:val="clear" w:pos="1814"/>
          <w:tab w:val="clear" w:pos="2381"/>
          <w:tab w:val="left" w:pos="2268"/>
        </w:tabs>
        <w:spacing w:after="120"/>
        <w:ind w:left="1134" w:firstLine="567"/>
      </w:pPr>
      <w:r>
        <w:t>(f)</w:t>
      </w:r>
      <w:r>
        <w:tab/>
        <w:t>To ensure the safety both of those delivering waste to depots and workers at the depots;</w:t>
      </w:r>
    </w:p>
    <w:p w:rsidR="00890CDD" w:rsidRDefault="00890CDD" w:rsidP="0080213C">
      <w:pPr>
        <w:tabs>
          <w:tab w:val="clear" w:pos="1247"/>
          <w:tab w:val="clear" w:pos="1814"/>
          <w:tab w:val="clear" w:pos="2381"/>
          <w:tab w:val="left" w:pos="2268"/>
        </w:tabs>
        <w:spacing w:after="120"/>
        <w:ind w:left="1134" w:firstLine="567"/>
      </w:pPr>
      <w:r>
        <w:t>(g)</w:t>
      </w:r>
      <w:r>
        <w:tab/>
        <w:t>To ensure that the operators of depots are using an accepted method of disposal;</w:t>
      </w:r>
    </w:p>
    <w:p w:rsidR="00890CDD" w:rsidRDefault="00890CDD" w:rsidP="0080213C">
      <w:pPr>
        <w:tabs>
          <w:tab w:val="clear" w:pos="1247"/>
          <w:tab w:val="clear" w:pos="1814"/>
          <w:tab w:val="clear" w:pos="2381"/>
          <w:tab w:val="left" w:pos="2268"/>
        </w:tabs>
        <w:spacing w:after="120"/>
        <w:ind w:left="1134" w:firstLine="567"/>
      </w:pPr>
      <w:r>
        <w:t>(h)</w:t>
      </w:r>
      <w:r>
        <w:tab/>
        <w:t>To ensure that the programme and facilities meet all applicable legislative requirements;</w:t>
      </w:r>
      <w:r w:rsidR="00287764">
        <w:t xml:space="preserve"> and</w:t>
      </w:r>
    </w:p>
    <w:p w:rsidR="00890CDD" w:rsidRDefault="00890CDD" w:rsidP="0080213C">
      <w:pPr>
        <w:tabs>
          <w:tab w:val="clear" w:pos="1247"/>
          <w:tab w:val="clear" w:pos="1814"/>
          <w:tab w:val="clear" w:pos="2381"/>
          <w:tab w:val="left" w:pos="2268"/>
        </w:tabs>
        <w:spacing w:after="120"/>
        <w:ind w:left="1134" w:firstLine="567"/>
      </w:pPr>
      <w:r>
        <w:t>(</w:t>
      </w:r>
      <w:proofErr w:type="spellStart"/>
      <w:r>
        <w:t>i</w:t>
      </w:r>
      <w:proofErr w:type="spellEnd"/>
      <w:r>
        <w:t>)</w:t>
      </w:r>
      <w:r>
        <w:tab/>
        <w:t xml:space="preserve">To ensure </w:t>
      </w:r>
      <w:r w:rsidR="00287764">
        <w:t xml:space="preserve">the </w:t>
      </w:r>
      <w:r>
        <w:t>separation of POP wastes from other waste streams.</w:t>
      </w:r>
    </w:p>
    <w:p w:rsidR="00890CDD" w:rsidRDefault="00890CDD">
      <w:pPr>
        <w:pStyle w:val="Heading3"/>
        <w:spacing w:before="240" w:after="120"/>
        <w:ind w:left="1134" w:hanging="425"/>
      </w:pPr>
      <w:bookmarkStart w:id="584" w:name="_Toc95280681"/>
      <w:bookmarkStart w:id="585" w:name="_Toc145395128"/>
      <w:bookmarkStart w:id="586" w:name="_Toc161804581"/>
      <w:bookmarkStart w:id="587" w:name="_Toc405988654"/>
      <w:bookmarkStart w:id="588" w:name="_Toc437340547"/>
      <w:r w:rsidRPr="005E5BFF">
        <w:rPr>
          <w:szCs w:val="20"/>
        </w:rPr>
        <w:t>3.</w:t>
      </w:r>
      <w:r w:rsidRPr="005E5BFF">
        <w:rPr>
          <w:szCs w:val="20"/>
        </w:rPr>
        <w:tab/>
      </w:r>
      <w:bookmarkEnd w:id="584"/>
      <w:bookmarkEnd w:id="585"/>
      <w:bookmarkEnd w:id="586"/>
      <w:r w:rsidRPr="005E5BFF">
        <w:rPr>
          <w:szCs w:val="20"/>
        </w:rPr>
        <w:t>Packaging</w:t>
      </w:r>
      <w:bookmarkEnd w:id="587"/>
      <w:bookmarkEnd w:id="588"/>
    </w:p>
    <w:p w:rsidR="00890CDD" w:rsidRDefault="00890CDD" w:rsidP="00980527">
      <w:pPr>
        <w:pStyle w:val="Paralevel1"/>
        <w:tabs>
          <w:tab w:val="clear" w:pos="1843"/>
          <w:tab w:val="left" w:pos="1701"/>
        </w:tabs>
        <w:ind w:left="1134" w:firstLine="0"/>
      </w:pPr>
      <w:r>
        <w:t>POP wastes</w:t>
      </w:r>
      <w:r w:rsidR="00142952">
        <w:t>, whether hazardous or not,</w:t>
      </w:r>
      <w:r>
        <w:t xml:space="preserve"> should be properly packaged for ease of transport and as a safety measure to reduce the risk of leaks and spills. </w:t>
      </w:r>
    </w:p>
    <w:p w:rsidR="00890CDD" w:rsidRDefault="00142952" w:rsidP="00980527">
      <w:pPr>
        <w:pStyle w:val="Paralevel1"/>
        <w:tabs>
          <w:tab w:val="clear" w:pos="1843"/>
          <w:tab w:val="left" w:pos="1701"/>
        </w:tabs>
        <w:ind w:left="1134" w:firstLine="0"/>
      </w:pPr>
      <w:r>
        <w:t xml:space="preserve">Packaging of hazardous wastes falls into two categories: packaging for transport and packaging for storage. </w:t>
      </w:r>
      <w:r w:rsidR="00890CDD">
        <w:t>Packaging for transport is often controlled by national dangerous goods transportation legislation. For packaging specifications for transport, the reader should consult reference material</w:t>
      </w:r>
      <w:r w:rsidR="00A16C7F">
        <w:t>s</w:t>
      </w:r>
      <w:r w:rsidR="00890CDD">
        <w:t xml:space="preserve"> published by IATA, IMO, UNECE</w:t>
      </w:r>
      <w:r w:rsidR="007F5A9C">
        <w:t>, GHS</w:t>
      </w:r>
      <w:r w:rsidR="00890CDD">
        <w:t xml:space="preserve"> and national governments. </w:t>
      </w:r>
    </w:p>
    <w:p w:rsidR="00890CDD" w:rsidRDefault="00890CDD" w:rsidP="00980527">
      <w:pPr>
        <w:pStyle w:val="Paralevel1"/>
        <w:tabs>
          <w:tab w:val="clear" w:pos="1843"/>
          <w:tab w:val="left" w:pos="1701"/>
        </w:tabs>
        <w:ind w:left="1134" w:firstLine="0"/>
      </w:pPr>
      <w:r>
        <w:t xml:space="preserve">Some general precepts </w:t>
      </w:r>
      <w:r w:rsidRPr="00A6576D">
        <w:t>for</w:t>
      </w:r>
      <w:r w:rsidR="00960A00" w:rsidRPr="00A6576D">
        <w:t xml:space="preserve"> the</w:t>
      </w:r>
      <w:r w:rsidRPr="00A6576D">
        <w:t xml:space="preserve"> packaging</w:t>
      </w:r>
      <w:r>
        <w:t xml:space="preserve"> of POP wastes for storage are as follows:</w:t>
      </w:r>
    </w:p>
    <w:p w:rsidR="00890CDD" w:rsidRDefault="00890CDD" w:rsidP="0080213C">
      <w:pPr>
        <w:tabs>
          <w:tab w:val="clear" w:pos="1247"/>
          <w:tab w:val="clear" w:pos="1814"/>
          <w:tab w:val="clear" w:pos="2381"/>
          <w:tab w:val="left" w:pos="2268"/>
        </w:tabs>
        <w:spacing w:after="120"/>
        <w:ind w:left="1134" w:firstLine="567"/>
      </w:pPr>
      <w:r>
        <w:t>(a)</w:t>
      </w:r>
      <w:r>
        <w:tab/>
        <w:t>Packaging that is acceptable for transport is, in most cases, suitable for storage</w:t>
      </w:r>
      <w:r w:rsidR="00142952">
        <w:t>, unless more stringent storage requirements are specified</w:t>
      </w:r>
      <w:r>
        <w:t>;</w:t>
      </w:r>
    </w:p>
    <w:p w:rsidR="00890CDD" w:rsidRDefault="00890CDD" w:rsidP="0080213C">
      <w:pPr>
        <w:tabs>
          <w:tab w:val="clear" w:pos="1247"/>
          <w:tab w:val="clear" w:pos="1814"/>
          <w:tab w:val="clear" w:pos="2381"/>
          <w:tab w:val="left" w:pos="2268"/>
        </w:tabs>
        <w:spacing w:after="120"/>
        <w:ind w:left="1134" w:firstLine="567"/>
      </w:pPr>
      <w:r>
        <w:t>(b)</w:t>
      </w:r>
      <w:r>
        <w:tab/>
        <w:t>Such wastes in their original product containers are generally safe for storage if the packaging is in good condition;</w:t>
      </w:r>
    </w:p>
    <w:p w:rsidR="00890CDD" w:rsidRDefault="00890CDD" w:rsidP="0080213C">
      <w:pPr>
        <w:tabs>
          <w:tab w:val="clear" w:pos="1247"/>
          <w:tab w:val="clear" w:pos="1814"/>
          <w:tab w:val="clear" w:pos="2381"/>
          <w:tab w:val="left" w:pos="2268"/>
        </w:tabs>
        <w:spacing w:after="120"/>
        <w:ind w:left="1134" w:firstLine="567"/>
      </w:pPr>
      <w:r>
        <w:t>(c)</w:t>
      </w:r>
      <w:r>
        <w:tab/>
      </w:r>
      <w:r w:rsidR="00960A00">
        <w:t xml:space="preserve">POP </w:t>
      </w:r>
      <w:r>
        <w:t>wastes should never be stored in product containers that were not intended to contain such wastes or that have labels on them that incorrectly identify the</w:t>
      </w:r>
      <w:r w:rsidR="00A16C7F">
        <w:t>ir</w:t>
      </w:r>
      <w:r>
        <w:t xml:space="preserve"> contents;</w:t>
      </w:r>
    </w:p>
    <w:p w:rsidR="00890CDD" w:rsidRDefault="00890CDD" w:rsidP="0080213C">
      <w:pPr>
        <w:tabs>
          <w:tab w:val="clear" w:pos="1247"/>
          <w:tab w:val="clear" w:pos="1814"/>
          <w:tab w:val="clear" w:pos="2381"/>
          <w:tab w:val="left" w:pos="2268"/>
        </w:tabs>
        <w:spacing w:after="120"/>
        <w:ind w:left="1134" w:firstLine="567"/>
      </w:pPr>
      <w:r>
        <w:t>(d)</w:t>
      </w:r>
      <w:r>
        <w:tab/>
        <w:t>Containers that are deteriorating or are deemed to be unsafe should be emptied or placed inside a sound outer package (</w:t>
      </w:r>
      <w:proofErr w:type="spellStart"/>
      <w:r>
        <w:t>overpack</w:t>
      </w:r>
      <w:proofErr w:type="spellEnd"/>
      <w:r>
        <w:t>). When unsafe containers are emptied, the contents should be placed in appropriate new or refurbished containers. All new or refurbished containers should be clearly labelled as to their contents;</w:t>
      </w:r>
    </w:p>
    <w:p w:rsidR="00890CDD" w:rsidRDefault="00890CDD" w:rsidP="0080213C">
      <w:pPr>
        <w:tabs>
          <w:tab w:val="clear" w:pos="1247"/>
          <w:tab w:val="clear" w:pos="1814"/>
          <w:tab w:val="clear" w:pos="2381"/>
          <w:tab w:val="left" w:pos="2268"/>
        </w:tabs>
        <w:spacing w:after="120"/>
        <w:ind w:left="1134" w:firstLine="567"/>
      </w:pPr>
      <w:r>
        <w:t>(e)</w:t>
      </w:r>
      <w:r>
        <w:tab/>
        <w:t xml:space="preserve">Smaller containers can be packaged together in bulk by placing them in appropriate or approved larger containers containing absorbent material; </w:t>
      </w:r>
    </w:p>
    <w:p w:rsidR="00890CDD" w:rsidRDefault="00890CDD" w:rsidP="0080213C">
      <w:pPr>
        <w:tabs>
          <w:tab w:val="clear" w:pos="1247"/>
          <w:tab w:val="clear" w:pos="1814"/>
          <w:tab w:val="clear" w:pos="2381"/>
          <w:tab w:val="left" w:pos="2268"/>
        </w:tabs>
        <w:spacing w:after="120"/>
        <w:ind w:left="1134" w:firstLine="567"/>
      </w:pPr>
      <w:r>
        <w:t>(f)</w:t>
      </w:r>
      <w:r>
        <w:tab/>
        <w:t xml:space="preserve">Out-of-service equipment containing POPs may or may not constitute suitable packaging for storage. The determination of </w:t>
      </w:r>
      <w:r w:rsidR="007C451D">
        <w:t xml:space="preserve">its </w:t>
      </w:r>
      <w:r>
        <w:t>safety should be made on a case-by-case basis.</w:t>
      </w:r>
    </w:p>
    <w:p w:rsidR="00890CDD" w:rsidRDefault="00890CDD">
      <w:pPr>
        <w:pStyle w:val="Heading3"/>
        <w:spacing w:before="240" w:after="120"/>
        <w:ind w:left="1134" w:hanging="425"/>
      </w:pPr>
      <w:bookmarkStart w:id="589" w:name="_Toc61328049"/>
      <w:bookmarkStart w:id="590" w:name="_Toc61681690"/>
      <w:bookmarkStart w:id="591" w:name="_Toc61681759"/>
      <w:bookmarkStart w:id="592" w:name="_Toc95280682"/>
      <w:bookmarkStart w:id="593" w:name="_Toc145395129"/>
      <w:bookmarkStart w:id="594" w:name="_Toc161804582"/>
      <w:bookmarkStart w:id="595" w:name="_Toc405988655"/>
      <w:bookmarkStart w:id="596" w:name="_Toc437340548"/>
      <w:r w:rsidRPr="005E5BFF">
        <w:rPr>
          <w:szCs w:val="20"/>
        </w:rPr>
        <w:t>4.</w:t>
      </w:r>
      <w:r w:rsidRPr="005E5BFF">
        <w:rPr>
          <w:szCs w:val="20"/>
        </w:rPr>
        <w:tab/>
        <w:t>Labelling</w:t>
      </w:r>
      <w:bookmarkEnd w:id="589"/>
      <w:bookmarkEnd w:id="590"/>
      <w:bookmarkEnd w:id="591"/>
      <w:bookmarkEnd w:id="592"/>
      <w:bookmarkEnd w:id="593"/>
      <w:bookmarkEnd w:id="594"/>
      <w:r w:rsidRPr="005E5BFF">
        <w:rPr>
          <w:rStyle w:val="FootnoteReference"/>
          <w:b w:val="0"/>
          <w:szCs w:val="20"/>
        </w:rPr>
        <w:footnoteReference w:id="47"/>
      </w:r>
      <w:bookmarkEnd w:id="595"/>
      <w:bookmarkEnd w:id="596"/>
    </w:p>
    <w:p w:rsidR="00890CDD" w:rsidRDefault="00890CDD" w:rsidP="00980527">
      <w:pPr>
        <w:pStyle w:val="Paralevel1"/>
        <w:tabs>
          <w:tab w:val="clear" w:pos="1843"/>
          <w:tab w:val="left" w:pos="1701"/>
        </w:tabs>
        <w:ind w:left="1134" w:firstLine="0"/>
      </w:pPr>
      <w:proofErr w:type="spellStart"/>
      <w:r w:rsidRPr="00E67180">
        <w:t>Labelling</w:t>
      </w:r>
      <w:proofErr w:type="spellEnd"/>
      <w:r w:rsidRPr="00E67180">
        <w:t xml:space="preserve"> of products containing POPs may be a necessary measure in order to effectively manage the products </w:t>
      </w:r>
      <w:r w:rsidR="00721F84" w:rsidRPr="00E67180">
        <w:t>upon becoming</w:t>
      </w:r>
      <w:r w:rsidRPr="00E67180">
        <w:t xml:space="preserve"> wastes</w:t>
      </w:r>
      <w:r w:rsidR="00E67180" w:rsidRPr="00E67180">
        <w:t>.</w:t>
      </w:r>
    </w:p>
    <w:p w:rsidR="00890CDD" w:rsidRDefault="00890CDD" w:rsidP="00980527">
      <w:pPr>
        <w:pStyle w:val="Paralevel1"/>
        <w:tabs>
          <w:tab w:val="clear" w:pos="1843"/>
          <w:tab w:val="left" w:pos="1701"/>
        </w:tabs>
        <w:ind w:left="1134" w:firstLine="0"/>
      </w:pPr>
      <w:proofErr w:type="spellStart"/>
      <w:r>
        <w:t>Labelling</w:t>
      </w:r>
      <w:proofErr w:type="spellEnd"/>
      <w:r>
        <w:t xml:space="preserve"> of POP wastes containers is a basic safety feature and important for the success of any waste management system. Each waste container should be </w:t>
      </w:r>
      <w:proofErr w:type="spellStart"/>
      <w:r>
        <w:t>labelled</w:t>
      </w:r>
      <w:proofErr w:type="spellEnd"/>
      <w:r>
        <w:t xml:space="preserve"> to identify the container (e.g., ID number</w:t>
      </w:r>
      <w:r w:rsidR="00CD6853">
        <w:t xml:space="preserve">) and </w:t>
      </w:r>
      <w:r>
        <w:t xml:space="preserve">the POP present and </w:t>
      </w:r>
      <w:r w:rsidR="00CD6853">
        <w:t xml:space="preserve">its </w:t>
      </w:r>
      <w:r>
        <w:t xml:space="preserve">hazard level. </w:t>
      </w:r>
    </w:p>
    <w:p w:rsidR="00890CDD" w:rsidRDefault="00890CDD">
      <w:pPr>
        <w:pStyle w:val="Heading3"/>
        <w:spacing w:before="240" w:after="120"/>
        <w:ind w:left="1134" w:hanging="425"/>
      </w:pPr>
      <w:bookmarkStart w:id="597" w:name="_Toc61328050"/>
      <w:bookmarkStart w:id="598" w:name="_Toc61681691"/>
      <w:bookmarkStart w:id="599" w:name="_Toc61681760"/>
      <w:bookmarkStart w:id="600" w:name="_Toc62220554"/>
      <w:bookmarkStart w:id="601" w:name="_Toc95280683"/>
      <w:bookmarkStart w:id="602" w:name="_Toc145395130"/>
      <w:bookmarkStart w:id="603" w:name="_Toc161804583"/>
      <w:bookmarkStart w:id="604" w:name="_Toc405988656"/>
      <w:bookmarkStart w:id="605" w:name="_Toc437340549"/>
      <w:r w:rsidRPr="005E5BFF">
        <w:rPr>
          <w:szCs w:val="20"/>
        </w:rPr>
        <w:t>5.</w:t>
      </w:r>
      <w:r w:rsidRPr="005E5BFF">
        <w:rPr>
          <w:szCs w:val="20"/>
        </w:rPr>
        <w:tab/>
      </w:r>
      <w:bookmarkEnd w:id="597"/>
      <w:bookmarkEnd w:id="598"/>
      <w:bookmarkEnd w:id="599"/>
      <w:bookmarkEnd w:id="600"/>
      <w:bookmarkEnd w:id="601"/>
      <w:bookmarkEnd w:id="602"/>
      <w:bookmarkEnd w:id="603"/>
      <w:r w:rsidRPr="005E5BFF">
        <w:rPr>
          <w:szCs w:val="20"/>
        </w:rPr>
        <w:t>Transportation</w:t>
      </w:r>
      <w:bookmarkEnd w:id="604"/>
      <w:bookmarkEnd w:id="605"/>
    </w:p>
    <w:p w:rsidR="00890CDD" w:rsidRPr="000F64A0" w:rsidRDefault="00890CDD" w:rsidP="00980527">
      <w:pPr>
        <w:pStyle w:val="Paralevel1"/>
        <w:tabs>
          <w:tab w:val="clear" w:pos="1843"/>
          <w:tab w:val="left" w:pos="1701"/>
        </w:tabs>
        <w:ind w:left="1134" w:firstLine="0"/>
      </w:pPr>
      <w:r w:rsidRPr="005E5BFF">
        <w:t>POP waste</w:t>
      </w:r>
      <w:r>
        <w:t>s</w:t>
      </w:r>
      <w:r w:rsidRPr="005E5BFF">
        <w:t xml:space="preserve"> should be transported in an environmentally sound manner to avoid accidental spills and to track their transport and ultimate destination appropriately. Before transport, contingency plans should be prepared in order to minimize environmental impacts associated with spills, fires and other emergencies that could occur during transport. During transportation, such wastes should be identified, packaged and transported in accordance with the “United Nations Recommendations on the Transport of Dangerous Goods: Model Regulations (Orange Book)”. Persons transporting such wastes should be qualified and certified as carriers of hazardous materials and wastes.</w:t>
      </w:r>
    </w:p>
    <w:p w:rsidR="00890CDD" w:rsidRPr="000F64A0" w:rsidRDefault="00890CDD" w:rsidP="00980527">
      <w:pPr>
        <w:pStyle w:val="Paralevel1"/>
        <w:tabs>
          <w:tab w:val="clear" w:pos="1843"/>
          <w:tab w:val="left" w:pos="1701"/>
        </w:tabs>
        <w:ind w:left="1134" w:firstLine="0"/>
      </w:pPr>
      <w:r w:rsidRPr="005E5BFF">
        <w:t xml:space="preserve">Transportation of dangerous goods and wastes is regulated in most countries and the </w:t>
      </w:r>
      <w:proofErr w:type="spellStart"/>
      <w:r w:rsidRPr="005E5BFF">
        <w:t>transboundary</w:t>
      </w:r>
      <w:proofErr w:type="spellEnd"/>
      <w:r w:rsidRPr="005E5BFF">
        <w:t xml:space="preserve"> movement of wastes is controlled, in particular by the Basel Convention. </w:t>
      </w:r>
    </w:p>
    <w:p w:rsidR="00890CDD" w:rsidRPr="000F64A0" w:rsidRDefault="00890CDD" w:rsidP="00980527">
      <w:pPr>
        <w:pStyle w:val="Paralevel1"/>
        <w:tabs>
          <w:tab w:val="clear" w:pos="1843"/>
          <w:tab w:val="left" w:pos="1701"/>
        </w:tabs>
        <w:ind w:left="1134" w:firstLine="0"/>
      </w:pPr>
      <w:r w:rsidRPr="005E5BFF">
        <w:t>Companies transporting wastes within their own countries should be certified as carriers of hazardous materials and wastes, and their personnel should be qualified.</w:t>
      </w:r>
    </w:p>
    <w:p w:rsidR="00890CDD" w:rsidRPr="000F64A0" w:rsidRDefault="00890CDD" w:rsidP="00980527">
      <w:pPr>
        <w:pStyle w:val="Paralevel1"/>
        <w:tabs>
          <w:tab w:val="clear" w:pos="1843"/>
          <w:tab w:val="left" w:pos="1701"/>
        </w:tabs>
        <w:ind w:left="1134" w:firstLine="0"/>
      </w:pPr>
      <w:r w:rsidRPr="005E5BFF">
        <w:t>Guidance on the safe transportation of hazardous materials can be obtained from IATA, IMO, UNECE and ICAO.</w:t>
      </w:r>
    </w:p>
    <w:p w:rsidR="00890CDD" w:rsidRDefault="00890CDD">
      <w:pPr>
        <w:pStyle w:val="Heading3"/>
        <w:spacing w:before="240" w:after="120"/>
        <w:ind w:left="1134" w:hanging="425"/>
      </w:pPr>
      <w:bookmarkStart w:id="606" w:name="_Toc61328051"/>
      <w:bookmarkStart w:id="607" w:name="_Toc61681692"/>
      <w:bookmarkStart w:id="608" w:name="_Toc61681761"/>
      <w:bookmarkStart w:id="609" w:name="_Toc62220555"/>
      <w:bookmarkStart w:id="610" w:name="_Toc95280684"/>
      <w:bookmarkStart w:id="611" w:name="_Toc145395131"/>
      <w:bookmarkStart w:id="612" w:name="_Toc161804584"/>
      <w:bookmarkStart w:id="613" w:name="_Toc405988657"/>
      <w:bookmarkStart w:id="614" w:name="_Toc437340550"/>
      <w:r w:rsidRPr="005E5BFF">
        <w:rPr>
          <w:szCs w:val="20"/>
        </w:rPr>
        <w:t>6.</w:t>
      </w:r>
      <w:r w:rsidRPr="005E5BFF">
        <w:rPr>
          <w:szCs w:val="20"/>
        </w:rPr>
        <w:tab/>
      </w:r>
      <w:bookmarkEnd w:id="606"/>
      <w:bookmarkEnd w:id="607"/>
      <w:bookmarkEnd w:id="608"/>
      <w:bookmarkEnd w:id="609"/>
      <w:bookmarkEnd w:id="610"/>
      <w:bookmarkEnd w:id="611"/>
      <w:bookmarkEnd w:id="612"/>
      <w:r w:rsidRPr="005E5BFF">
        <w:rPr>
          <w:szCs w:val="20"/>
        </w:rPr>
        <w:t>Storage</w:t>
      </w:r>
      <w:r w:rsidRPr="005E5BFF">
        <w:rPr>
          <w:rStyle w:val="FootnoteReference"/>
          <w:b w:val="0"/>
          <w:szCs w:val="20"/>
        </w:rPr>
        <w:footnoteReference w:id="48"/>
      </w:r>
      <w:bookmarkEnd w:id="613"/>
      <w:bookmarkEnd w:id="614"/>
      <w:r w:rsidRPr="005E5BFF">
        <w:rPr>
          <w:szCs w:val="20"/>
        </w:rPr>
        <w:t xml:space="preserve"> </w:t>
      </w:r>
    </w:p>
    <w:p w:rsidR="00890CDD" w:rsidRDefault="00FB76AF" w:rsidP="0084178A">
      <w:pPr>
        <w:pStyle w:val="Paralevel1"/>
        <w:tabs>
          <w:tab w:val="clear" w:pos="1843"/>
          <w:tab w:val="left" w:pos="1701"/>
        </w:tabs>
        <w:ind w:left="1134" w:firstLine="0"/>
      </w:pPr>
      <w:r>
        <w:rPr>
          <w:lang w:val="en-CA"/>
        </w:rPr>
        <w:t xml:space="preserve"> </w:t>
      </w:r>
      <w:r w:rsidR="0082300A" w:rsidRPr="00980527">
        <w:t>A</w:t>
      </w:r>
      <w:r w:rsidR="007C20D4" w:rsidRPr="00980527">
        <w:t>ccording</w:t>
      </w:r>
      <w:r w:rsidR="007C20D4">
        <w:t xml:space="preserve"> to </w:t>
      </w:r>
      <w:r w:rsidR="0082300A">
        <w:t>Annex</w:t>
      </w:r>
      <w:r w:rsidR="007C20D4">
        <w:t xml:space="preserve"> IV</w:t>
      </w:r>
      <w:r w:rsidR="00771BBD">
        <w:t xml:space="preserve">, sections </w:t>
      </w:r>
      <w:r w:rsidR="007C20D4">
        <w:t xml:space="preserve">A and </w:t>
      </w:r>
      <w:r w:rsidR="0082300A">
        <w:t>B</w:t>
      </w:r>
      <w:r w:rsidR="00771BBD">
        <w:t>,</w:t>
      </w:r>
      <w:r w:rsidR="0082300A">
        <w:t xml:space="preserve"> of the Basel Convention, s</w:t>
      </w:r>
      <w:r w:rsidR="00346488">
        <w:t xml:space="preserve">torage </w:t>
      </w:r>
      <w:r w:rsidR="00AF63E7">
        <w:t xml:space="preserve">(operations </w:t>
      </w:r>
      <w:r w:rsidR="00771BBD">
        <w:t xml:space="preserve">D5 and </w:t>
      </w:r>
      <w:r w:rsidR="00AF63E7">
        <w:t xml:space="preserve">R13) </w:t>
      </w:r>
      <w:r w:rsidR="00721F84">
        <w:t xml:space="preserve">is </w:t>
      </w:r>
      <w:r w:rsidR="00AF63E7">
        <w:t xml:space="preserve">a temporary operation </w:t>
      </w:r>
      <w:r w:rsidR="00771BBD">
        <w:t xml:space="preserve">that precedes </w:t>
      </w:r>
      <w:r w:rsidR="00AF63E7">
        <w:t xml:space="preserve">other </w:t>
      </w:r>
      <w:r w:rsidR="00721F84">
        <w:t xml:space="preserve">disposal operations. </w:t>
      </w:r>
      <w:r w:rsidR="00890CDD">
        <w:t>POP wastes</w:t>
      </w:r>
      <w:r w:rsidR="00721F84">
        <w:t>, after</w:t>
      </w:r>
      <w:r w:rsidR="00890CDD">
        <w:t xml:space="preserve"> hav</w:t>
      </w:r>
      <w:r w:rsidR="00721F84">
        <w:t>ing</w:t>
      </w:r>
      <w:r w:rsidR="00890CDD">
        <w:t xml:space="preserve"> been appropriately packaged (see </w:t>
      </w:r>
      <w:r w:rsidR="00D04944">
        <w:t>sub</w:t>
      </w:r>
      <w:r w:rsidR="00890CDD">
        <w:t xml:space="preserve">section </w:t>
      </w:r>
      <w:r w:rsidR="00D04944">
        <w:t>IV.F.</w:t>
      </w:r>
      <w:r w:rsidR="00890CDD">
        <w:t xml:space="preserve">3 on packaging) should be stored safely, preferably </w:t>
      </w:r>
      <w:r w:rsidR="0082300A">
        <w:t xml:space="preserve">away from drinking water winning areas, and </w:t>
      </w:r>
      <w:r w:rsidR="00890CDD">
        <w:t>in dedicated areas away from other materials and wastes</w:t>
      </w:r>
      <w:r w:rsidR="0082300A">
        <w:t xml:space="preserve">. However, they could be stored together with other wastes if they </w:t>
      </w:r>
      <w:r w:rsidR="00771BBD">
        <w:t>we</w:t>
      </w:r>
      <w:r w:rsidR="0082300A">
        <w:t>re</w:t>
      </w:r>
      <w:r w:rsidR="00890CDD">
        <w:t xml:space="preserve"> </w:t>
      </w:r>
      <w:r w:rsidR="0082300A">
        <w:rPr>
          <w:lang w:val="en-CA"/>
        </w:rPr>
        <w:t>destined for a similar disposal operation as listed under section IV.G.</w:t>
      </w:r>
      <w:r w:rsidR="00890CDD">
        <w:t xml:space="preserve"> Storage areas should be designed to prevent the release of POPs </w:t>
      </w:r>
      <w:r w:rsidR="00281BE8">
        <w:t>in</w:t>
      </w:r>
      <w:r w:rsidR="00890CDD">
        <w:t xml:space="preserve">to the environment by any route. Storage rooms, areas </w:t>
      </w:r>
      <w:r w:rsidR="00405DFE" w:rsidRPr="00E67180">
        <w:t>and</w:t>
      </w:r>
      <w:r w:rsidR="00977BD7">
        <w:t xml:space="preserve"> </w:t>
      </w:r>
      <w:r w:rsidR="00890CDD">
        <w:t>buildings should be designed by professionals with expertise in the fields of structural design, waste management and occupational health and safety or can be purchased in prefabricated form from reputable suppliers</w:t>
      </w:r>
      <w:r w:rsidR="0082300A">
        <w:t xml:space="preserve"> as approved by </w:t>
      </w:r>
      <w:r w:rsidR="00405DFE" w:rsidRPr="00E67180">
        <w:t>the</w:t>
      </w:r>
      <w:r w:rsidR="00977BD7">
        <w:t xml:space="preserve"> </w:t>
      </w:r>
      <w:r w:rsidR="0082300A">
        <w:t>authorities, as appropriate</w:t>
      </w:r>
      <w:r w:rsidR="00890CDD">
        <w:t xml:space="preserve">. </w:t>
      </w:r>
    </w:p>
    <w:p w:rsidR="0011435B" w:rsidRPr="007C20D4" w:rsidRDefault="007C20D4" w:rsidP="00980527">
      <w:pPr>
        <w:pStyle w:val="Paralevel1"/>
        <w:tabs>
          <w:tab w:val="clear" w:pos="1843"/>
          <w:tab w:val="left" w:pos="1701"/>
        </w:tabs>
        <w:ind w:left="1134" w:firstLine="0"/>
      </w:pPr>
      <w:r w:rsidRPr="007C20D4">
        <w:t xml:space="preserve">Where necessary, </w:t>
      </w:r>
      <w:r w:rsidR="0011435B" w:rsidRPr="007C20D4">
        <w:t xml:space="preserve">POP wastes should be segregated at the source to ensure appropriate arrangements for collection, including </w:t>
      </w:r>
      <w:r w:rsidR="00281BE8">
        <w:t xml:space="preserve">the use of </w:t>
      </w:r>
      <w:r w:rsidR="0011435B" w:rsidRPr="007C20D4">
        <w:t xml:space="preserve">collection tanks, </w:t>
      </w:r>
      <w:r w:rsidRPr="007C20D4">
        <w:t>taking into account</w:t>
      </w:r>
      <w:r w:rsidR="0011435B" w:rsidRPr="007C20D4">
        <w:t xml:space="preserve"> their hazardous characteristics and </w:t>
      </w:r>
      <w:r w:rsidR="00281BE8">
        <w:t xml:space="preserve">the </w:t>
      </w:r>
      <w:r w:rsidR="0011435B" w:rsidRPr="007C20D4">
        <w:t>risk of exposure</w:t>
      </w:r>
      <w:r w:rsidR="00281BE8">
        <w:t xml:space="preserve"> that they present</w:t>
      </w:r>
      <w:r w:rsidR="0011435B" w:rsidRPr="007C20D4">
        <w:t xml:space="preserve">. </w:t>
      </w:r>
    </w:p>
    <w:p w:rsidR="00890CDD" w:rsidRDefault="00890CDD" w:rsidP="00980527">
      <w:pPr>
        <w:pStyle w:val="Paralevel1"/>
        <w:tabs>
          <w:tab w:val="clear" w:pos="1843"/>
          <w:tab w:val="left" w:pos="1701"/>
        </w:tabs>
        <w:ind w:left="1134" w:firstLine="0"/>
      </w:pPr>
      <w:r>
        <w:t>Some basic principles of safe storage of POP wastes are as follows:</w:t>
      </w:r>
    </w:p>
    <w:p w:rsidR="00890CDD" w:rsidRDefault="00890CDD" w:rsidP="0080213C">
      <w:pPr>
        <w:tabs>
          <w:tab w:val="clear" w:pos="1247"/>
          <w:tab w:val="clear" w:pos="1814"/>
          <w:tab w:val="clear" w:pos="2381"/>
          <w:tab w:val="left" w:pos="2268"/>
        </w:tabs>
        <w:spacing w:after="120"/>
        <w:ind w:left="1134" w:firstLine="567"/>
      </w:pPr>
      <w:r>
        <w:t>(a)</w:t>
      </w:r>
      <w:r>
        <w:tab/>
        <w:t>Storage sites inside multi-purpose buildings should be in a locked dedicated room or partition that is not in an area of high use;</w:t>
      </w:r>
    </w:p>
    <w:p w:rsidR="00890CDD" w:rsidRDefault="00890CDD" w:rsidP="0080213C">
      <w:pPr>
        <w:tabs>
          <w:tab w:val="clear" w:pos="1247"/>
          <w:tab w:val="clear" w:pos="1814"/>
          <w:tab w:val="clear" w:pos="2381"/>
          <w:tab w:val="left" w:pos="2268"/>
        </w:tabs>
        <w:spacing w:after="120"/>
        <w:ind w:left="1134" w:firstLine="567"/>
      </w:pPr>
      <w:r>
        <w:t>(b)</w:t>
      </w:r>
      <w:r>
        <w:tab/>
        <w:t>Outdoor dedicated storage buildings or containers</w:t>
      </w:r>
      <w:r w:rsidR="006B70C9">
        <w:t xml:space="preserve"> (shipping containers are often used for storage)</w:t>
      </w:r>
      <w:r>
        <w:t xml:space="preserve"> should be stored inside a lockable fenced enclosure;</w:t>
      </w:r>
    </w:p>
    <w:p w:rsidR="00890CDD" w:rsidRDefault="00890CDD" w:rsidP="0080213C">
      <w:pPr>
        <w:tabs>
          <w:tab w:val="clear" w:pos="1247"/>
          <w:tab w:val="clear" w:pos="1814"/>
          <w:tab w:val="clear" w:pos="2381"/>
          <w:tab w:val="left" w:pos="2268"/>
        </w:tabs>
        <w:spacing w:after="120"/>
        <w:ind w:left="1134" w:firstLine="567"/>
      </w:pPr>
      <w:r>
        <w:t>(c)</w:t>
      </w:r>
      <w:r>
        <w:tab/>
        <w:t>Separate storage areas, rooms or buildings may be required for each type of POP waste, unless specific approval has been given for joint storage;</w:t>
      </w:r>
    </w:p>
    <w:p w:rsidR="00890CDD" w:rsidRDefault="00890CDD" w:rsidP="0080213C">
      <w:pPr>
        <w:tabs>
          <w:tab w:val="clear" w:pos="1247"/>
          <w:tab w:val="clear" w:pos="1814"/>
          <w:tab w:val="clear" w:pos="2381"/>
          <w:tab w:val="left" w:pos="2268"/>
        </w:tabs>
        <w:spacing w:after="120"/>
        <w:ind w:left="1134" w:firstLine="567"/>
      </w:pPr>
      <w:r>
        <w:t>(d)</w:t>
      </w:r>
      <w:r>
        <w:tab/>
        <w:t>Such wastes should not be stored at or near sensitive sites such as hospitals or other medical care facilities, schools, residences, food processing facilities, animal feed storage or processing facilities, agricultural operations, or facilities located near or within environmentally sensitive sites;</w:t>
      </w:r>
    </w:p>
    <w:p w:rsidR="00890CDD" w:rsidRDefault="00890CDD" w:rsidP="0080213C">
      <w:pPr>
        <w:tabs>
          <w:tab w:val="clear" w:pos="1247"/>
          <w:tab w:val="clear" w:pos="1814"/>
          <w:tab w:val="clear" w:pos="2381"/>
          <w:tab w:val="left" w:pos="2268"/>
        </w:tabs>
        <w:spacing w:after="120"/>
        <w:ind w:left="1134" w:firstLine="567"/>
      </w:pPr>
      <w:r>
        <w:t>(e)</w:t>
      </w:r>
      <w:r>
        <w:tab/>
        <w:t>Storage rooms, buildings and containers should be located and maintained in conditions that minimize volatilization, including cool temperatures, reflective roofs and sidings, a shaded location, etc. When possible, particularly in warm climates, storage rooms and buildings should be maintained under negative pressure with exhaust gases vented through carbon filters, bearing in mind the following conditions:</w:t>
      </w:r>
    </w:p>
    <w:p w:rsidR="00890CDD" w:rsidRDefault="00890CDD" w:rsidP="0080213C">
      <w:pPr>
        <w:keepNext/>
        <w:tabs>
          <w:tab w:val="clear" w:pos="2381"/>
          <w:tab w:val="clear" w:pos="2948"/>
        </w:tabs>
        <w:spacing w:after="120"/>
        <w:ind w:left="2835" w:hanging="567"/>
      </w:pPr>
      <w:r>
        <w:t>(</w:t>
      </w:r>
      <w:proofErr w:type="spellStart"/>
      <w:r>
        <w:t>i</w:t>
      </w:r>
      <w:proofErr w:type="spellEnd"/>
      <w:r>
        <w:t>)</w:t>
      </w:r>
      <w:r>
        <w:tab/>
        <w:t xml:space="preserve">Ventilating a site with carbon filtration of exhaust gases may be appropriate when exposure to vapours </w:t>
      </w:r>
      <w:r w:rsidR="00960676">
        <w:t xml:space="preserve">of </w:t>
      </w:r>
      <w:r>
        <w:t xml:space="preserve">those who work at the site and those living and working in the vicinity of the site is a concern; </w:t>
      </w:r>
    </w:p>
    <w:p w:rsidR="00890CDD" w:rsidRDefault="00890CDD" w:rsidP="0080213C">
      <w:pPr>
        <w:keepNext/>
        <w:tabs>
          <w:tab w:val="clear" w:pos="2381"/>
          <w:tab w:val="clear" w:pos="2948"/>
        </w:tabs>
        <w:spacing w:after="120"/>
        <w:ind w:left="2835" w:hanging="567"/>
      </w:pPr>
      <w:r>
        <w:t>(ii)</w:t>
      </w:r>
      <w:r>
        <w:tab/>
        <w:t>Sealing and venting a site so that only well-filtered exhaust gases are released to outside air may be appropriate when environmental concerns are paramount;</w:t>
      </w:r>
    </w:p>
    <w:p w:rsidR="00890CDD" w:rsidRDefault="00890CDD" w:rsidP="0080213C">
      <w:pPr>
        <w:tabs>
          <w:tab w:val="clear" w:pos="1247"/>
          <w:tab w:val="clear" w:pos="1814"/>
          <w:tab w:val="clear" w:pos="2381"/>
          <w:tab w:val="left" w:pos="2268"/>
        </w:tabs>
        <w:spacing w:after="120"/>
        <w:ind w:left="1134" w:firstLine="567"/>
      </w:pPr>
      <w:r>
        <w:t>(f)</w:t>
      </w:r>
      <w:r>
        <w:tab/>
        <w:t>Dedicated buildings or containers should be in good condition and made of hard plastic or metal, not wood, fibreboard, drywall, plaster or insulation;</w:t>
      </w:r>
    </w:p>
    <w:p w:rsidR="00890CDD" w:rsidRDefault="00890CDD" w:rsidP="0080213C">
      <w:pPr>
        <w:tabs>
          <w:tab w:val="clear" w:pos="1247"/>
          <w:tab w:val="clear" w:pos="1814"/>
          <w:tab w:val="clear" w:pos="2381"/>
          <w:tab w:val="left" w:pos="2268"/>
        </w:tabs>
        <w:spacing w:after="120"/>
        <w:ind w:left="1134" w:firstLine="567"/>
      </w:pPr>
      <w:r>
        <w:t>(g)</w:t>
      </w:r>
      <w:r>
        <w:tab/>
        <w:t>The roofs of dedicated buildings or containers and the surrounding land should be sloped to provide drainage away from the site;</w:t>
      </w:r>
    </w:p>
    <w:p w:rsidR="00890CDD" w:rsidRDefault="00890CDD" w:rsidP="0080213C">
      <w:pPr>
        <w:tabs>
          <w:tab w:val="clear" w:pos="1247"/>
          <w:tab w:val="clear" w:pos="1814"/>
          <w:tab w:val="clear" w:pos="2381"/>
          <w:tab w:val="left" w:pos="2268"/>
        </w:tabs>
        <w:spacing w:after="120"/>
        <w:ind w:left="1134" w:firstLine="567"/>
      </w:pPr>
      <w:r>
        <w:t>(h)</w:t>
      </w:r>
      <w:r>
        <w:tab/>
        <w:t>Dedicated buildings or containers should be set on asphalt, concrete or durable (e.g., 6 mm) plastic sheeting;</w:t>
      </w:r>
    </w:p>
    <w:p w:rsidR="00890CDD" w:rsidRDefault="00890CDD" w:rsidP="0080213C">
      <w:pPr>
        <w:tabs>
          <w:tab w:val="clear" w:pos="1247"/>
          <w:tab w:val="clear" w:pos="1814"/>
          <w:tab w:val="clear" w:pos="2381"/>
          <w:tab w:val="left" w:pos="2268"/>
        </w:tabs>
        <w:spacing w:after="120"/>
        <w:ind w:left="1134" w:firstLine="567"/>
      </w:pPr>
      <w:r>
        <w:t>(</w:t>
      </w:r>
      <w:proofErr w:type="spellStart"/>
      <w:r>
        <w:t>i</w:t>
      </w:r>
      <w:proofErr w:type="spellEnd"/>
      <w:r>
        <w:t>)</w:t>
      </w:r>
      <w:r>
        <w:tab/>
        <w:t>The floors of storage sites inside buildings should be concrete or durable (e.g., 6 mm plastic sheeting). Concrete should be coated with a durable epoxy polymer;</w:t>
      </w:r>
    </w:p>
    <w:p w:rsidR="00890CDD" w:rsidRDefault="00890CDD" w:rsidP="0080213C">
      <w:pPr>
        <w:tabs>
          <w:tab w:val="clear" w:pos="1247"/>
          <w:tab w:val="clear" w:pos="1814"/>
          <w:tab w:val="clear" w:pos="2381"/>
          <w:tab w:val="left" w:pos="2268"/>
        </w:tabs>
        <w:spacing w:after="120"/>
        <w:ind w:left="1134" w:firstLine="567"/>
      </w:pPr>
      <w:r>
        <w:t>(j)</w:t>
      </w:r>
      <w:r>
        <w:tab/>
        <w:t>Storage sites should have fire alarm systems;</w:t>
      </w:r>
    </w:p>
    <w:p w:rsidR="00890CDD" w:rsidRDefault="00890CDD" w:rsidP="0080213C">
      <w:pPr>
        <w:tabs>
          <w:tab w:val="clear" w:pos="1247"/>
          <w:tab w:val="clear" w:pos="1814"/>
          <w:tab w:val="clear" w:pos="2381"/>
          <w:tab w:val="left" w:pos="2268"/>
        </w:tabs>
        <w:spacing w:after="120"/>
        <w:ind w:left="1134" w:firstLine="567"/>
      </w:pPr>
      <w:r>
        <w:t>(k)</w:t>
      </w:r>
      <w:r>
        <w:tab/>
        <w:t>Storage sites inside buildings should have (preferably non-water) fire suppression systems. If the fire suppressant is water, then the floor of the storage room should be curbed and the floor drainage system should not lead to the sewer or storm sewer or directly to surface water but should have its own collection system, such as a sump;</w:t>
      </w:r>
    </w:p>
    <w:p w:rsidR="00890CDD" w:rsidRDefault="00890CDD" w:rsidP="0080213C">
      <w:pPr>
        <w:tabs>
          <w:tab w:val="clear" w:pos="1247"/>
          <w:tab w:val="clear" w:pos="1814"/>
          <w:tab w:val="clear" w:pos="2381"/>
          <w:tab w:val="left" w:pos="2268"/>
        </w:tabs>
        <w:spacing w:after="120"/>
        <w:ind w:left="1134" w:firstLine="567"/>
      </w:pPr>
      <w:r>
        <w:t>(l)</w:t>
      </w:r>
      <w:r>
        <w:tab/>
        <w:t xml:space="preserve">Liquid wastes should be placed in containment trays or </w:t>
      </w:r>
      <w:r w:rsidR="00960676">
        <w:t>in</w:t>
      </w:r>
      <w:r>
        <w:t xml:space="preserve"> curbed, leak-proof area</w:t>
      </w:r>
      <w:r w:rsidR="00960676">
        <w:t>s</w:t>
      </w:r>
      <w:r>
        <w:t xml:space="preserve">. The liquid containment volume should be at least 125 </w:t>
      </w:r>
      <w:r w:rsidR="00054FF8" w:rsidRPr="00713F58">
        <w:t>per</w:t>
      </w:r>
      <w:r w:rsidR="00E0097C" w:rsidRPr="00713F58">
        <w:t xml:space="preserve"> </w:t>
      </w:r>
      <w:r w:rsidR="00054FF8" w:rsidRPr="00713F58">
        <w:t>cent</w:t>
      </w:r>
      <w:r w:rsidR="00054FF8">
        <w:t xml:space="preserve"> </w:t>
      </w:r>
      <w:r>
        <w:t>of the liquid waste volume, taking into account the space taken up by stored items in the containment area;</w:t>
      </w:r>
    </w:p>
    <w:p w:rsidR="00890CDD" w:rsidRDefault="00890CDD" w:rsidP="0080213C">
      <w:pPr>
        <w:tabs>
          <w:tab w:val="clear" w:pos="1247"/>
          <w:tab w:val="clear" w:pos="1814"/>
          <w:tab w:val="clear" w:pos="2381"/>
          <w:tab w:val="left" w:pos="2268"/>
        </w:tabs>
        <w:spacing w:after="120"/>
        <w:ind w:left="1134" w:firstLine="567"/>
      </w:pPr>
      <w:r>
        <w:t>(m)</w:t>
      </w:r>
      <w:r>
        <w:tab/>
        <w:t>Contaminated solids should be stored in sealed containers such as barrels or pails, steel waste containers (</w:t>
      </w:r>
      <w:proofErr w:type="spellStart"/>
      <w:r>
        <w:t>lugger</w:t>
      </w:r>
      <w:proofErr w:type="spellEnd"/>
      <w:r>
        <w:t xml:space="preserve"> boxes) or in specially constructed trays or containers. Large volumes of material may be stored in bulk in dedicated shipping containers, buildings or vaults so long as they meet the safety and security requirements described herein;</w:t>
      </w:r>
      <w:r w:rsidR="00AE2970">
        <w:t xml:space="preserve"> </w:t>
      </w:r>
    </w:p>
    <w:p w:rsidR="00890CDD" w:rsidRDefault="00890CDD" w:rsidP="0080213C">
      <w:pPr>
        <w:tabs>
          <w:tab w:val="clear" w:pos="1247"/>
          <w:tab w:val="clear" w:pos="1814"/>
          <w:tab w:val="clear" w:pos="2381"/>
          <w:tab w:val="left" w:pos="2268"/>
        </w:tabs>
        <w:spacing w:after="120"/>
        <w:ind w:left="1134" w:firstLine="567"/>
      </w:pPr>
      <w:r>
        <w:t>(n)</w:t>
      </w:r>
      <w:r>
        <w:tab/>
        <w:t>A complete inventory of such wastes in the storage site should be created and kept up to date as waste is added or disposed of;</w:t>
      </w:r>
    </w:p>
    <w:p w:rsidR="00890CDD" w:rsidRDefault="00890CDD" w:rsidP="0080213C">
      <w:pPr>
        <w:tabs>
          <w:tab w:val="clear" w:pos="1247"/>
          <w:tab w:val="clear" w:pos="1814"/>
          <w:tab w:val="clear" w:pos="2381"/>
          <w:tab w:val="left" w:pos="2268"/>
        </w:tabs>
        <w:spacing w:after="120"/>
        <w:ind w:left="1134" w:firstLine="567"/>
      </w:pPr>
      <w:r>
        <w:t>(o)</w:t>
      </w:r>
      <w:r>
        <w:tab/>
        <w:t xml:space="preserve">The outside of the storage site should be labelled as a waste storage site; </w:t>
      </w:r>
    </w:p>
    <w:p w:rsidR="00890CDD" w:rsidRDefault="00890CDD" w:rsidP="0080213C">
      <w:pPr>
        <w:tabs>
          <w:tab w:val="clear" w:pos="1247"/>
          <w:tab w:val="clear" w:pos="1814"/>
          <w:tab w:val="clear" w:pos="2381"/>
          <w:tab w:val="left" w:pos="2268"/>
        </w:tabs>
        <w:spacing w:after="120"/>
        <w:ind w:left="1134" w:firstLine="567"/>
      </w:pPr>
      <w:r>
        <w:t>(p)</w:t>
      </w:r>
      <w:r>
        <w:tab/>
        <w:t>The site should be subjected to routine inspection for leaks, degradation of container materials, vandalism, integrity of fire alarms and fire suppression systems and general status of the site</w:t>
      </w:r>
      <w:r w:rsidR="00F50E54">
        <w:t>.</w:t>
      </w:r>
    </w:p>
    <w:p w:rsidR="00890CDD" w:rsidRPr="00E41CFD" w:rsidRDefault="00890CDD">
      <w:pPr>
        <w:pStyle w:val="Heading2"/>
        <w:spacing w:before="240" w:after="120"/>
        <w:ind w:left="1134" w:hanging="510"/>
      </w:pPr>
      <w:bookmarkStart w:id="615" w:name="_Toc58997132"/>
      <w:bookmarkStart w:id="616" w:name="_Toc58999208"/>
      <w:bookmarkStart w:id="617" w:name="_Toc58999267"/>
      <w:bookmarkStart w:id="618" w:name="_Toc59943364"/>
      <w:bookmarkStart w:id="619" w:name="_Toc59943529"/>
      <w:bookmarkStart w:id="620" w:name="_Toc59943587"/>
      <w:bookmarkStart w:id="621" w:name="_Toc59943680"/>
      <w:bookmarkStart w:id="622" w:name="_Toc61328053"/>
      <w:bookmarkStart w:id="623" w:name="_Toc61681694"/>
      <w:bookmarkStart w:id="624" w:name="_Toc61681763"/>
      <w:bookmarkStart w:id="625" w:name="_Toc62220556"/>
      <w:bookmarkStart w:id="626" w:name="_Toc161804585"/>
      <w:bookmarkStart w:id="627" w:name="_Toc405988658"/>
      <w:bookmarkStart w:id="628" w:name="_Toc437340551"/>
      <w:bookmarkEnd w:id="500"/>
      <w:bookmarkEnd w:id="501"/>
      <w:bookmarkEnd w:id="502"/>
      <w:bookmarkEnd w:id="503"/>
      <w:bookmarkEnd w:id="504"/>
      <w:bookmarkEnd w:id="559"/>
      <w:bookmarkEnd w:id="560"/>
      <w:bookmarkEnd w:id="561"/>
      <w:bookmarkEnd w:id="562"/>
      <w:bookmarkEnd w:id="563"/>
      <w:bookmarkEnd w:id="564"/>
      <w:bookmarkEnd w:id="565"/>
      <w:bookmarkEnd w:id="566"/>
      <w:bookmarkEnd w:id="572"/>
      <w:bookmarkEnd w:id="573"/>
      <w:r w:rsidRPr="00E41CFD">
        <w:t>G.</w:t>
      </w:r>
      <w:r w:rsidRPr="00E41CFD">
        <w:tab/>
        <w:t>Environmentally sound disposal</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rsidR="00890CDD" w:rsidRPr="00E41CFD" w:rsidRDefault="00890CDD">
      <w:pPr>
        <w:pStyle w:val="Heading3"/>
        <w:spacing w:before="240" w:after="120"/>
        <w:ind w:left="1134" w:hanging="425"/>
      </w:pPr>
      <w:bookmarkStart w:id="629" w:name="_Toc58997133"/>
      <w:bookmarkStart w:id="630" w:name="_Toc58999209"/>
      <w:bookmarkStart w:id="631" w:name="_Toc58999268"/>
      <w:bookmarkStart w:id="632" w:name="_Toc59943365"/>
      <w:bookmarkStart w:id="633" w:name="_Toc59943530"/>
      <w:bookmarkStart w:id="634" w:name="_Toc59943588"/>
      <w:bookmarkStart w:id="635" w:name="_Toc59943681"/>
      <w:bookmarkStart w:id="636" w:name="_Toc61328054"/>
      <w:bookmarkStart w:id="637" w:name="_Toc61681695"/>
      <w:bookmarkStart w:id="638" w:name="_Toc61681764"/>
      <w:bookmarkStart w:id="639" w:name="_Toc62220557"/>
      <w:bookmarkStart w:id="640" w:name="_Toc95280686"/>
      <w:bookmarkStart w:id="641" w:name="_Toc145395133"/>
      <w:bookmarkStart w:id="642" w:name="_Toc161804586"/>
      <w:bookmarkStart w:id="643" w:name="_Toc405988659"/>
      <w:bookmarkStart w:id="644" w:name="_Toc437340552"/>
      <w:r w:rsidRPr="00E41CFD">
        <w:rPr>
          <w:szCs w:val="20"/>
        </w:rPr>
        <w:t>1.</w:t>
      </w:r>
      <w:r w:rsidRPr="00E41CFD">
        <w:rPr>
          <w:szCs w:val="20"/>
        </w:rPr>
        <w:tab/>
        <w:t>Pre-treatment</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rsidR="00890CDD" w:rsidRPr="00AE64F2" w:rsidRDefault="00405DFE" w:rsidP="00980527">
      <w:pPr>
        <w:pStyle w:val="Paralevel1"/>
        <w:tabs>
          <w:tab w:val="clear" w:pos="1843"/>
          <w:tab w:val="left" w:pos="1701"/>
        </w:tabs>
        <w:ind w:left="1134" w:firstLine="0"/>
      </w:pPr>
      <w:r w:rsidRPr="00AE64F2">
        <w:t xml:space="preserve">This section presents some of the pre-treatment operations that may be required for the proper and safe operation of the disposal technologies described in subsections 2 and 3 below. There are other pre-treatment operations that may be applied. Pre-treatment operations prior to disposal in accordance with subsections IV.G.2 and IV.G.3 should be performed only if the POPs that are isolated from the waste during pre-treatment are subsequently disposed of in accordance with subsection IV.G.2. When only part of a product or waste, such as waste equipment, contains or is contaminated with POPs, it should be separated and then disposed of as specified in subsections </w:t>
      </w:r>
      <w:r w:rsidR="00AE64F2">
        <w:t>IV.</w:t>
      </w:r>
      <w:r w:rsidRPr="00AE64F2">
        <w:t>G.1–4, as appropriate.</w:t>
      </w:r>
    </w:p>
    <w:p w:rsidR="00890CDD" w:rsidRPr="00E41CFD" w:rsidRDefault="00890CDD">
      <w:pPr>
        <w:pStyle w:val="Heading4"/>
        <w:spacing w:before="240" w:after="120"/>
        <w:ind w:left="1134" w:hanging="510"/>
      </w:pPr>
      <w:bookmarkStart w:id="645" w:name="_Toc405988660"/>
      <w:bookmarkStart w:id="646" w:name="_Toc437340553"/>
      <w:bookmarkStart w:id="647" w:name="_Toc61334197"/>
      <w:bookmarkStart w:id="648" w:name="_Toc63066379"/>
      <w:r w:rsidRPr="00E41CFD">
        <w:t xml:space="preserve">(a) </w:t>
      </w:r>
      <w:bookmarkStart w:id="649" w:name="_Toc145395134"/>
      <w:bookmarkStart w:id="650" w:name="_Toc161804587"/>
      <w:r w:rsidRPr="00E41CFD">
        <w:tab/>
        <w:t>Adsorption and absorption</w:t>
      </w:r>
      <w:bookmarkEnd w:id="645"/>
      <w:bookmarkEnd w:id="646"/>
      <w:bookmarkEnd w:id="649"/>
      <w:bookmarkEnd w:id="650"/>
    </w:p>
    <w:p w:rsidR="00890CDD" w:rsidRPr="00E41CFD" w:rsidRDefault="00890CDD" w:rsidP="00980527">
      <w:pPr>
        <w:pStyle w:val="Paralevel1"/>
        <w:tabs>
          <w:tab w:val="clear" w:pos="1843"/>
          <w:tab w:val="left" w:pos="1701"/>
        </w:tabs>
        <w:ind w:left="1134" w:firstLine="0"/>
      </w:pPr>
      <w:r w:rsidRPr="00E41CFD">
        <w:t xml:space="preserve">“Sorption” is the general term for both absorption and adsorption processes. Sorption is a </w:t>
      </w:r>
      <w:proofErr w:type="spellStart"/>
      <w:r w:rsidRPr="00E41CFD">
        <w:t>pre</w:t>
      </w:r>
      <w:proofErr w:type="spellEnd"/>
      <w:r w:rsidRPr="00E41CFD">
        <w:noBreakHyphen/>
      </w:r>
      <w:proofErr w:type="spellStart"/>
      <w:r w:rsidRPr="00E41CFD">
        <w:t>treatment</w:t>
      </w:r>
      <w:proofErr w:type="spellEnd"/>
      <w:r w:rsidRPr="00E41CFD">
        <w:t xml:space="preserve"> method </w:t>
      </w:r>
      <w:r w:rsidR="00A60C8C" w:rsidRPr="00A6576D">
        <w:t xml:space="preserve">in which </w:t>
      </w:r>
      <w:r w:rsidRPr="00A6576D">
        <w:t xml:space="preserve">solids </w:t>
      </w:r>
      <w:r w:rsidR="00A60C8C" w:rsidRPr="00A6576D">
        <w:t xml:space="preserve">are used </w:t>
      </w:r>
      <w:r w:rsidRPr="00A6576D">
        <w:t>for removing</w:t>
      </w:r>
      <w:r w:rsidRPr="00E41CFD">
        <w:t xml:space="preserve"> substances from liquids or gases. Adsorption involves the separation of a substance (liquid, oil, gas) from one phase and its accumulation at the surface of another (activated carbon, </w:t>
      </w:r>
      <w:proofErr w:type="spellStart"/>
      <w:r w:rsidRPr="00E41CFD">
        <w:t>zeolite</w:t>
      </w:r>
      <w:proofErr w:type="spellEnd"/>
      <w:r w:rsidRPr="00E41CFD">
        <w:t xml:space="preserve">, silica, etc.). Absorption is the process whereby a material transferred from one phase to another interpenetrates the second phase; for example, when contaminants are transferred from liquid phase onto granular activated carbon (GAC). GAC is widely applied in the removal of organic contaminants in wastewaters because of </w:t>
      </w:r>
      <w:r w:rsidR="00ED380F">
        <w:t xml:space="preserve">its </w:t>
      </w:r>
      <w:r w:rsidRPr="00E41CFD">
        <w:t>effectiveness, versatility and relatively low-cost.</w:t>
      </w:r>
    </w:p>
    <w:p w:rsidR="00890CDD" w:rsidRPr="00E41CFD" w:rsidRDefault="00890CDD" w:rsidP="00980527">
      <w:pPr>
        <w:pStyle w:val="Paralevel1"/>
        <w:tabs>
          <w:tab w:val="clear" w:pos="1843"/>
          <w:tab w:val="left" w:pos="1701"/>
        </w:tabs>
        <w:ind w:left="1134" w:firstLine="0"/>
      </w:pPr>
      <w:r w:rsidRPr="00E41CFD">
        <w:t>Adsorption and absorption processes can be used to extract contaminants from aqueous wastes and from gas streams. The concentrate and the adsorbent or absorbent may require treatment prior to disposal.</w:t>
      </w:r>
    </w:p>
    <w:p w:rsidR="00890CDD" w:rsidRPr="00E41CFD" w:rsidRDefault="00890CDD">
      <w:pPr>
        <w:pStyle w:val="Heading4"/>
        <w:spacing w:before="240" w:after="120"/>
        <w:ind w:left="1134" w:hanging="510"/>
      </w:pPr>
      <w:bookmarkStart w:id="651" w:name="_Toc405988661"/>
      <w:bookmarkStart w:id="652" w:name="_Toc437340554"/>
      <w:bookmarkStart w:id="653" w:name="_Toc145395135"/>
      <w:bookmarkStart w:id="654" w:name="_Toc161804588"/>
      <w:r w:rsidRPr="00E41CFD">
        <w:rPr>
          <w:szCs w:val="20"/>
        </w:rPr>
        <w:t>(b)</w:t>
      </w:r>
      <w:r w:rsidRPr="00E41CFD">
        <w:rPr>
          <w:szCs w:val="20"/>
        </w:rPr>
        <w:tab/>
      </w:r>
      <w:r w:rsidRPr="00E41CFD">
        <w:t>Blending</w:t>
      </w:r>
      <w:bookmarkEnd w:id="651"/>
      <w:bookmarkEnd w:id="652"/>
    </w:p>
    <w:p w:rsidR="00890CDD" w:rsidRPr="00E41CFD" w:rsidRDefault="00EC7257" w:rsidP="00980527">
      <w:pPr>
        <w:pStyle w:val="Paralevel1"/>
        <w:tabs>
          <w:tab w:val="clear" w:pos="1843"/>
          <w:tab w:val="left" w:pos="1701"/>
        </w:tabs>
        <w:ind w:left="1134" w:firstLine="0"/>
      </w:pPr>
      <w:r>
        <w:t>The b</w:t>
      </w:r>
      <w:r w:rsidR="00890CDD" w:rsidRPr="00E41CFD">
        <w:t xml:space="preserve">lending of waste to create a homogeneous feedstock prior to waste treatment may be appropriate in order to </w:t>
      </w:r>
      <w:r w:rsidR="00DA62E8">
        <w:t xml:space="preserve">enable treatment or </w:t>
      </w:r>
      <w:r w:rsidR="003140BF">
        <w:t xml:space="preserve">to </w:t>
      </w:r>
      <w:r w:rsidR="00890CDD" w:rsidRPr="00E41CFD">
        <w:t xml:space="preserve">optimize </w:t>
      </w:r>
      <w:r w:rsidR="003140BF">
        <w:t xml:space="preserve">treatment </w:t>
      </w:r>
      <w:r w:rsidR="00890CDD" w:rsidRPr="00E41CFD">
        <w:t>efficienc</w:t>
      </w:r>
      <w:r w:rsidR="00DA62E8">
        <w:t>y</w:t>
      </w:r>
      <w:r w:rsidR="00890CDD" w:rsidRPr="00E41CFD">
        <w:t xml:space="preserve">. However, </w:t>
      </w:r>
      <w:r>
        <w:t xml:space="preserve">the </w:t>
      </w:r>
      <w:r w:rsidR="00890CDD" w:rsidRPr="00E41CFD">
        <w:t xml:space="preserve">blending of wastes with POP contents above a defined low POP content with other materials for the purpose of generating a mixture with a POP content </w:t>
      </w:r>
      <w:r w:rsidR="00DA62E8">
        <w:t xml:space="preserve">at or </w:t>
      </w:r>
      <w:r w:rsidR="00890CDD" w:rsidRPr="00E41CFD">
        <w:t>below the defined low POP content is not environmentally sound.</w:t>
      </w:r>
    </w:p>
    <w:p w:rsidR="00890CDD" w:rsidRDefault="00890CDD" w:rsidP="0088229A">
      <w:pPr>
        <w:pStyle w:val="Heading4"/>
        <w:spacing w:before="240" w:after="120"/>
        <w:ind w:left="1134" w:hanging="510"/>
      </w:pPr>
      <w:bookmarkStart w:id="655" w:name="_Toc405988662"/>
      <w:bookmarkStart w:id="656" w:name="_Toc437340555"/>
      <w:r w:rsidRPr="00E41CFD">
        <w:rPr>
          <w:szCs w:val="20"/>
        </w:rPr>
        <w:t>(c)</w:t>
      </w:r>
      <w:r w:rsidRPr="00E41CFD">
        <w:rPr>
          <w:szCs w:val="20"/>
        </w:rPr>
        <w:tab/>
      </w:r>
      <w:r w:rsidRPr="00E41CFD">
        <w:t>De</w:t>
      </w:r>
      <w:r>
        <w:t>sorption</w:t>
      </w:r>
      <w:bookmarkEnd w:id="655"/>
      <w:bookmarkEnd w:id="656"/>
      <w:r>
        <w:t xml:space="preserve"> </w:t>
      </w:r>
    </w:p>
    <w:p w:rsidR="00890CDD" w:rsidRPr="00DF1537" w:rsidRDefault="00890CDD" w:rsidP="00980527">
      <w:pPr>
        <w:pStyle w:val="Paralevel1"/>
        <w:tabs>
          <w:tab w:val="clear" w:pos="1843"/>
          <w:tab w:val="left" w:pos="1701"/>
        </w:tabs>
        <w:ind w:left="1134" w:firstLine="0"/>
      </w:pPr>
      <w:r w:rsidRPr="00A6576D">
        <w:t>Desorption includes chemical desorption and thermal desorption. Thermal desorption (e.g.</w:t>
      </w:r>
      <w:r w:rsidR="007C6B8A" w:rsidRPr="00A6576D">
        <w:t>,</w:t>
      </w:r>
      <w:r w:rsidRPr="00A6576D">
        <w:t xml:space="preserve"> </w:t>
      </w:r>
      <w:r w:rsidR="001309DD" w:rsidRPr="00A6576D">
        <w:t xml:space="preserve">through </w:t>
      </w:r>
      <w:r w:rsidRPr="00A6576D">
        <w:t>vacuum thermal recycling</w:t>
      </w:r>
      <w:r w:rsidR="001309DD" w:rsidRPr="00A6576D">
        <w:t xml:space="preserve"> or the use of a</w:t>
      </w:r>
      <w:r w:rsidRPr="00A6576D">
        <w:t xml:space="preserve"> </w:t>
      </w:r>
      <w:proofErr w:type="spellStart"/>
      <w:r w:rsidR="00F8595F" w:rsidRPr="00A6576D">
        <w:t>toroidal</w:t>
      </w:r>
      <w:proofErr w:type="spellEnd"/>
      <w:r w:rsidR="00F8595F" w:rsidRPr="00A6576D">
        <w:t xml:space="preserve"> bed reactor</w:t>
      </w:r>
      <w:r w:rsidRPr="00A6576D">
        <w:t xml:space="preserve"> or </w:t>
      </w:r>
      <w:r w:rsidR="001309DD" w:rsidRPr="00A6576D">
        <w:t xml:space="preserve">a </w:t>
      </w:r>
      <w:r w:rsidRPr="00A6576D">
        <w:t>liquid waste pre-heater</w:t>
      </w:r>
      <w:r w:rsidR="00FC7A8A" w:rsidRPr="00A6576D">
        <w:t>)</w:t>
      </w:r>
      <w:r w:rsidR="00C15126" w:rsidRPr="00A6576D">
        <w:t xml:space="preserve"> </w:t>
      </w:r>
      <w:r w:rsidRPr="00A6576D">
        <w:t xml:space="preserve">is a technology that utilizes heat to increase the volatility of contaminants such that they can be removed (separated) from </w:t>
      </w:r>
      <w:r w:rsidR="00714CBF" w:rsidRPr="00A6576D">
        <w:t xml:space="preserve">a </w:t>
      </w:r>
      <w:r w:rsidRPr="00A6576D">
        <w:t xml:space="preserve">solid matrix (typically soil, sludge or filter cake). </w:t>
      </w:r>
      <w:r w:rsidR="000520D8" w:rsidRPr="00A6576D">
        <w:t xml:space="preserve">Low-temperature thermal desorption (LTTD), also known as low-temperature thermal volatilization, thermal stripping and soil roasting, is an ex-situ remedial technology </w:t>
      </w:r>
      <w:r w:rsidR="00FC7A8A" w:rsidRPr="00A6576D">
        <w:t xml:space="preserve">in which </w:t>
      </w:r>
      <w:r w:rsidR="000520D8" w:rsidRPr="00A6576D">
        <w:t xml:space="preserve">heat </w:t>
      </w:r>
      <w:r w:rsidR="00FC7A8A" w:rsidRPr="00A6576D">
        <w:t xml:space="preserve">is used </w:t>
      </w:r>
      <w:r w:rsidR="007C6B8A" w:rsidRPr="00A6576D">
        <w:t xml:space="preserve">to </w:t>
      </w:r>
      <w:r w:rsidR="000520D8" w:rsidRPr="00A6576D">
        <w:t>physically separate volatile and semi-volatile compounds and elements (most commonly light petroleum</w:t>
      </w:r>
      <w:r w:rsidR="000520D8" w:rsidRPr="00DF1537">
        <w:t xml:space="preserve"> hydrocarbons) from contaminated media (most commonly excavated soils). </w:t>
      </w:r>
      <w:r w:rsidRPr="00DF1537">
        <w:t>Such processes have been used for the decontamination of non-porous surfaces of electrical equipment</w:t>
      </w:r>
      <w:r w:rsidR="00ED380F">
        <w:t>,</w:t>
      </w:r>
      <w:r w:rsidRPr="00DF1537">
        <w:t xml:space="preserve"> such as transformer carcasses that formerly contained PCB-containing dielectric fluids</w:t>
      </w:r>
      <w:r w:rsidR="00714CBF">
        <w:t>,</w:t>
      </w:r>
      <w:r>
        <w:t xml:space="preserve"> or </w:t>
      </w:r>
      <w:r w:rsidR="00714CBF" w:rsidRPr="00DF1537">
        <w:t xml:space="preserve">fluorescent lamps </w:t>
      </w:r>
      <w:r w:rsidR="00714CBF">
        <w:t xml:space="preserve">that contained </w:t>
      </w:r>
      <w:r w:rsidRPr="00DF1537">
        <w:t>mercury. Thermal desorption of POP</w:t>
      </w:r>
      <w:r>
        <w:t xml:space="preserve"> wastes</w:t>
      </w:r>
      <w:r w:rsidRPr="00DF1537">
        <w:t xml:space="preserve"> may result in the unintentional formation of POPs which may require addition</w:t>
      </w:r>
      <w:r>
        <w:t>al</w:t>
      </w:r>
      <w:r w:rsidRPr="00DF1537">
        <w:t xml:space="preserve"> treatment</w:t>
      </w:r>
      <w:r w:rsidR="00BE38A1">
        <w:t xml:space="preserve"> of treated waste or off-gas</w:t>
      </w:r>
      <w:r w:rsidR="007C6B8A">
        <w:t xml:space="preserve"> released</w:t>
      </w:r>
      <w:r>
        <w:t>.</w:t>
      </w:r>
      <w:r w:rsidRPr="00DF1537">
        <w:t xml:space="preserve"> </w:t>
      </w:r>
    </w:p>
    <w:p w:rsidR="00890CDD" w:rsidRPr="00E41CFD" w:rsidRDefault="00890CDD">
      <w:pPr>
        <w:pStyle w:val="Heading4"/>
        <w:spacing w:before="240" w:after="120"/>
        <w:ind w:left="1134" w:hanging="510"/>
      </w:pPr>
      <w:r w:rsidDel="007F5316">
        <w:t xml:space="preserve"> </w:t>
      </w:r>
      <w:bookmarkStart w:id="657" w:name="_Toc405988663"/>
      <w:bookmarkStart w:id="658" w:name="_Toc437340556"/>
      <w:r w:rsidRPr="00E41CFD">
        <w:rPr>
          <w:szCs w:val="20"/>
        </w:rPr>
        <w:t>(</w:t>
      </w:r>
      <w:r>
        <w:rPr>
          <w:szCs w:val="20"/>
        </w:rPr>
        <w:t>d</w:t>
      </w:r>
      <w:r w:rsidRPr="00E41CFD">
        <w:rPr>
          <w:szCs w:val="20"/>
        </w:rPr>
        <w:t>)</w:t>
      </w:r>
      <w:r w:rsidRPr="00E41CFD">
        <w:rPr>
          <w:szCs w:val="20"/>
        </w:rPr>
        <w:tab/>
      </w:r>
      <w:r w:rsidRPr="00E41CFD">
        <w:t>Dewatering</w:t>
      </w:r>
      <w:bookmarkEnd w:id="657"/>
      <w:bookmarkEnd w:id="658"/>
    </w:p>
    <w:p w:rsidR="00890CDD" w:rsidRPr="00E41CFD" w:rsidRDefault="00890CDD" w:rsidP="00980527">
      <w:pPr>
        <w:pStyle w:val="Paralevel1"/>
        <w:tabs>
          <w:tab w:val="clear" w:pos="1843"/>
          <w:tab w:val="left" w:pos="1701"/>
        </w:tabs>
        <w:ind w:left="1134" w:firstLine="0"/>
      </w:pPr>
      <w:r w:rsidRPr="00E41CFD">
        <w:rPr>
          <w:lang w:val="en-GB"/>
        </w:rPr>
        <w:t>Dewatering is</w:t>
      </w:r>
      <w:r w:rsidRPr="00E41CFD">
        <w:t xml:space="preserve"> a pre-treatment process </w:t>
      </w:r>
      <w:r w:rsidR="002D3EAD" w:rsidRPr="00A6576D">
        <w:t xml:space="preserve">in which water is </w:t>
      </w:r>
      <w:r w:rsidRPr="00A6576D">
        <w:t>partially remove</w:t>
      </w:r>
      <w:r w:rsidR="002D3EAD" w:rsidRPr="00A6576D">
        <w:t>d</w:t>
      </w:r>
      <w:r w:rsidRPr="00A6576D">
        <w:t xml:space="preserve"> from the wastes</w:t>
      </w:r>
      <w:r w:rsidRPr="00E41CFD">
        <w:t xml:space="preserve"> to be treated. Dewatering can be employed for disposal technologies that are not suitable for aqueous wastes. For example, water will react explosively with molten salts or sodium. Depending on the nature of the contaminant, the resulting </w:t>
      </w:r>
      <w:proofErr w:type="spellStart"/>
      <w:r w:rsidRPr="00E41CFD">
        <w:t>vapours</w:t>
      </w:r>
      <w:proofErr w:type="spellEnd"/>
      <w:r w:rsidRPr="00E41CFD">
        <w:t xml:space="preserve"> may require condensation or scrubbing and further treatment.</w:t>
      </w:r>
    </w:p>
    <w:p w:rsidR="00890CDD" w:rsidRPr="00E41CFD" w:rsidRDefault="00A9699F">
      <w:pPr>
        <w:pStyle w:val="Heading4"/>
        <w:spacing w:before="240" w:after="120"/>
        <w:ind w:left="1134" w:hanging="510"/>
      </w:pPr>
      <w:bookmarkStart w:id="659" w:name="_Toc405988664"/>
      <w:r>
        <w:rPr>
          <w:szCs w:val="20"/>
        </w:rPr>
        <w:t xml:space="preserve"> </w:t>
      </w:r>
      <w:bookmarkStart w:id="660" w:name="_Toc437340557"/>
      <w:r w:rsidR="00890CDD">
        <w:rPr>
          <w:szCs w:val="20"/>
        </w:rPr>
        <w:t>(</w:t>
      </w:r>
      <w:r>
        <w:rPr>
          <w:szCs w:val="20"/>
        </w:rPr>
        <w:t>e</w:t>
      </w:r>
      <w:r w:rsidR="00890CDD">
        <w:rPr>
          <w:szCs w:val="20"/>
        </w:rPr>
        <w:t>)</w:t>
      </w:r>
      <w:r w:rsidR="00890CDD">
        <w:rPr>
          <w:szCs w:val="20"/>
        </w:rPr>
        <w:tab/>
      </w:r>
      <w:r w:rsidR="00890CDD" w:rsidRPr="00E41CFD">
        <w:t>Dismantling</w:t>
      </w:r>
      <w:r w:rsidR="00890CDD" w:rsidRPr="00E41CFD">
        <w:rPr>
          <w:szCs w:val="20"/>
        </w:rPr>
        <w:t>/disassembling</w:t>
      </w:r>
      <w:bookmarkEnd w:id="660"/>
    </w:p>
    <w:p w:rsidR="00890CDD" w:rsidRPr="00E41CFD" w:rsidRDefault="00890CDD" w:rsidP="00980527">
      <w:pPr>
        <w:pStyle w:val="Paralevel1"/>
        <w:tabs>
          <w:tab w:val="clear" w:pos="1843"/>
          <w:tab w:val="left" w:pos="1701"/>
        </w:tabs>
        <w:ind w:left="1134" w:firstLine="0"/>
      </w:pPr>
      <w:bookmarkStart w:id="661" w:name="_Toc145395136"/>
      <w:bookmarkStart w:id="662" w:name="_Toc161804589"/>
      <w:bookmarkEnd w:id="647"/>
      <w:bookmarkEnd w:id="648"/>
      <w:bookmarkEnd w:id="653"/>
      <w:bookmarkEnd w:id="654"/>
      <w:r w:rsidRPr="00A6576D">
        <w:t xml:space="preserve">Dismantling or disassembling is a pre-treatment </w:t>
      </w:r>
      <w:r w:rsidR="002D3EAD" w:rsidRPr="00A6576D">
        <w:t xml:space="preserve">in which </w:t>
      </w:r>
      <w:r w:rsidRPr="00A6576D">
        <w:t xml:space="preserve">equipment, components or assemblies </w:t>
      </w:r>
      <w:r w:rsidR="002D3EAD" w:rsidRPr="00A6576D">
        <w:t xml:space="preserve">are taken apart </w:t>
      </w:r>
      <w:r w:rsidRPr="00A6576D">
        <w:t>to separate</w:t>
      </w:r>
      <w:r w:rsidRPr="00E41CFD">
        <w:t xml:space="preserve"> materials to increase options for reuse, refurbishment, recycling</w:t>
      </w:r>
      <w:r w:rsidR="00DA62E8">
        <w:t>,</w:t>
      </w:r>
      <w:r w:rsidRPr="00E41CFD">
        <w:t xml:space="preserve"> </w:t>
      </w:r>
      <w:r w:rsidR="00DA62E8">
        <w:t xml:space="preserve">recovery </w:t>
      </w:r>
      <w:r w:rsidRPr="00E41CFD">
        <w:t>and final disposal.</w:t>
      </w:r>
    </w:p>
    <w:p w:rsidR="00890CDD" w:rsidRPr="00E41CFD" w:rsidRDefault="00890CDD" w:rsidP="003F0424">
      <w:pPr>
        <w:pStyle w:val="Heading4"/>
        <w:spacing w:before="240" w:after="120"/>
        <w:ind w:left="1134" w:hanging="510"/>
      </w:pPr>
      <w:bookmarkStart w:id="663" w:name="_Toc437340558"/>
      <w:r w:rsidRPr="00E41CFD">
        <w:rPr>
          <w:szCs w:val="20"/>
        </w:rPr>
        <w:t>(</w:t>
      </w:r>
      <w:r w:rsidR="00A9699F">
        <w:rPr>
          <w:szCs w:val="20"/>
        </w:rPr>
        <w:t>f</w:t>
      </w:r>
      <w:r w:rsidRPr="00E41CFD">
        <w:rPr>
          <w:szCs w:val="20"/>
        </w:rPr>
        <w:t xml:space="preserve">) </w:t>
      </w:r>
      <w:r w:rsidRPr="00E41CFD">
        <w:rPr>
          <w:szCs w:val="20"/>
        </w:rPr>
        <w:tab/>
      </w:r>
      <w:bookmarkEnd w:id="661"/>
      <w:bookmarkEnd w:id="662"/>
      <w:r w:rsidR="00A9699F">
        <w:rPr>
          <w:szCs w:val="20"/>
        </w:rPr>
        <w:t>Drying</w:t>
      </w:r>
      <w:bookmarkEnd w:id="659"/>
      <w:bookmarkEnd w:id="663"/>
    </w:p>
    <w:p w:rsidR="00A9699F" w:rsidRDefault="00A9699F" w:rsidP="00980527">
      <w:pPr>
        <w:pStyle w:val="Paralevel1"/>
        <w:tabs>
          <w:tab w:val="clear" w:pos="1843"/>
          <w:tab w:val="left" w:pos="1701"/>
        </w:tabs>
        <w:ind w:left="1134" w:firstLine="0"/>
      </w:pPr>
      <w:r>
        <w:t>Drying is a pre-treatment that removes water or a solvent by evaporation from a solid, semi-solid or liquid waste. In general, a gas stream, e.g.</w:t>
      </w:r>
      <w:r w:rsidR="00626B75">
        <w:t>,</w:t>
      </w:r>
      <w:r>
        <w:t xml:space="preserve"> air, applies the heat by convection and carries away the vapor as humidity. Vacuum drying can also be used </w:t>
      </w:r>
      <w:r w:rsidRPr="00AD44D9">
        <w:t>whe</w:t>
      </w:r>
      <w:r w:rsidR="00AD44D9">
        <w:t>n</w:t>
      </w:r>
      <w:r>
        <w:t xml:space="preserve"> heat is supplied by conduction or radiation (or microwaves), </w:t>
      </w:r>
      <w:r w:rsidRPr="00AD44D9">
        <w:t xml:space="preserve">while the vapor produced </w:t>
      </w:r>
      <w:r w:rsidR="00AD44D9">
        <w:t xml:space="preserve">can be </w:t>
      </w:r>
      <w:r w:rsidRPr="00AD44D9">
        <w:t xml:space="preserve">removed </w:t>
      </w:r>
      <w:r w:rsidR="00AD44D9">
        <w:t xml:space="preserve">with </w:t>
      </w:r>
      <w:r w:rsidRPr="00AD44D9">
        <w:t>a vacuum system.</w:t>
      </w:r>
      <w:r>
        <w:t xml:space="preserve"> </w:t>
      </w:r>
    </w:p>
    <w:p w:rsidR="00A9699F" w:rsidRPr="00E41CFD" w:rsidRDefault="00A9699F" w:rsidP="00A9699F">
      <w:pPr>
        <w:pStyle w:val="Heading4"/>
        <w:spacing w:before="240" w:after="120"/>
        <w:ind w:left="1134" w:hanging="510"/>
      </w:pPr>
      <w:bookmarkStart w:id="664" w:name="_Toc405988666"/>
      <w:bookmarkStart w:id="665" w:name="_Toc437340559"/>
      <w:r w:rsidRPr="00E41CFD">
        <w:rPr>
          <w:szCs w:val="20"/>
        </w:rPr>
        <w:t>(</w:t>
      </w:r>
      <w:r>
        <w:rPr>
          <w:szCs w:val="20"/>
        </w:rPr>
        <w:t>g</w:t>
      </w:r>
      <w:r w:rsidRPr="00E41CFD">
        <w:rPr>
          <w:szCs w:val="20"/>
        </w:rPr>
        <w:t xml:space="preserve">) </w:t>
      </w:r>
      <w:r w:rsidRPr="00E41CFD">
        <w:rPr>
          <w:szCs w:val="20"/>
        </w:rPr>
        <w:tab/>
      </w:r>
      <w:r w:rsidRPr="00E41CFD">
        <w:t>Mechanical</w:t>
      </w:r>
      <w:r w:rsidRPr="00E41CFD">
        <w:rPr>
          <w:szCs w:val="20"/>
        </w:rPr>
        <w:t xml:space="preserve"> separation</w:t>
      </w:r>
      <w:bookmarkEnd w:id="664"/>
      <w:bookmarkEnd w:id="665"/>
      <w:r w:rsidRPr="00E41CFD">
        <w:rPr>
          <w:szCs w:val="20"/>
        </w:rPr>
        <w:t xml:space="preserve"> </w:t>
      </w:r>
    </w:p>
    <w:p w:rsidR="00890CDD" w:rsidRPr="00E41CFD" w:rsidRDefault="00890CDD" w:rsidP="00980527">
      <w:pPr>
        <w:pStyle w:val="Paralevel1"/>
        <w:tabs>
          <w:tab w:val="clear" w:pos="1843"/>
          <w:tab w:val="left" w:pos="1701"/>
        </w:tabs>
        <w:ind w:left="1134" w:firstLine="0"/>
      </w:pPr>
      <w:r w:rsidRPr="00E41CFD">
        <w:t>Mechanical separation can be used to remove larger-sized debris from the waste stream or for technologies that may not be suitable for both soils and solid wastes.</w:t>
      </w:r>
    </w:p>
    <w:p w:rsidR="00890CDD" w:rsidRPr="00E41CFD" w:rsidRDefault="00890CDD">
      <w:pPr>
        <w:pStyle w:val="Heading4"/>
        <w:spacing w:before="240" w:after="120"/>
        <w:ind w:left="1134" w:hanging="510"/>
      </w:pPr>
      <w:bookmarkStart w:id="666" w:name="_Toc405988667"/>
      <w:bookmarkStart w:id="667" w:name="_Toc437340560"/>
      <w:bookmarkStart w:id="668" w:name="_Toc145395137"/>
      <w:bookmarkStart w:id="669" w:name="_Toc161804590"/>
      <w:r w:rsidRPr="00E41CFD">
        <w:rPr>
          <w:szCs w:val="20"/>
        </w:rPr>
        <w:t>(</w:t>
      </w:r>
      <w:r>
        <w:rPr>
          <w:szCs w:val="20"/>
        </w:rPr>
        <w:t>h</w:t>
      </w:r>
      <w:r w:rsidRPr="00E41CFD">
        <w:rPr>
          <w:szCs w:val="20"/>
        </w:rPr>
        <w:t xml:space="preserve">) </w:t>
      </w:r>
      <w:r w:rsidRPr="00E41CFD">
        <w:rPr>
          <w:szCs w:val="20"/>
        </w:rPr>
        <w:tab/>
      </w:r>
      <w:r w:rsidRPr="00E41CFD">
        <w:t>Membrane</w:t>
      </w:r>
      <w:r w:rsidRPr="00E41CFD">
        <w:rPr>
          <w:szCs w:val="20"/>
        </w:rPr>
        <w:t xml:space="preserve"> filtration</w:t>
      </w:r>
      <w:bookmarkEnd w:id="666"/>
      <w:bookmarkEnd w:id="667"/>
    </w:p>
    <w:p w:rsidR="000E79E2" w:rsidRDefault="00890CDD" w:rsidP="00980527">
      <w:pPr>
        <w:pStyle w:val="Paralevel1"/>
        <w:tabs>
          <w:tab w:val="clear" w:pos="1843"/>
          <w:tab w:val="left" w:pos="1701"/>
        </w:tabs>
        <w:ind w:left="1134" w:firstLine="0"/>
      </w:pPr>
      <w:r w:rsidRPr="00E41CFD">
        <w:t xml:space="preserve">Membrane filtration is a thin film separation of two or more components in a liquid and is used as an option for conventional wastewater treatment. It is a pressure- or vacuum-driven separation process in which contaminants may be rejected by an engineered barrier, primarily through a size-exclusion mechanism. Different classifications of membrane treatment applicable to POPs include </w:t>
      </w:r>
      <w:proofErr w:type="spellStart"/>
      <w:r w:rsidRPr="00E41CFD">
        <w:t>nanofiltration</w:t>
      </w:r>
      <w:proofErr w:type="spellEnd"/>
      <w:r w:rsidRPr="00E41CFD">
        <w:t xml:space="preserve"> and reverse osmosis. </w:t>
      </w:r>
    </w:p>
    <w:p w:rsidR="00890CDD" w:rsidRPr="00E41CFD" w:rsidRDefault="00890CDD">
      <w:pPr>
        <w:pStyle w:val="Heading4"/>
        <w:spacing w:before="240" w:after="120"/>
        <w:ind w:left="1134" w:hanging="510"/>
      </w:pPr>
      <w:bookmarkStart w:id="670" w:name="_Toc405988668"/>
      <w:bookmarkStart w:id="671" w:name="_Toc437340561"/>
      <w:r w:rsidRPr="00E41CFD">
        <w:rPr>
          <w:szCs w:val="20"/>
        </w:rPr>
        <w:t>(</w:t>
      </w:r>
      <w:proofErr w:type="spellStart"/>
      <w:r>
        <w:rPr>
          <w:szCs w:val="20"/>
        </w:rPr>
        <w:t>i</w:t>
      </w:r>
      <w:proofErr w:type="spellEnd"/>
      <w:r w:rsidRPr="00E41CFD">
        <w:rPr>
          <w:szCs w:val="20"/>
        </w:rPr>
        <w:t xml:space="preserve">) </w:t>
      </w:r>
      <w:r w:rsidRPr="00E41CFD">
        <w:rPr>
          <w:szCs w:val="20"/>
        </w:rPr>
        <w:tab/>
      </w:r>
      <w:r w:rsidRPr="00E41CFD">
        <w:t>Mixing</w:t>
      </w:r>
      <w:bookmarkEnd w:id="668"/>
      <w:bookmarkEnd w:id="669"/>
      <w:bookmarkEnd w:id="670"/>
      <w:bookmarkEnd w:id="671"/>
    </w:p>
    <w:p w:rsidR="00890CDD" w:rsidRPr="00E41CFD" w:rsidRDefault="00890CDD" w:rsidP="00980527">
      <w:pPr>
        <w:pStyle w:val="Paralevel1"/>
        <w:tabs>
          <w:tab w:val="clear" w:pos="1843"/>
          <w:tab w:val="left" w:pos="1701"/>
        </w:tabs>
        <w:ind w:left="1134" w:firstLine="0"/>
      </w:pPr>
      <w:r w:rsidRPr="00E41CFD">
        <w:t>Mixing material</w:t>
      </w:r>
      <w:r w:rsidR="00793F65">
        <w:t>s</w:t>
      </w:r>
      <w:r w:rsidRPr="00E41CFD">
        <w:t xml:space="preserve">, without blending, prior to waste treatment may be appropriate in order to </w:t>
      </w:r>
      <w:r>
        <w:t xml:space="preserve">enable </w:t>
      </w:r>
      <w:r w:rsidR="00DA62E8">
        <w:t xml:space="preserve">treatment </w:t>
      </w:r>
      <w:r>
        <w:t xml:space="preserve">or </w:t>
      </w:r>
      <w:r w:rsidR="00A828B8">
        <w:t xml:space="preserve">to </w:t>
      </w:r>
      <w:r w:rsidRPr="00E41CFD">
        <w:t xml:space="preserve">optimize </w:t>
      </w:r>
      <w:r w:rsidR="003B6FCA">
        <w:t xml:space="preserve">treatment </w:t>
      </w:r>
      <w:r w:rsidRPr="00E41CFD">
        <w:t>efficienc</w:t>
      </w:r>
      <w:r w:rsidR="00DA62E8">
        <w:t>y</w:t>
      </w:r>
      <w:r w:rsidRPr="00E41CFD">
        <w:t xml:space="preserve">. However, </w:t>
      </w:r>
      <w:r w:rsidR="00A828B8">
        <w:t xml:space="preserve">the </w:t>
      </w:r>
      <w:r w:rsidRPr="00E41CFD">
        <w:t xml:space="preserve">mixing of wastes with POP contents above a defined low POP content with other materials solely for the purpose of generating a mixture with a POP content </w:t>
      </w:r>
      <w:r w:rsidR="00DA62E8">
        <w:t xml:space="preserve">at or </w:t>
      </w:r>
      <w:r w:rsidRPr="00E41CFD">
        <w:t>below the defined low POP content is not environmentally sound.</w:t>
      </w:r>
      <w:r w:rsidR="00C7592D">
        <w:t xml:space="preserve"> </w:t>
      </w:r>
    </w:p>
    <w:p w:rsidR="00890CDD" w:rsidRPr="00E41CFD" w:rsidRDefault="00890CDD">
      <w:pPr>
        <w:pStyle w:val="Heading4"/>
        <w:spacing w:before="240" w:after="120"/>
        <w:ind w:left="1134" w:hanging="510"/>
      </w:pPr>
      <w:bookmarkStart w:id="672" w:name="_Toc405988669"/>
      <w:bookmarkStart w:id="673" w:name="_Toc437340562"/>
      <w:r w:rsidRPr="00E41CFD">
        <w:rPr>
          <w:szCs w:val="20"/>
        </w:rPr>
        <w:t>(</w:t>
      </w:r>
      <w:r>
        <w:rPr>
          <w:szCs w:val="20"/>
        </w:rPr>
        <w:t>j</w:t>
      </w:r>
      <w:r w:rsidRPr="00E41CFD">
        <w:rPr>
          <w:szCs w:val="20"/>
        </w:rPr>
        <w:t xml:space="preserve">) </w:t>
      </w:r>
      <w:bookmarkStart w:id="674" w:name="_Toc145395138"/>
      <w:bookmarkStart w:id="675" w:name="_Toc161804591"/>
      <w:r w:rsidRPr="00E41CFD">
        <w:rPr>
          <w:szCs w:val="20"/>
        </w:rPr>
        <w:tab/>
        <w:t xml:space="preserve">Oil-water </w:t>
      </w:r>
      <w:r w:rsidRPr="00E41CFD">
        <w:t>separation</w:t>
      </w:r>
      <w:bookmarkEnd w:id="672"/>
      <w:bookmarkEnd w:id="673"/>
      <w:bookmarkEnd w:id="674"/>
      <w:bookmarkEnd w:id="675"/>
    </w:p>
    <w:p w:rsidR="00890CDD" w:rsidRPr="00E41CFD" w:rsidRDefault="00890CDD" w:rsidP="00980527">
      <w:pPr>
        <w:pStyle w:val="Paralevel1"/>
        <w:tabs>
          <w:tab w:val="clear" w:pos="1843"/>
          <w:tab w:val="left" w:pos="1701"/>
        </w:tabs>
        <w:ind w:left="1134" w:firstLine="0"/>
      </w:pPr>
      <w:r w:rsidRPr="00E41CFD">
        <w:t>Some treatment technologies are not suitable for aqueous wastes</w:t>
      </w:r>
      <w:r w:rsidR="00793F65">
        <w:t>, while</w:t>
      </w:r>
      <w:r w:rsidRPr="00E41CFD">
        <w:t xml:space="preserve"> others are not suitable for oily wastes. Oil-water separation can be employed in these situations to separate the oily phase from the water. Both the water and the oily phase may be contaminated after separation and both may require treatment.</w:t>
      </w:r>
    </w:p>
    <w:p w:rsidR="00890CDD" w:rsidRPr="00E41CFD" w:rsidRDefault="00890CDD">
      <w:pPr>
        <w:pStyle w:val="Heading4"/>
        <w:spacing w:before="240" w:after="120"/>
        <w:ind w:left="1134" w:hanging="510"/>
      </w:pPr>
      <w:bookmarkStart w:id="676" w:name="_Toc61334203"/>
      <w:bookmarkStart w:id="677" w:name="_Toc63066385"/>
      <w:bookmarkStart w:id="678" w:name="_Toc145395139"/>
      <w:bookmarkStart w:id="679" w:name="_Toc161804592"/>
      <w:bookmarkStart w:id="680" w:name="_Toc405988670"/>
      <w:bookmarkStart w:id="681" w:name="_Toc437340563"/>
      <w:r w:rsidRPr="00E41CFD">
        <w:rPr>
          <w:szCs w:val="20"/>
        </w:rPr>
        <w:t>(</w:t>
      </w:r>
      <w:r>
        <w:rPr>
          <w:szCs w:val="20"/>
        </w:rPr>
        <w:t>k</w:t>
      </w:r>
      <w:r w:rsidRPr="00E41CFD">
        <w:rPr>
          <w:szCs w:val="20"/>
        </w:rPr>
        <w:t>)</w:t>
      </w:r>
      <w:r w:rsidRPr="00E41CFD">
        <w:rPr>
          <w:szCs w:val="20"/>
        </w:rPr>
        <w:tab/>
      </w:r>
      <w:proofErr w:type="gramStart"/>
      <w:r w:rsidRPr="00E41CFD">
        <w:rPr>
          <w:szCs w:val="20"/>
        </w:rPr>
        <w:t>pH</w:t>
      </w:r>
      <w:proofErr w:type="gramEnd"/>
      <w:r w:rsidRPr="00E41CFD">
        <w:rPr>
          <w:szCs w:val="20"/>
        </w:rPr>
        <w:t xml:space="preserve"> </w:t>
      </w:r>
      <w:bookmarkEnd w:id="676"/>
      <w:bookmarkEnd w:id="677"/>
      <w:r w:rsidRPr="00E41CFD">
        <w:t>adjustment</w:t>
      </w:r>
      <w:bookmarkEnd w:id="678"/>
      <w:bookmarkEnd w:id="679"/>
      <w:bookmarkEnd w:id="680"/>
      <w:bookmarkEnd w:id="681"/>
    </w:p>
    <w:p w:rsidR="00890CDD" w:rsidRPr="00E41CFD" w:rsidRDefault="00890CDD" w:rsidP="00980527">
      <w:pPr>
        <w:pStyle w:val="Paralevel1"/>
        <w:tabs>
          <w:tab w:val="clear" w:pos="1843"/>
          <w:tab w:val="left" w:pos="1701"/>
        </w:tabs>
        <w:ind w:left="1134" w:firstLine="0"/>
      </w:pPr>
      <w:r w:rsidRPr="00E41CFD">
        <w:t>Some treatment technologies are most effective over a defined pH range and in these situations alkali, acid or CO</w:t>
      </w:r>
      <w:r w:rsidRPr="00E41CFD">
        <w:rPr>
          <w:vertAlign w:val="subscript"/>
        </w:rPr>
        <w:t>2</w:t>
      </w:r>
      <w:r w:rsidRPr="00E41CFD">
        <w:t xml:space="preserve"> are often used to control pH levels. Some technologies may also require pH adjustment as a post-treatment step.</w:t>
      </w:r>
    </w:p>
    <w:p w:rsidR="00890CDD" w:rsidRPr="00E41CFD" w:rsidRDefault="00890CDD">
      <w:pPr>
        <w:pStyle w:val="Heading4"/>
        <w:spacing w:before="240" w:after="120"/>
        <w:ind w:left="1134" w:hanging="510"/>
      </w:pPr>
      <w:bookmarkStart w:id="682" w:name="_Toc405988671"/>
      <w:bookmarkStart w:id="683" w:name="_Toc437340564"/>
      <w:r w:rsidRPr="00E41CFD">
        <w:rPr>
          <w:szCs w:val="20"/>
        </w:rPr>
        <w:t>(</w:t>
      </w:r>
      <w:r>
        <w:rPr>
          <w:szCs w:val="20"/>
        </w:rPr>
        <w:t>l</w:t>
      </w:r>
      <w:r w:rsidRPr="00E41CFD">
        <w:rPr>
          <w:szCs w:val="20"/>
        </w:rPr>
        <w:t xml:space="preserve">) </w:t>
      </w:r>
      <w:bookmarkStart w:id="684" w:name="_Toc145395140"/>
      <w:bookmarkStart w:id="685" w:name="_Toc161804593"/>
      <w:bookmarkStart w:id="686" w:name="_Toc61334198"/>
      <w:bookmarkStart w:id="687" w:name="_Toc63066380"/>
      <w:r w:rsidRPr="00E41CFD">
        <w:rPr>
          <w:szCs w:val="20"/>
        </w:rPr>
        <w:tab/>
        <w:t xml:space="preserve">Size </w:t>
      </w:r>
      <w:r w:rsidRPr="00E41CFD">
        <w:t>reduction</w:t>
      </w:r>
      <w:bookmarkEnd w:id="682"/>
      <w:bookmarkEnd w:id="683"/>
      <w:bookmarkEnd w:id="684"/>
      <w:bookmarkEnd w:id="685"/>
      <w:r w:rsidRPr="00E41CFD">
        <w:rPr>
          <w:szCs w:val="20"/>
        </w:rPr>
        <w:t xml:space="preserve"> </w:t>
      </w:r>
      <w:bookmarkEnd w:id="686"/>
      <w:bookmarkEnd w:id="687"/>
    </w:p>
    <w:p w:rsidR="00890CDD" w:rsidRPr="00E41CFD" w:rsidRDefault="00890CDD" w:rsidP="00980527">
      <w:pPr>
        <w:pStyle w:val="Paralevel1"/>
        <w:tabs>
          <w:tab w:val="clear" w:pos="1843"/>
          <w:tab w:val="left" w:pos="1701"/>
        </w:tabs>
        <w:ind w:left="1134" w:firstLine="0"/>
      </w:pPr>
      <w:bookmarkStart w:id="688" w:name="_Toc61334205"/>
      <w:bookmarkStart w:id="689" w:name="_Toc63066386"/>
      <w:bookmarkStart w:id="690" w:name="_Toc145395141"/>
      <w:bookmarkStart w:id="691" w:name="_Toc161804594"/>
      <w:r w:rsidRPr="00E41CFD">
        <w:t xml:space="preserve">Some </w:t>
      </w:r>
      <w:r w:rsidRPr="00A6576D">
        <w:t xml:space="preserve">technologies </w:t>
      </w:r>
      <w:r w:rsidR="002D3EAD" w:rsidRPr="00A6576D">
        <w:t xml:space="preserve">can be used </w:t>
      </w:r>
      <w:r w:rsidRPr="00A6576D">
        <w:t xml:space="preserve">to process wastes only within a certain size limit. For example, some </w:t>
      </w:r>
      <w:r w:rsidR="0008766B" w:rsidRPr="00A6576D">
        <w:t xml:space="preserve">technologies </w:t>
      </w:r>
      <w:r w:rsidRPr="00A6576D">
        <w:t xml:space="preserve">may </w:t>
      </w:r>
      <w:r w:rsidR="002D3EAD" w:rsidRPr="00A6576D">
        <w:t xml:space="preserve">be used to </w:t>
      </w:r>
      <w:r w:rsidRPr="00A6576D">
        <w:t>handle POP-contaminated solid wastes only if they are less than 200 mm in diameter. Size reduction can be used in these</w:t>
      </w:r>
      <w:r w:rsidRPr="00E41CFD">
        <w:t xml:space="preserve"> situations to reduce the waste components to a defined diameter. Size reduction can include crushing, shearing</w:t>
      </w:r>
      <w:r>
        <w:t xml:space="preserve"> and grinding. </w:t>
      </w:r>
      <w:r w:rsidRPr="00E41CFD">
        <w:t>Other disposal technologies require slurries to be prepared prior to injection into the main reactor. It should be noted that facilities may become contaminated when reducing the size of POP wastes. Precautions should therefore be taken to prevent subsequent contamination of POP-free waste streams.</w:t>
      </w:r>
    </w:p>
    <w:p w:rsidR="00890CDD" w:rsidRPr="00E41CFD" w:rsidRDefault="00890CDD">
      <w:pPr>
        <w:pStyle w:val="Heading4"/>
        <w:spacing w:before="240" w:after="120"/>
        <w:ind w:left="1134" w:hanging="510"/>
      </w:pPr>
      <w:bookmarkStart w:id="692" w:name="_Toc405988672"/>
      <w:bookmarkStart w:id="693" w:name="_Toc437340565"/>
      <w:r w:rsidRPr="00E41CFD">
        <w:rPr>
          <w:szCs w:val="20"/>
        </w:rPr>
        <w:t>(</w:t>
      </w:r>
      <w:r>
        <w:rPr>
          <w:szCs w:val="20"/>
        </w:rPr>
        <w:t>m</w:t>
      </w:r>
      <w:r w:rsidRPr="00E41CFD">
        <w:rPr>
          <w:szCs w:val="20"/>
        </w:rPr>
        <w:t xml:space="preserve">) </w:t>
      </w:r>
      <w:r w:rsidRPr="00E41CFD">
        <w:rPr>
          <w:szCs w:val="20"/>
        </w:rPr>
        <w:tab/>
        <w:t>Solvent washing</w:t>
      </w:r>
      <w:bookmarkEnd w:id="692"/>
      <w:bookmarkEnd w:id="693"/>
    </w:p>
    <w:bookmarkEnd w:id="688"/>
    <w:bookmarkEnd w:id="689"/>
    <w:bookmarkEnd w:id="690"/>
    <w:bookmarkEnd w:id="691"/>
    <w:p w:rsidR="00890CDD" w:rsidRPr="00E41CFD" w:rsidRDefault="00890CDD" w:rsidP="00980527">
      <w:pPr>
        <w:pStyle w:val="Paralevel1"/>
        <w:tabs>
          <w:tab w:val="clear" w:pos="1843"/>
          <w:tab w:val="left" w:pos="1701"/>
        </w:tabs>
        <w:ind w:left="1134" w:firstLine="0"/>
      </w:pPr>
      <w:r w:rsidRPr="00E41CFD">
        <w:t xml:space="preserve">Solvent washing can be used to remove POPs from electrical equipment such as capacitors and transformers. This technology has also been used for the treatment of contaminated soil and sorption materials used in adsorption or absorption pre-treatment. </w:t>
      </w:r>
    </w:p>
    <w:p w:rsidR="00890CDD" w:rsidRPr="00E41CFD" w:rsidRDefault="00890CDD" w:rsidP="0088229A">
      <w:pPr>
        <w:pStyle w:val="Heading4"/>
        <w:spacing w:before="240" w:after="120"/>
        <w:ind w:left="1134" w:hanging="510"/>
      </w:pPr>
      <w:bookmarkStart w:id="694" w:name="_Toc405988673"/>
      <w:bookmarkStart w:id="695" w:name="_Toc437340566"/>
      <w:bookmarkStart w:id="696" w:name="_Toc61334202"/>
      <w:bookmarkStart w:id="697" w:name="_Toc63066384"/>
      <w:bookmarkStart w:id="698" w:name="_Toc145395142"/>
      <w:bookmarkStart w:id="699" w:name="_Toc161804595"/>
      <w:r w:rsidRPr="00E41CFD">
        <w:t>(</w:t>
      </w:r>
      <w:r>
        <w:rPr>
          <w:szCs w:val="20"/>
        </w:rPr>
        <w:t>n</w:t>
      </w:r>
      <w:r w:rsidRPr="00E41CFD">
        <w:rPr>
          <w:szCs w:val="20"/>
        </w:rPr>
        <w:t xml:space="preserve">) </w:t>
      </w:r>
      <w:r w:rsidRPr="00E41CFD">
        <w:rPr>
          <w:szCs w:val="20"/>
        </w:rPr>
        <w:tab/>
      </w:r>
      <w:r w:rsidRPr="00E41CFD">
        <w:t>Stabilization</w:t>
      </w:r>
      <w:r w:rsidRPr="00E41CFD">
        <w:rPr>
          <w:szCs w:val="20"/>
        </w:rPr>
        <w:t xml:space="preserve"> and solidification</w:t>
      </w:r>
      <w:bookmarkEnd w:id="694"/>
      <w:bookmarkEnd w:id="695"/>
    </w:p>
    <w:p w:rsidR="00890CDD" w:rsidRPr="000E70A7" w:rsidRDefault="00890CDD" w:rsidP="00980527">
      <w:pPr>
        <w:pStyle w:val="Paralevel1"/>
        <w:tabs>
          <w:tab w:val="clear" w:pos="1843"/>
          <w:tab w:val="left" w:pos="1701"/>
        </w:tabs>
        <w:ind w:left="1134" w:firstLine="0"/>
      </w:pPr>
      <w:r w:rsidRPr="00980527">
        <w:t>Stabilization</w:t>
      </w:r>
      <w:r w:rsidRPr="000E70A7">
        <w:t xml:space="preserve"> and solidification are to be used in conjunction for them to be environmentally sound. </w:t>
      </w:r>
      <w:r w:rsidRPr="00B623F1">
        <w:t xml:space="preserve">The stabilization of waste refers to </w:t>
      </w:r>
      <w:r w:rsidR="00631DBE" w:rsidRPr="00B623F1">
        <w:t xml:space="preserve">the </w:t>
      </w:r>
      <w:r w:rsidRPr="00B623F1">
        <w:t xml:space="preserve">chemical </w:t>
      </w:r>
      <w:r w:rsidR="00631DBE" w:rsidRPr="00B623F1">
        <w:t xml:space="preserve">conversion </w:t>
      </w:r>
      <w:r w:rsidRPr="00B623F1">
        <w:t xml:space="preserve">of the hazardous constituents in the waste to less soluble, mobile or toxic </w:t>
      </w:r>
      <w:r w:rsidR="00B623F1">
        <w:t>materials</w:t>
      </w:r>
      <w:r w:rsidRPr="00B623F1">
        <w:t xml:space="preserve">. The solidification of waste refers to changes in the physical properties of </w:t>
      </w:r>
      <w:r w:rsidR="00631DBE" w:rsidRPr="00B623F1">
        <w:t xml:space="preserve">the </w:t>
      </w:r>
      <w:r w:rsidRPr="00B623F1">
        <w:t xml:space="preserve">waste to increase </w:t>
      </w:r>
      <w:r w:rsidR="00631DBE" w:rsidRPr="00B623F1">
        <w:t xml:space="preserve">its </w:t>
      </w:r>
      <w:r w:rsidRPr="00B623F1">
        <w:t xml:space="preserve">compressive strength, decrease </w:t>
      </w:r>
      <w:r w:rsidR="00631DBE" w:rsidRPr="00B623F1">
        <w:t xml:space="preserve">its </w:t>
      </w:r>
      <w:r w:rsidRPr="00B623F1">
        <w:t xml:space="preserve">permeability and encapsulate </w:t>
      </w:r>
      <w:r w:rsidR="00631DBE" w:rsidRPr="00B623F1">
        <w:t xml:space="preserve">its </w:t>
      </w:r>
      <w:r w:rsidRPr="00B623F1">
        <w:t>hazardous constituents</w:t>
      </w:r>
      <w:r w:rsidRPr="000E70A7">
        <w:t>.</w:t>
      </w:r>
      <w:r w:rsidR="00F50E54">
        <w:t xml:space="preserve"> Many waste streams require pre-treatment or special additives prior to stabilization</w:t>
      </w:r>
      <w:r w:rsidR="00B623F1">
        <w:t xml:space="preserve"> and </w:t>
      </w:r>
      <w:r w:rsidR="00F50E54">
        <w:t xml:space="preserve">solidification. Applicability trials and durability tests </w:t>
      </w:r>
      <w:r w:rsidR="00B623F1" w:rsidRPr="00B623F1">
        <w:t xml:space="preserve">prior to both </w:t>
      </w:r>
      <w:r w:rsidR="00B623F1">
        <w:t xml:space="preserve">stabilization and solidification </w:t>
      </w:r>
      <w:r w:rsidR="00F50E54">
        <w:t>are advisable.</w:t>
      </w:r>
    </w:p>
    <w:p w:rsidR="00890CDD" w:rsidRPr="00280401" w:rsidRDefault="00890CDD" w:rsidP="0088229A">
      <w:pPr>
        <w:pStyle w:val="Heading4"/>
        <w:spacing w:before="240" w:after="120"/>
        <w:ind w:left="1134" w:hanging="510"/>
      </w:pPr>
      <w:bookmarkStart w:id="700" w:name="_Toc405988674"/>
      <w:bookmarkStart w:id="701" w:name="_Toc437340567"/>
      <w:bookmarkStart w:id="702" w:name="_Toc52524034"/>
      <w:bookmarkStart w:id="703" w:name="_Toc49228494"/>
      <w:bookmarkStart w:id="704" w:name="_Toc52011587"/>
      <w:bookmarkStart w:id="705" w:name="_Toc52131826"/>
      <w:bookmarkEnd w:id="696"/>
      <w:bookmarkEnd w:id="697"/>
      <w:bookmarkEnd w:id="698"/>
      <w:bookmarkEnd w:id="699"/>
      <w:r>
        <w:rPr>
          <w:szCs w:val="20"/>
        </w:rPr>
        <w:t>(o</w:t>
      </w:r>
      <w:r w:rsidRPr="00E41CFD">
        <w:rPr>
          <w:szCs w:val="20"/>
        </w:rPr>
        <w:t xml:space="preserve">) </w:t>
      </w:r>
      <w:r w:rsidRPr="00E41CFD">
        <w:rPr>
          <w:szCs w:val="20"/>
        </w:rPr>
        <w:tab/>
      </w:r>
      <w:r w:rsidRPr="00280401">
        <w:t>Vaporization</w:t>
      </w:r>
      <w:bookmarkEnd w:id="700"/>
      <w:bookmarkEnd w:id="701"/>
    </w:p>
    <w:p w:rsidR="00890CDD" w:rsidRDefault="004B249A" w:rsidP="00980527">
      <w:pPr>
        <w:pStyle w:val="Paralevel1"/>
        <w:tabs>
          <w:tab w:val="clear" w:pos="1843"/>
          <w:tab w:val="left" w:pos="1701"/>
        </w:tabs>
        <w:ind w:left="1134" w:firstLine="0"/>
      </w:pPr>
      <w:r>
        <w:t>The c</w:t>
      </w:r>
      <w:r w:rsidR="00890CDD" w:rsidRPr="00280401">
        <w:t>onver</w:t>
      </w:r>
      <w:r>
        <w:t>sion of</w:t>
      </w:r>
      <w:r w:rsidR="00890CDD" w:rsidRPr="00280401">
        <w:t xml:space="preserve"> liquid or solid substances into a gaseous state prior to waste treatment may be appropriate in order to </w:t>
      </w:r>
      <w:r w:rsidR="00890CDD">
        <w:t xml:space="preserve">enable or </w:t>
      </w:r>
      <w:r w:rsidR="00890CDD" w:rsidRPr="00280401">
        <w:t>optimize treatment efficienc</w:t>
      </w:r>
      <w:r>
        <w:t>y</w:t>
      </w:r>
      <w:r w:rsidR="00890CDD" w:rsidRPr="00280401">
        <w:t>.</w:t>
      </w:r>
    </w:p>
    <w:p w:rsidR="00890CDD" w:rsidRPr="00E41CFD" w:rsidRDefault="00890CDD" w:rsidP="0088229A">
      <w:pPr>
        <w:pStyle w:val="Heading4"/>
        <w:spacing w:before="240" w:after="120"/>
        <w:ind w:left="1134" w:hanging="510"/>
      </w:pPr>
      <w:bookmarkStart w:id="706" w:name="_Toc405988675"/>
      <w:bookmarkStart w:id="707" w:name="_Toc437340568"/>
      <w:r>
        <w:t>(p)</w:t>
      </w:r>
      <w:r>
        <w:tab/>
      </w:r>
      <w:r w:rsidRPr="00E41CFD">
        <w:t>Volume</w:t>
      </w:r>
      <w:r w:rsidRPr="00E41CFD">
        <w:rPr>
          <w:szCs w:val="20"/>
        </w:rPr>
        <w:t xml:space="preserve"> reduction</w:t>
      </w:r>
      <w:bookmarkEnd w:id="706"/>
      <w:bookmarkEnd w:id="707"/>
      <w:r w:rsidRPr="00E41CFD">
        <w:rPr>
          <w:szCs w:val="20"/>
        </w:rPr>
        <w:t xml:space="preserve"> </w:t>
      </w:r>
    </w:p>
    <w:p w:rsidR="00890CDD" w:rsidRPr="00E41CFD" w:rsidRDefault="004B249A" w:rsidP="00980527">
      <w:pPr>
        <w:pStyle w:val="Paralevel1"/>
        <w:tabs>
          <w:tab w:val="clear" w:pos="1843"/>
          <w:tab w:val="left" w:pos="1701"/>
        </w:tabs>
        <w:ind w:left="1134" w:firstLine="0"/>
      </w:pPr>
      <w:r>
        <w:t xml:space="preserve">The </w:t>
      </w:r>
      <w:r w:rsidRPr="004B249A">
        <w:t>r</w:t>
      </w:r>
      <w:r w:rsidR="00890CDD" w:rsidRPr="004B249A">
        <w:t xml:space="preserve">eduction of </w:t>
      </w:r>
      <w:r w:rsidR="00405DFE" w:rsidRPr="00405DFE">
        <w:t xml:space="preserve">waste </w:t>
      </w:r>
      <w:r w:rsidR="00890CDD" w:rsidRPr="004B249A">
        <w:t xml:space="preserve">volume </w:t>
      </w:r>
      <w:r>
        <w:t>through</w:t>
      </w:r>
      <w:r w:rsidRPr="00E41CFD">
        <w:t xml:space="preserve"> </w:t>
      </w:r>
      <w:r w:rsidR="00890CDD" w:rsidRPr="00E41CFD">
        <w:t xml:space="preserve">compression or compaction </w:t>
      </w:r>
      <w:r w:rsidR="00B66AB3">
        <w:t xml:space="preserve">to make the waste more </w:t>
      </w:r>
      <w:r w:rsidR="00405DFE" w:rsidRPr="00405DFE">
        <w:t xml:space="preserve">condensed </w:t>
      </w:r>
      <w:r w:rsidR="00890CDD">
        <w:t xml:space="preserve">may be appropriate </w:t>
      </w:r>
      <w:r w:rsidR="00890CDD" w:rsidRPr="00E41CFD">
        <w:t xml:space="preserve">to facilitate </w:t>
      </w:r>
      <w:r>
        <w:t xml:space="preserve">waste </w:t>
      </w:r>
      <w:r w:rsidR="00890CDD" w:rsidRPr="00E41CFD">
        <w:t xml:space="preserve">handling, transport, storage and disposal.  </w:t>
      </w:r>
    </w:p>
    <w:p w:rsidR="00890CDD" w:rsidRPr="00E41CFD" w:rsidRDefault="00890CDD">
      <w:pPr>
        <w:pStyle w:val="Heading3"/>
        <w:spacing w:before="240" w:after="120"/>
        <w:ind w:left="1134" w:hanging="425"/>
        <w:rPr>
          <w:szCs w:val="20"/>
        </w:rPr>
      </w:pPr>
      <w:bookmarkStart w:id="708" w:name="_Toc95280687"/>
      <w:bookmarkStart w:id="709" w:name="_Toc145395143"/>
      <w:bookmarkStart w:id="710" w:name="_Toc161804596"/>
      <w:bookmarkStart w:id="711" w:name="_Toc405988676"/>
      <w:bookmarkStart w:id="712" w:name="_Toc437340569"/>
      <w:r w:rsidRPr="00E41CFD">
        <w:rPr>
          <w:szCs w:val="20"/>
        </w:rPr>
        <w:t>2.</w:t>
      </w:r>
      <w:r w:rsidRPr="00E41CFD">
        <w:rPr>
          <w:szCs w:val="20"/>
        </w:rPr>
        <w:tab/>
      </w:r>
      <w:bookmarkEnd w:id="708"/>
      <w:bookmarkEnd w:id="709"/>
      <w:bookmarkEnd w:id="710"/>
      <w:r w:rsidRPr="00E41CFD">
        <w:rPr>
          <w:szCs w:val="20"/>
        </w:rPr>
        <w:t>Destruction and irreversible transformation methods</w:t>
      </w:r>
      <w:bookmarkEnd w:id="711"/>
      <w:bookmarkEnd w:id="712"/>
    </w:p>
    <w:p w:rsidR="00890CDD" w:rsidRPr="00E41CFD" w:rsidRDefault="00890CDD" w:rsidP="00980527">
      <w:pPr>
        <w:pStyle w:val="Paralevel1"/>
        <w:tabs>
          <w:tab w:val="clear" w:pos="1843"/>
          <w:tab w:val="left" w:pos="1701"/>
        </w:tabs>
        <w:ind w:left="1134" w:firstLine="0"/>
      </w:pPr>
      <w:r w:rsidRPr="00E41CFD">
        <w:t>The following disposal operations, as provided for in Annex IV</w:t>
      </w:r>
      <w:r w:rsidR="00521B0D">
        <w:t>, sections</w:t>
      </w:r>
      <w:r w:rsidRPr="00E41CFD">
        <w:t xml:space="preserve"> A and B</w:t>
      </w:r>
      <w:r w:rsidR="00E6124C">
        <w:t>,</w:t>
      </w:r>
      <w:r w:rsidRPr="00E41CFD">
        <w:t xml:space="preserve"> of the Basel Convention, should be permitted for the purpose of destruction and irreversible transformation of the POP content in wastes when applied in such a way as to ensure that the remaining wastes and releases do not exhibit the characteristics of POPs:</w:t>
      </w:r>
    </w:p>
    <w:p w:rsidR="00890CDD" w:rsidRPr="00E41CFD" w:rsidRDefault="00890CDD" w:rsidP="00F21921">
      <w:pPr>
        <w:tabs>
          <w:tab w:val="clear" w:pos="1247"/>
          <w:tab w:val="clear" w:pos="1814"/>
          <w:tab w:val="clear" w:pos="2381"/>
          <w:tab w:val="left" w:pos="2268"/>
        </w:tabs>
        <w:spacing w:after="120"/>
        <w:ind w:left="1134" w:firstLine="567"/>
      </w:pPr>
      <w:r w:rsidRPr="00E41CFD">
        <w:t>(a)</w:t>
      </w:r>
      <w:r w:rsidRPr="00E41CFD">
        <w:tab/>
        <w:t>D9</w:t>
      </w:r>
      <w:r w:rsidR="008F79A4">
        <w:t>:</w:t>
      </w:r>
      <w:r w:rsidRPr="00E41CFD">
        <w:t xml:space="preserve"> </w:t>
      </w:r>
      <w:proofErr w:type="spellStart"/>
      <w:r w:rsidRPr="00E41CFD">
        <w:t>Physico</w:t>
      </w:r>
      <w:proofErr w:type="spellEnd"/>
      <w:r w:rsidR="00F21921">
        <w:t>-</w:t>
      </w:r>
      <w:r w:rsidRPr="00E41CFD">
        <w:t>chemical treatment;</w:t>
      </w:r>
    </w:p>
    <w:p w:rsidR="00890CDD" w:rsidRPr="00E41CFD" w:rsidRDefault="00890CDD" w:rsidP="0080213C">
      <w:pPr>
        <w:tabs>
          <w:tab w:val="clear" w:pos="1247"/>
          <w:tab w:val="clear" w:pos="1814"/>
          <w:tab w:val="clear" w:pos="2381"/>
          <w:tab w:val="left" w:pos="2268"/>
        </w:tabs>
        <w:spacing w:after="120"/>
        <w:ind w:left="1134" w:firstLine="567"/>
      </w:pPr>
      <w:r w:rsidRPr="00E41CFD">
        <w:t>(b)</w:t>
      </w:r>
      <w:r w:rsidRPr="00E41CFD">
        <w:tab/>
        <w:t>D10</w:t>
      </w:r>
      <w:r w:rsidR="008F79A4">
        <w:t>:</w:t>
      </w:r>
      <w:r w:rsidRPr="00E41CFD">
        <w:t xml:space="preserve"> Incineration on land;</w:t>
      </w:r>
    </w:p>
    <w:p w:rsidR="00890CDD" w:rsidRPr="00E41CFD" w:rsidRDefault="00890CDD" w:rsidP="0080213C">
      <w:pPr>
        <w:tabs>
          <w:tab w:val="clear" w:pos="1247"/>
          <w:tab w:val="clear" w:pos="1814"/>
          <w:tab w:val="clear" w:pos="2381"/>
          <w:tab w:val="left" w:pos="2268"/>
        </w:tabs>
        <w:spacing w:after="120"/>
        <w:ind w:left="1134" w:firstLine="567"/>
      </w:pPr>
      <w:r w:rsidRPr="00E41CFD">
        <w:t>(c)</w:t>
      </w:r>
      <w:r w:rsidRPr="00E41CFD">
        <w:tab/>
        <w:t>R1</w:t>
      </w:r>
      <w:r w:rsidR="008F79A4">
        <w:t>:</w:t>
      </w:r>
      <w:r w:rsidRPr="00E41CFD">
        <w:t xml:space="preserve"> Use as a fuel (other than in direct incineration) or other means to generate energy;</w:t>
      </w:r>
      <w:r w:rsidR="00B406CC">
        <w:t xml:space="preserve"> and</w:t>
      </w:r>
    </w:p>
    <w:p w:rsidR="00890CDD" w:rsidRPr="00E41CFD" w:rsidRDefault="00890CDD" w:rsidP="0080213C">
      <w:pPr>
        <w:tabs>
          <w:tab w:val="clear" w:pos="1247"/>
          <w:tab w:val="clear" w:pos="1814"/>
          <w:tab w:val="clear" w:pos="2381"/>
          <w:tab w:val="left" w:pos="2268"/>
        </w:tabs>
        <w:spacing w:after="120"/>
        <w:ind w:left="1134" w:firstLine="567"/>
      </w:pPr>
      <w:r w:rsidRPr="00E41CFD">
        <w:t>(d)</w:t>
      </w:r>
      <w:r w:rsidRPr="00E41CFD">
        <w:tab/>
        <w:t>R4</w:t>
      </w:r>
      <w:r w:rsidR="008F79A4">
        <w:t>:</w:t>
      </w:r>
      <w:r w:rsidRPr="00E41CFD">
        <w:t xml:space="preserve"> Recycling/reclamation of metals and metal compounds, but restricted to activities of primary and secondary metallurgy described in (</w:t>
      </w:r>
      <w:r w:rsidR="00BF0B04">
        <w:t>k</w:t>
      </w:r>
      <w:r w:rsidRPr="00E41CFD">
        <w:t>) below.</w:t>
      </w:r>
    </w:p>
    <w:p w:rsidR="00890CDD" w:rsidRDefault="00890CDD" w:rsidP="00980527">
      <w:pPr>
        <w:pStyle w:val="Paralevel1"/>
        <w:tabs>
          <w:tab w:val="clear" w:pos="1843"/>
          <w:tab w:val="left" w:pos="1701"/>
        </w:tabs>
        <w:ind w:left="1134" w:firstLine="0"/>
      </w:pPr>
      <w:r w:rsidRPr="00E41CFD">
        <w:t xml:space="preserve">POPs that are isolated from </w:t>
      </w:r>
      <w:r w:rsidR="00B406CC">
        <w:t xml:space="preserve">a </w:t>
      </w:r>
      <w:r w:rsidRPr="00E41CFD">
        <w:t xml:space="preserve">waste </w:t>
      </w:r>
      <w:r w:rsidR="00B406CC">
        <w:t xml:space="preserve">stream </w:t>
      </w:r>
      <w:r w:rsidRPr="00E41CFD">
        <w:t>during pre-treatment should subsequently be disposed of in accordance with operations D9 and D10.</w:t>
      </w:r>
    </w:p>
    <w:p w:rsidR="00890CDD" w:rsidRDefault="00B406CC" w:rsidP="00A12DEA">
      <w:pPr>
        <w:pStyle w:val="Paralevel1"/>
        <w:tabs>
          <w:tab w:val="clear" w:pos="1843"/>
          <w:tab w:val="left" w:pos="1701"/>
        </w:tabs>
        <w:ind w:left="1134" w:firstLine="0"/>
      </w:pPr>
      <w:r>
        <w:t>S</w:t>
      </w:r>
      <w:r w:rsidR="00890CDD" w:rsidRPr="00E41CFD">
        <w:t xml:space="preserve">ubsections </w:t>
      </w:r>
      <w:r w:rsidR="00405DFE" w:rsidRPr="00405DFE">
        <w:t>(a) to (k)</w:t>
      </w:r>
      <w:r w:rsidR="00AE64F2">
        <w:rPr>
          <w:rStyle w:val="CommentReference"/>
          <w:rFonts w:eastAsia="Times New Roman"/>
          <w:lang w:val="en-GB"/>
        </w:rPr>
        <w:t xml:space="preserve"> </w:t>
      </w:r>
      <w:r w:rsidR="00890CDD" w:rsidRPr="00E41CFD">
        <w:t xml:space="preserve">below describe commercially available operations for the environmentally sound destruction and irreversible transformation of the POP content in wastes that are </w:t>
      </w:r>
      <w:r w:rsidR="00890CDD" w:rsidRPr="00D374E0">
        <w:t>cap</w:t>
      </w:r>
      <w:r w:rsidR="00890CDD" w:rsidRPr="00FE3702">
        <w:t xml:space="preserve">able </w:t>
      </w:r>
      <w:r>
        <w:t xml:space="preserve">of </w:t>
      </w:r>
      <w:r w:rsidR="00890CDD" w:rsidRPr="00FE3702">
        <w:t>achiev</w:t>
      </w:r>
      <w:r>
        <w:t>ing</w:t>
      </w:r>
      <w:r w:rsidR="00890CDD" w:rsidRPr="00FE3702">
        <w:t xml:space="preserve"> the levels of destruction and irreversibl</w:t>
      </w:r>
      <w:r w:rsidR="00BC6B83" w:rsidRPr="00FE3702">
        <w:t>e</w:t>
      </w:r>
      <w:r w:rsidR="00890CDD" w:rsidRPr="00FE3702">
        <w:t xml:space="preserve"> transformation referred to in section III.B.</w:t>
      </w:r>
      <w:r w:rsidR="003A088C" w:rsidRPr="00FE3702">
        <w:rPr>
          <w:vertAlign w:val="superscript"/>
        </w:rPr>
        <w:footnoteReference w:id="49"/>
      </w:r>
      <w:r w:rsidR="00890CDD" w:rsidRPr="00FE3702">
        <w:t xml:space="preserve"> Table </w:t>
      </w:r>
      <w:r w:rsidR="00A12DEA">
        <w:t>4</w:t>
      </w:r>
      <w:r w:rsidR="00FC166F" w:rsidRPr="005D4B7E">
        <w:t xml:space="preserve"> </w:t>
      </w:r>
      <w:r w:rsidR="004A5307">
        <w:t xml:space="preserve">below </w:t>
      </w:r>
      <w:r w:rsidR="00890CDD" w:rsidRPr="007036D7">
        <w:t xml:space="preserve">provides an overview of </w:t>
      </w:r>
      <w:r w:rsidR="00890CDD" w:rsidRPr="004A5307">
        <w:t xml:space="preserve">these </w:t>
      </w:r>
      <w:r w:rsidR="00890CDD" w:rsidRPr="007036D7">
        <w:t>operations. It should be noted that pertinent national legislation apply</w:t>
      </w:r>
      <w:r w:rsidR="00890CDD" w:rsidRPr="00E41CFD">
        <w:t xml:space="preserve"> </w:t>
      </w:r>
      <w:r w:rsidR="003C3DE3">
        <w:t xml:space="preserve">to </w:t>
      </w:r>
      <w:r w:rsidR="00890CDD" w:rsidRPr="00E41CFD">
        <w:t xml:space="preserve">these operations and that </w:t>
      </w:r>
      <w:r w:rsidR="003C3DE3">
        <w:t>the operations</w:t>
      </w:r>
      <w:r w:rsidR="003C3DE3" w:rsidRPr="00E41CFD">
        <w:t xml:space="preserve"> </w:t>
      </w:r>
      <w:r w:rsidR="00890CDD" w:rsidRPr="00E41CFD">
        <w:t xml:space="preserve">should be used </w:t>
      </w:r>
      <w:r w:rsidR="003C3DE3">
        <w:t xml:space="preserve">in accordance with </w:t>
      </w:r>
      <w:r w:rsidR="00890CDD" w:rsidRPr="00E41CFD">
        <w:t xml:space="preserve">the BAT and BEP standards developed </w:t>
      </w:r>
      <w:r w:rsidR="003C3DE3">
        <w:t xml:space="preserve">under </w:t>
      </w:r>
      <w:r w:rsidR="00890CDD" w:rsidRPr="00E41CFD">
        <w:t>the Stockholm Convention</w:t>
      </w:r>
      <w:r w:rsidR="009F34BC">
        <w:t>,</w:t>
      </w:r>
      <w:r w:rsidR="00890CDD" w:rsidRPr="00E41CFD">
        <w:t xml:space="preserve"> </w:t>
      </w:r>
      <w:r w:rsidR="00890CDD">
        <w:t xml:space="preserve">as presented in the </w:t>
      </w:r>
      <w:r w:rsidR="00890CDD" w:rsidRPr="00162F4E">
        <w:rPr>
          <w:i/>
        </w:rPr>
        <w:t>Guidelines on best available techniques and provisional guidance on best environmental practices relevant to Article 5 and Annex C of the Stockholm Convention on Persistent Organic Pollutants</w:t>
      </w:r>
      <w:r w:rsidR="00890CDD">
        <w:rPr>
          <w:i/>
          <w:sz w:val="18"/>
          <w:szCs w:val="18"/>
        </w:rPr>
        <w:t xml:space="preserve"> </w:t>
      </w:r>
      <w:r w:rsidR="00890CDD" w:rsidRPr="00E41CFD">
        <w:t>(UNEP, 200</w:t>
      </w:r>
      <w:r w:rsidR="00002CD2">
        <w:t>7</w:t>
      </w:r>
      <w:r w:rsidR="00890CDD" w:rsidRPr="00E41CFD">
        <w:t>).</w:t>
      </w:r>
    </w:p>
    <w:p w:rsidR="00F9672A" w:rsidRPr="00E41CFD" w:rsidRDefault="00F9672A" w:rsidP="00980527">
      <w:pPr>
        <w:pStyle w:val="Paralevel1"/>
        <w:tabs>
          <w:tab w:val="clear" w:pos="1843"/>
          <w:tab w:val="left" w:pos="1701"/>
        </w:tabs>
        <w:ind w:left="1134" w:firstLine="0"/>
      </w:pPr>
      <w:r>
        <w:t xml:space="preserve">Emerging technologies are not described in </w:t>
      </w:r>
      <w:r w:rsidRPr="00323A87">
        <w:t xml:space="preserve">this </w:t>
      </w:r>
      <w:r w:rsidR="00800448" w:rsidRPr="00323A87">
        <w:t>subsection</w:t>
      </w:r>
      <w:r w:rsidRPr="00323A87">
        <w:t xml:space="preserve"> because</w:t>
      </w:r>
      <w:r>
        <w:t xml:space="preserve"> </w:t>
      </w:r>
      <w:r w:rsidR="00BA14D2">
        <w:t xml:space="preserve">their </w:t>
      </w:r>
      <w:r>
        <w:t xml:space="preserve">commercial availability and </w:t>
      </w:r>
      <w:r w:rsidR="00BA14D2">
        <w:t xml:space="preserve">their </w:t>
      </w:r>
      <w:r w:rsidRPr="008A0138">
        <w:t xml:space="preserve">performance </w:t>
      </w:r>
      <w:r w:rsidR="00BA14D2" w:rsidRPr="008A0138">
        <w:t xml:space="preserve">with </w:t>
      </w:r>
      <w:r w:rsidR="00405DFE" w:rsidRPr="00405DFE">
        <w:t xml:space="preserve">regard </w:t>
      </w:r>
      <w:r w:rsidR="00BA14D2" w:rsidRPr="008A0138">
        <w:t>to</w:t>
      </w:r>
      <w:r w:rsidR="00BA14D2">
        <w:t xml:space="preserve"> </w:t>
      </w:r>
      <w:r>
        <w:t>destr</w:t>
      </w:r>
      <w:r w:rsidR="008A0138">
        <w:t>uction</w:t>
      </w:r>
      <w:r>
        <w:t xml:space="preserve"> </w:t>
      </w:r>
      <w:r w:rsidR="008A0138">
        <w:t xml:space="preserve">and </w:t>
      </w:r>
      <w:r>
        <w:t>irreversibl</w:t>
      </w:r>
      <w:r w:rsidR="008A0138">
        <w:t>e</w:t>
      </w:r>
      <w:r>
        <w:t xml:space="preserve"> transform</w:t>
      </w:r>
      <w:r w:rsidR="008A0138">
        <w:t xml:space="preserve">ation of </w:t>
      </w:r>
      <w:r>
        <w:t>POP</w:t>
      </w:r>
      <w:r w:rsidR="00BA14D2">
        <w:t>s</w:t>
      </w:r>
      <w:r>
        <w:t xml:space="preserve"> are not documented.</w:t>
      </w:r>
    </w:p>
    <w:p w:rsidR="00890CDD" w:rsidRPr="00E41CFD" w:rsidRDefault="00890CDD" w:rsidP="00980527">
      <w:pPr>
        <w:pStyle w:val="Paralevel1"/>
        <w:tabs>
          <w:tab w:val="clear" w:pos="1843"/>
          <w:tab w:val="left" w:pos="1701"/>
        </w:tabs>
        <w:ind w:left="1134" w:firstLine="0"/>
      </w:pPr>
      <w:r w:rsidRPr="00E41CFD">
        <w:t xml:space="preserve">For assessing the performance of the operations in subsections </w:t>
      </w:r>
      <w:r w:rsidR="00405DFE" w:rsidRPr="00405DFE">
        <w:t>(a)</w:t>
      </w:r>
      <w:r w:rsidR="00AE64F2">
        <w:t xml:space="preserve"> </w:t>
      </w:r>
      <w:r w:rsidR="00405DFE" w:rsidRPr="00405DFE">
        <w:t>to</w:t>
      </w:r>
      <w:r w:rsidR="009172D7" w:rsidRPr="005F0B00">
        <w:t xml:space="preserve"> </w:t>
      </w:r>
      <w:r w:rsidR="005F0B00" w:rsidRPr="005F0B00">
        <w:t>(k)</w:t>
      </w:r>
      <w:r w:rsidR="009172D7">
        <w:t xml:space="preserve"> </w:t>
      </w:r>
      <w:r w:rsidRPr="00E41CFD">
        <w:t>below,</w:t>
      </w:r>
      <w:r w:rsidR="00AE64F2">
        <w:rPr>
          <w:rStyle w:val="CommentReference"/>
          <w:rFonts w:eastAsia="Times New Roman"/>
          <w:lang w:val="en-GB"/>
        </w:rPr>
        <w:t xml:space="preserve"> </w:t>
      </w:r>
      <w:r w:rsidRPr="00E41CFD">
        <w:t>a minimum DE of 99</w:t>
      </w:r>
      <w:r>
        <w:t>.</w:t>
      </w:r>
      <w:r w:rsidRPr="00E41CFD">
        <w:t xml:space="preserve">999 </w:t>
      </w:r>
      <w:r w:rsidR="009172D7">
        <w:t>per cent,</w:t>
      </w:r>
      <w:r w:rsidRPr="00E41CFD">
        <w:t xml:space="preserve"> with 99.9999 </w:t>
      </w:r>
      <w:r w:rsidR="009172D7">
        <w:t xml:space="preserve">per cent </w:t>
      </w:r>
      <w:r w:rsidRPr="00E41CFD">
        <w:t xml:space="preserve">of DRE as a supplement requirement where applicable, provides practical benchmark parameters for assessing disposal technology performance. Higher demonstrated DEs may be preferred on a case-by-case basis. DE and DRE should be used </w:t>
      </w:r>
      <w:r w:rsidR="00EF340E">
        <w:t xml:space="preserve">together </w:t>
      </w:r>
      <w:r w:rsidRPr="00E41CFD">
        <w:t xml:space="preserve">to demonstrate a level of destruction and irreversible transformation; </w:t>
      </w:r>
      <w:r w:rsidR="009F34BC">
        <w:t xml:space="preserve">as </w:t>
      </w:r>
      <w:r w:rsidRPr="00E41CFD">
        <w:t xml:space="preserve">neither DE nor DRE take into account the potential transformation of the original </w:t>
      </w:r>
      <w:r w:rsidR="00EF340E">
        <w:t xml:space="preserve">POP </w:t>
      </w:r>
      <w:r w:rsidRPr="00E41CFD">
        <w:t>to an unintentional</w:t>
      </w:r>
      <w:r>
        <w:t>ly produced POP</w:t>
      </w:r>
      <w:r w:rsidR="009F34BC">
        <w:t>,</w:t>
      </w:r>
      <w:r w:rsidRPr="00E41CFD">
        <w:t xml:space="preserve"> </w:t>
      </w:r>
      <w:r w:rsidR="00EF340E">
        <w:t xml:space="preserve">potential </w:t>
      </w:r>
      <w:r w:rsidRPr="00E41CFD">
        <w:t>releases</w:t>
      </w:r>
      <w:r w:rsidR="00EF340E">
        <w:t xml:space="preserve"> of unintentionally produced POPs</w:t>
      </w:r>
      <w:r w:rsidRPr="00E41CFD">
        <w:t xml:space="preserve"> should be considered </w:t>
      </w:r>
      <w:r w:rsidR="00EF340E">
        <w:t xml:space="preserve">when choosing </w:t>
      </w:r>
      <w:r w:rsidR="00EF340E" w:rsidRPr="00E41CFD">
        <w:t>a</w:t>
      </w:r>
      <w:r w:rsidR="00EF340E">
        <w:t xml:space="preserve"> particular</w:t>
      </w:r>
      <w:r w:rsidR="00EF340E" w:rsidRPr="00E41CFD">
        <w:t xml:space="preserve"> </w:t>
      </w:r>
      <w:r w:rsidRPr="00E41CFD">
        <w:t>operation.</w:t>
      </w:r>
    </w:p>
    <w:p w:rsidR="0067162C" w:rsidRDefault="0067162C" w:rsidP="00980527">
      <w:pPr>
        <w:pStyle w:val="Paralevel1"/>
        <w:numPr>
          <w:ilvl w:val="0"/>
          <w:numId w:val="0"/>
        </w:numPr>
        <w:ind w:left="1713"/>
        <w:rPr>
          <w:b/>
        </w:rPr>
      </w:pPr>
    </w:p>
    <w:p w:rsidR="00890CDD" w:rsidRPr="00E41CFD" w:rsidRDefault="00405DF7" w:rsidP="00A12DEA">
      <w:pPr>
        <w:pStyle w:val="Paralevel1"/>
        <w:numPr>
          <w:ilvl w:val="0"/>
          <w:numId w:val="0"/>
        </w:numPr>
        <w:ind w:left="1713"/>
      </w:pPr>
      <w:r>
        <w:rPr>
          <w:b/>
        </w:rPr>
        <w:br w:type="page"/>
      </w:r>
      <w:r w:rsidR="00890CDD" w:rsidRPr="00E41CFD">
        <w:rPr>
          <w:b/>
        </w:rPr>
        <w:t xml:space="preserve">Table </w:t>
      </w:r>
      <w:r w:rsidR="00A12DEA">
        <w:rPr>
          <w:b/>
        </w:rPr>
        <w:t>4</w:t>
      </w:r>
      <w:r w:rsidR="00890CDD" w:rsidRPr="00E41CFD">
        <w:t xml:space="preserve">: </w:t>
      </w:r>
      <w:r w:rsidR="00131060">
        <w:t>Overview of t</w:t>
      </w:r>
      <w:r w:rsidR="00890CDD">
        <w:t>echnologies for the</w:t>
      </w:r>
      <w:r w:rsidR="00890CDD" w:rsidRPr="00E41CFD">
        <w:t xml:space="preserve"> destruction and irreversible transformation of POP</w:t>
      </w:r>
      <w:r w:rsidR="00890CDD">
        <w:t>s in</w:t>
      </w:r>
      <w:r w:rsidR="00890CDD" w:rsidRPr="00E41CFD">
        <w:t xml:space="preserve"> wastes </w:t>
      </w:r>
    </w:p>
    <w:tbl>
      <w:tblPr>
        <w:tblW w:w="8565" w:type="dxa"/>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9"/>
        <w:gridCol w:w="1701"/>
        <w:gridCol w:w="567"/>
        <w:gridCol w:w="1276"/>
        <w:gridCol w:w="709"/>
        <w:gridCol w:w="1134"/>
        <w:gridCol w:w="709"/>
      </w:tblGrid>
      <w:tr w:rsidR="00E70CEA" w:rsidRPr="00E41CFD" w:rsidTr="00881BC5">
        <w:trPr>
          <w:trHeight w:val="263"/>
          <w:tblHeader/>
        </w:trPr>
        <w:tc>
          <w:tcPr>
            <w:tcW w:w="2469" w:type="dxa"/>
            <w:tcBorders>
              <w:top w:val="double" w:sz="6" w:space="0" w:color="auto"/>
              <w:left w:val="double" w:sz="6" w:space="0" w:color="auto"/>
              <w:right w:val="single" w:sz="18" w:space="0" w:color="auto"/>
            </w:tcBorders>
            <w:shd w:val="clear" w:color="auto" w:fill="D9D9D9"/>
          </w:tcPr>
          <w:p w:rsidR="00E70CEA" w:rsidRPr="00E41CFD" w:rsidRDefault="00E70CEA" w:rsidP="0088229A">
            <w:pPr>
              <w:jc w:val="center"/>
              <w:rPr>
                <w:b/>
                <w:sz w:val="16"/>
              </w:rPr>
            </w:pPr>
            <w:bookmarkStart w:id="713" w:name="_Toc145395144"/>
            <w:bookmarkStart w:id="714" w:name="_Toc161804597"/>
            <w:bookmarkStart w:id="715" w:name="_Toc61334207"/>
            <w:bookmarkStart w:id="716" w:name="_Toc63066388"/>
            <w:r w:rsidRPr="00E41CFD">
              <w:rPr>
                <w:b/>
                <w:sz w:val="16"/>
              </w:rPr>
              <w:t>Technology</w:t>
            </w:r>
          </w:p>
        </w:tc>
        <w:tc>
          <w:tcPr>
            <w:tcW w:w="6096" w:type="dxa"/>
            <w:gridSpan w:val="6"/>
            <w:tcBorders>
              <w:top w:val="double" w:sz="6" w:space="0" w:color="auto"/>
              <w:left w:val="single" w:sz="18" w:space="0" w:color="auto"/>
              <w:right w:val="single" w:sz="18" w:space="0" w:color="auto"/>
            </w:tcBorders>
            <w:shd w:val="clear" w:color="auto" w:fill="D9D9D9"/>
          </w:tcPr>
          <w:p w:rsidR="00E70CEA" w:rsidRPr="00E41CFD" w:rsidRDefault="00E70CEA" w:rsidP="0088229A">
            <w:pPr>
              <w:jc w:val="center"/>
              <w:rPr>
                <w:rFonts w:cs="Arial"/>
                <w:b/>
                <w:sz w:val="16"/>
                <w:szCs w:val="14"/>
              </w:rPr>
            </w:pPr>
            <w:r w:rsidRPr="00E41CFD">
              <w:rPr>
                <w:rFonts w:cs="Arial"/>
                <w:b/>
                <w:sz w:val="16"/>
                <w:szCs w:val="16"/>
              </w:rPr>
              <w:t>POP</w:t>
            </w:r>
            <w:r>
              <w:rPr>
                <w:rFonts w:cs="Arial"/>
                <w:b/>
                <w:sz w:val="16"/>
                <w:szCs w:val="16"/>
              </w:rPr>
              <w:t>s</w:t>
            </w:r>
            <w:r w:rsidR="00121683" w:rsidRPr="00121683">
              <w:rPr>
                <w:rStyle w:val="FootnoteReference"/>
                <w:rFonts w:cs="Arial"/>
              </w:rPr>
              <w:footnoteReference w:id="50"/>
            </w:r>
          </w:p>
        </w:tc>
      </w:tr>
      <w:tr w:rsidR="003B33D6" w:rsidRPr="00E41CFD" w:rsidTr="00881BC5">
        <w:trPr>
          <w:trHeight w:val="440"/>
          <w:tblHeader/>
        </w:trPr>
        <w:tc>
          <w:tcPr>
            <w:tcW w:w="2469" w:type="dxa"/>
            <w:tcBorders>
              <w:left w:val="double" w:sz="6" w:space="0" w:color="auto"/>
              <w:bottom w:val="double" w:sz="6" w:space="0" w:color="auto"/>
              <w:right w:val="single" w:sz="18" w:space="0" w:color="auto"/>
            </w:tcBorders>
            <w:shd w:val="clear" w:color="auto" w:fill="auto"/>
          </w:tcPr>
          <w:p w:rsidR="003B33D6" w:rsidRPr="00E41CFD" w:rsidRDefault="003B33D6" w:rsidP="0088229A">
            <w:pPr>
              <w:rPr>
                <w:rFonts w:cs="Arial"/>
                <w:sz w:val="16"/>
                <w:szCs w:val="16"/>
              </w:rPr>
            </w:pPr>
          </w:p>
        </w:tc>
        <w:tc>
          <w:tcPr>
            <w:tcW w:w="1701" w:type="dxa"/>
            <w:tcBorders>
              <w:left w:val="single" w:sz="18" w:space="0" w:color="auto"/>
              <w:bottom w:val="double" w:sz="6" w:space="0" w:color="auto"/>
              <w:right w:val="single" w:sz="4" w:space="0" w:color="auto"/>
            </w:tcBorders>
            <w:shd w:val="clear" w:color="auto" w:fill="C2D69B"/>
          </w:tcPr>
          <w:p w:rsidR="003B33D6" w:rsidRPr="00E41CFD" w:rsidRDefault="003B33D6" w:rsidP="0088229A">
            <w:pPr>
              <w:rPr>
                <w:rFonts w:cs="Arial"/>
                <w:b/>
                <w:sz w:val="16"/>
                <w:szCs w:val="16"/>
              </w:rPr>
            </w:pPr>
            <w:r w:rsidRPr="00E41CFD">
              <w:rPr>
                <w:rFonts w:cs="Arial"/>
                <w:b/>
                <w:sz w:val="16"/>
                <w:szCs w:val="16"/>
              </w:rPr>
              <w:t>Pesticide POPs</w:t>
            </w:r>
          </w:p>
        </w:tc>
        <w:tc>
          <w:tcPr>
            <w:tcW w:w="567" w:type="dxa"/>
            <w:tcBorders>
              <w:left w:val="single" w:sz="4" w:space="0" w:color="auto"/>
              <w:bottom w:val="double" w:sz="6" w:space="0" w:color="auto"/>
              <w:right w:val="single" w:sz="4" w:space="0" w:color="auto"/>
            </w:tcBorders>
            <w:shd w:val="clear" w:color="auto" w:fill="C2D69B"/>
          </w:tcPr>
          <w:p w:rsidR="003B33D6" w:rsidRPr="00E41CFD" w:rsidRDefault="003B33D6" w:rsidP="0088229A">
            <w:pPr>
              <w:rPr>
                <w:rFonts w:cs="Arial"/>
                <w:b/>
                <w:sz w:val="16"/>
                <w:szCs w:val="16"/>
              </w:rPr>
            </w:pPr>
            <w:r w:rsidRPr="00E41CFD">
              <w:rPr>
                <w:rFonts w:cs="Arial"/>
                <w:b/>
                <w:sz w:val="16"/>
                <w:szCs w:val="16"/>
              </w:rPr>
              <w:t>PCB</w:t>
            </w:r>
          </w:p>
        </w:tc>
        <w:tc>
          <w:tcPr>
            <w:tcW w:w="1276" w:type="dxa"/>
            <w:tcBorders>
              <w:left w:val="single" w:sz="4" w:space="0" w:color="auto"/>
              <w:bottom w:val="double" w:sz="6" w:space="0" w:color="auto"/>
              <w:right w:val="single" w:sz="4" w:space="0" w:color="auto"/>
            </w:tcBorders>
            <w:shd w:val="clear" w:color="auto" w:fill="C2D69B"/>
          </w:tcPr>
          <w:p w:rsidR="003B33D6" w:rsidRPr="00E41CFD" w:rsidRDefault="003B33D6" w:rsidP="0088229A">
            <w:pPr>
              <w:rPr>
                <w:rFonts w:cs="Arial"/>
                <w:b/>
                <w:sz w:val="16"/>
                <w:szCs w:val="16"/>
              </w:rPr>
            </w:pPr>
            <w:r w:rsidRPr="00E41CFD">
              <w:rPr>
                <w:rFonts w:cs="Arial"/>
                <w:b/>
                <w:sz w:val="16"/>
                <w:szCs w:val="16"/>
              </w:rPr>
              <w:t>PCDDs/PCDFs</w:t>
            </w:r>
          </w:p>
        </w:tc>
        <w:tc>
          <w:tcPr>
            <w:tcW w:w="709" w:type="dxa"/>
            <w:tcBorders>
              <w:left w:val="single" w:sz="4" w:space="0" w:color="auto"/>
              <w:bottom w:val="double" w:sz="6" w:space="0" w:color="auto"/>
              <w:right w:val="single" w:sz="4" w:space="0" w:color="auto"/>
            </w:tcBorders>
            <w:shd w:val="clear" w:color="auto" w:fill="C2D69B"/>
          </w:tcPr>
          <w:p w:rsidR="003B33D6" w:rsidRPr="00E41CFD" w:rsidRDefault="003B33D6" w:rsidP="0088229A">
            <w:pPr>
              <w:rPr>
                <w:rFonts w:cs="Arial"/>
                <w:b/>
                <w:sz w:val="16"/>
                <w:szCs w:val="16"/>
              </w:rPr>
            </w:pPr>
            <w:r w:rsidRPr="00E41CFD">
              <w:rPr>
                <w:rFonts w:cs="Arial"/>
                <w:b/>
                <w:sz w:val="16"/>
                <w:szCs w:val="16"/>
              </w:rPr>
              <w:t>PFOS</w:t>
            </w:r>
          </w:p>
        </w:tc>
        <w:tc>
          <w:tcPr>
            <w:tcW w:w="1134" w:type="dxa"/>
            <w:tcBorders>
              <w:left w:val="single" w:sz="4" w:space="0" w:color="auto"/>
              <w:bottom w:val="double" w:sz="6" w:space="0" w:color="auto"/>
              <w:right w:val="single" w:sz="4" w:space="0" w:color="auto"/>
            </w:tcBorders>
            <w:shd w:val="clear" w:color="auto" w:fill="C2D69B"/>
          </w:tcPr>
          <w:p w:rsidR="003B33D6" w:rsidRPr="004449E8" w:rsidRDefault="003B33D6" w:rsidP="0088229A">
            <w:pPr>
              <w:rPr>
                <w:rFonts w:cs="Arial"/>
                <w:b/>
                <w:sz w:val="16"/>
                <w:szCs w:val="16"/>
              </w:rPr>
            </w:pPr>
            <w:r>
              <w:rPr>
                <w:rFonts w:cs="Arial"/>
                <w:b/>
                <w:sz w:val="16"/>
                <w:szCs w:val="16"/>
              </w:rPr>
              <w:t>POP</w:t>
            </w:r>
            <w:r w:rsidR="00121683">
              <w:rPr>
                <w:rFonts w:cs="Arial"/>
                <w:b/>
                <w:sz w:val="16"/>
                <w:szCs w:val="16"/>
              </w:rPr>
              <w:t>-</w:t>
            </w:r>
            <w:r w:rsidRPr="004449E8">
              <w:rPr>
                <w:rFonts w:cs="Arial"/>
                <w:b/>
                <w:sz w:val="16"/>
                <w:szCs w:val="16"/>
              </w:rPr>
              <w:t>BDEs</w:t>
            </w:r>
          </w:p>
        </w:tc>
        <w:tc>
          <w:tcPr>
            <w:tcW w:w="709" w:type="dxa"/>
            <w:tcBorders>
              <w:left w:val="single" w:sz="4" w:space="0" w:color="auto"/>
              <w:bottom w:val="double" w:sz="6" w:space="0" w:color="auto"/>
              <w:right w:val="single" w:sz="18" w:space="0" w:color="auto"/>
            </w:tcBorders>
            <w:shd w:val="clear" w:color="auto" w:fill="C2D69B"/>
          </w:tcPr>
          <w:p w:rsidR="003B33D6" w:rsidRPr="00E41CFD" w:rsidRDefault="003B33D6" w:rsidP="0088229A">
            <w:pPr>
              <w:rPr>
                <w:rFonts w:cs="Arial"/>
                <w:b/>
                <w:sz w:val="16"/>
                <w:szCs w:val="16"/>
              </w:rPr>
            </w:pPr>
            <w:r w:rsidRPr="00E41CFD">
              <w:rPr>
                <w:rFonts w:cs="Arial"/>
                <w:b/>
                <w:sz w:val="16"/>
                <w:szCs w:val="16"/>
              </w:rPr>
              <w:t>HBCD</w:t>
            </w:r>
          </w:p>
        </w:tc>
      </w:tr>
      <w:tr w:rsidR="003B33D6" w:rsidRPr="00E41CFD" w:rsidTr="003B33D6">
        <w:trPr>
          <w:trHeight w:val="852"/>
        </w:trPr>
        <w:tc>
          <w:tcPr>
            <w:tcW w:w="2469" w:type="dxa"/>
            <w:tcBorders>
              <w:top w:val="double" w:sz="6" w:space="0" w:color="auto"/>
              <w:left w:val="double" w:sz="6" w:space="0" w:color="auto"/>
              <w:right w:val="single" w:sz="18" w:space="0" w:color="auto"/>
            </w:tcBorders>
            <w:shd w:val="clear" w:color="auto" w:fill="auto"/>
          </w:tcPr>
          <w:p w:rsidR="003B33D6" w:rsidRPr="00F066EF" w:rsidRDefault="003B33D6" w:rsidP="00121683">
            <w:pPr>
              <w:numPr>
                <w:ilvl w:val="0"/>
                <w:numId w:val="41"/>
              </w:numPr>
              <w:tabs>
                <w:tab w:val="clear" w:pos="1247"/>
                <w:tab w:val="clear" w:pos="1814"/>
                <w:tab w:val="clear" w:pos="2381"/>
                <w:tab w:val="clear" w:pos="2948"/>
                <w:tab w:val="clear" w:pos="3515"/>
              </w:tabs>
              <w:ind w:left="377" w:hanging="284"/>
              <w:rPr>
                <w:rFonts w:cs="Arial"/>
                <w:sz w:val="16"/>
                <w:szCs w:val="16"/>
              </w:rPr>
            </w:pPr>
            <w:r w:rsidRPr="00F066EF">
              <w:rPr>
                <w:rFonts w:cs="Arial"/>
                <w:sz w:val="16"/>
                <w:szCs w:val="16"/>
              </w:rPr>
              <w:t xml:space="preserve">Alkali metal reduction </w:t>
            </w:r>
          </w:p>
        </w:tc>
        <w:tc>
          <w:tcPr>
            <w:tcW w:w="1701" w:type="dxa"/>
            <w:tcBorders>
              <w:top w:val="double" w:sz="6" w:space="0" w:color="auto"/>
              <w:left w:val="single" w:sz="18" w:space="0" w:color="auto"/>
              <w:right w:val="single" w:sz="4" w:space="0" w:color="auto"/>
            </w:tcBorders>
            <w:shd w:val="clear" w:color="auto" w:fill="auto"/>
          </w:tcPr>
          <w:p w:rsidR="003B33D6" w:rsidRPr="00064AA5" w:rsidRDefault="003B33D6" w:rsidP="0088229A">
            <w:pPr>
              <w:pStyle w:val="NoSpacing1"/>
              <w:rPr>
                <w:sz w:val="16"/>
                <w:szCs w:val="16"/>
              </w:rPr>
            </w:pPr>
            <w:r w:rsidRPr="00064AA5">
              <w:rPr>
                <w:sz w:val="16"/>
                <w:szCs w:val="16"/>
              </w:rPr>
              <w:t>Yes, for certain pesticides:</w:t>
            </w:r>
          </w:p>
          <w:p w:rsidR="003B33D6" w:rsidRPr="00E41CFD" w:rsidRDefault="003B33D6" w:rsidP="0088229A">
            <w:pPr>
              <w:pStyle w:val="NoSpacing1"/>
            </w:pPr>
            <w:r w:rsidRPr="00064AA5">
              <w:rPr>
                <w:sz w:val="16"/>
                <w:szCs w:val="16"/>
              </w:rPr>
              <w:t>chlordane</w:t>
            </w:r>
            <w:r w:rsidRPr="00B90888">
              <w:rPr>
                <w:sz w:val="16"/>
                <w:szCs w:val="16"/>
              </w:rPr>
              <w:t>, HC</w:t>
            </w:r>
            <w:r w:rsidR="000E115A">
              <w:rPr>
                <w:sz w:val="16"/>
                <w:szCs w:val="16"/>
              </w:rPr>
              <w:t>H</w:t>
            </w:r>
          </w:p>
        </w:tc>
        <w:tc>
          <w:tcPr>
            <w:tcW w:w="567" w:type="dxa"/>
            <w:tcBorders>
              <w:top w:val="double" w:sz="6" w:space="0" w:color="auto"/>
              <w:left w:val="single" w:sz="4" w:space="0" w:color="auto"/>
              <w:right w:val="single" w:sz="4" w:space="0" w:color="auto"/>
            </w:tcBorders>
            <w:shd w:val="clear" w:color="auto" w:fill="auto"/>
          </w:tcPr>
          <w:p w:rsidR="003B33D6" w:rsidRDefault="003B33D6" w:rsidP="0088229A">
            <w:pPr>
              <w:rPr>
                <w:rFonts w:cs="Arial"/>
                <w:sz w:val="16"/>
                <w:szCs w:val="16"/>
              </w:rPr>
            </w:pPr>
            <w:r w:rsidRPr="00E41CFD">
              <w:rPr>
                <w:rFonts w:cs="Arial"/>
                <w:sz w:val="16"/>
                <w:szCs w:val="16"/>
              </w:rPr>
              <w:t>Yes</w:t>
            </w:r>
          </w:p>
        </w:tc>
        <w:tc>
          <w:tcPr>
            <w:tcW w:w="1276" w:type="dxa"/>
            <w:tcBorders>
              <w:top w:val="double" w:sz="6" w:space="0" w:color="auto"/>
              <w:left w:val="single" w:sz="4" w:space="0" w:color="auto"/>
              <w:right w:val="single" w:sz="4" w:space="0" w:color="auto"/>
            </w:tcBorders>
            <w:shd w:val="clear" w:color="auto" w:fill="auto"/>
          </w:tcPr>
          <w:p w:rsidR="003B33D6" w:rsidRPr="00E41CFD" w:rsidRDefault="003B33D6" w:rsidP="0088229A">
            <w:pPr>
              <w:rPr>
                <w:rFonts w:cs="Arial"/>
                <w:sz w:val="16"/>
                <w:szCs w:val="16"/>
              </w:rPr>
            </w:pPr>
            <w:r>
              <w:rPr>
                <w:rFonts w:cs="Arial"/>
                <w:sz w:val="16"/>
                <w:szCs w:val="16"/>
              </w:rPr>
              <w:t>N</w:t>
            </w:r>
            <w:r w:rsidR="000366D9">
              <w:rPr>
                <w:rFonts w:cs="Arial"/>
                <w:sz w:val="16"/>
                <w:szCs w:val="16"/>
              </w:rPr>
              <w:t>.</w:t>
            </w:r>
            <w:r>
              <w:rPr>
                <w:rFonts w:cs="Arial"/>
                <w:sz w:val="16"/>
                <w:szCs w:val="16"/>
              </w:rPr>
              <w:t>D</w:t>
            </w:r>
            <w:r w:rsidR="000366D9">
              <w:rPr>
                <w:rFonts w:cs="Arial"/>
                <w:sz w:val="16"/>
                <w:szCs w:val="16"/>
              </w:rPr>
              <w:t>.</w:t>
            </w:r>
            <w:r>
              <w:rPr>
                <w:rFonts w:cs="Arial"/>
                <w:sz w:val="16"/>
                <w:szCs w:val="16"/>
              </w:rPr>
              <w:t>*</w:t>
            </w:r>
          </w:p>
        </w:tc>
        <w:tc>
          <w:tcPr>
            <w:tcW w:w="709" w:type="dxa"/>
            <w:tcBorders>
              <w:top w:val="double" w:sz="6" w:space="0" w:color="auto"/>
              <w:left w:val="single" w:sz="4" w:space="0" w:color="auto"/>
              <w:right w:val="single" w:sz="4" w:space="0" w:color="auto"/>
            </w:tcBorders>
            <w:shd w:val="clear" w:color="auto" w:fill="auto"/>
          </w:tcPr>
          <w:p w:rsidR="003B33D6" w:rsidRPr="00E41CFD" w:rsidRDefault="003B33D6" w:rsidP="0088229A">
            <w:pPr>
              <w:rPr>
                <w:rFonts w:cs="Arial"/>
                <w:sz w:val="16"/>
                <w:szCs w:val="16"/>
              </w:rPr>
            </w:pPr>
            <w:r w:rsidRPr="00E41CFD">
              <w:rPr>
                <w:rFonts w:cs="Arial"/>
                <w:sz w:val="16"/>
                <w:szCs w:val="16"/>
              </w:rPr>
              <w:t>N</w:t>
            </w:r>
            <w:r w:rsidR="000366D9">
              <w:rPr>
                <w:rFonts w:cs="Arial"/>
                <w:sz w:val="16"/>
                <w:szCs w:val="16"/>
              </w:rPr>
              <w:t>.</w:t>
            </w:r>
            <w:r w:rsidRPr="00E41CFD">
              <w:rPr>
                <w:rFonts w:cs="Arial"/>
                <w:sz w:val="16"/>
                <w:szCs w:val="16"/>
              </w:rPr>
              <w:t>D</w:t>
            </w:r>
            <w:r w:rsidR="000366D9">
              <w:rPr>
                <w:rFonts w:cs="Arial"/>
                <w:sz w:val="16"/>
                <w:szCs w:val="16"/>
              </w:rPr>
              <w:t>.</w:t>
            </w:r>
          </w:p>
        </w:tc>
        <w:tc>
          <w:tcPr>
            <w:tcW w:w="1134" w:type="dxa"/>
            <w:tcBorders>
              <w:top w:val="double" w:sz="6" w:space="0" w:color="auto"/>
              <w:left w:val="single" w:sz="4" w:space="0" w:color="auto"/>
              <w:right w:val="single" w:sz="4" w:space="0" w:color="auto"/>
            </w:tcBorders>
            <w:shd w:val="clear" w:color="auto" w:fill="auto"/>
          </w:tcPr>
          <w:p w:rsidR="003B33D6" w:rsidRPr="00E41CFD" w:rsidRDefault="003B33D6" w:rsidP="0088229A">
            <w:pPr>
              <w:rPr>
                <w:rFonts w:cs="Arial"/>
                <w:sz w:val="16"/>
                <w:szCs w:val="16"/>
              </w:rPr>
            </w:pPr>
            <w:r w:rsidRPr="00E41CFD">
              <w:rPr>
                <w:rFonts w:cs="Arial"/>
                <w:sz w:val="16"/>
                <w:szCs w:val="16"/>
              </w:rPr>
              <w:t>N</w:t>
            </w:r>
            <w:r w:rsidR="002106B3">
              <w:rPr>
                <w:rFonts w:cs="Arial"/>
                <w:sz w:val="16"/>
                <w:szCs w:val="16"/>
              </w:rPr>
              <w:t>.</w:t>
            </w:r>
            <w:r w:rsidRPr="00E41CFD">
              <w:rPr>
                <w:rFonts w:cs="Arial"/>
                <w:sz w:val="16"/>
                <w:szCs w:val="16"/>
              </w:rPr>
              <w:t>D</w:t>
            </w:r>
            <w:r w:rsidR="002106B3">
              <w:rPr>
                <w:rFonts w:cs="Arial"/>
                <w:sz w:val="16"/>
                <w:szCs w:val="16"/>
              </w:rPr>
              <w:t>.</w:t>
            </w:r>
          </w:p>
        </w:tc>
        <w:tc>
          <w:tcPr>
            <w:tcW w:w="709" w:type="dxa"/>
            <w:tcBorders>
              <w:top w:val="double" w:sz="6" w:space="0" w:color="auto"/>
              <w:left w:val="single" w:sz="4" w:space="0" w:color="auto"/>
              <w:right w:val="single" w:sz="18" w:space="0" w:color="auto"/>
            </w:tcBorders>
            <w:shd w:val="clear" w:color="auto" w:fill="auto"/>
          </w:tcPr>
          <w:p w:rsidR="003B33D6" w:rsidRPr="00E41CFD" w:rsidRDefault="003B33D6" w:rsidP="0088229A">
            <w:pPr>
              <w:rPr>
                <w:rFonts w:cs="Arial"/>
                <w:sz w:val="16"/>
                <w:szCs w:val="16"/>
              </w:rPr>
            </w:pPr>
            <w:r w:rsidRPr="00E41CFD">
              <w:rPr>
                <w:rFonts w:cs="Arial"/>
                <w:sz w:val="16"/>
                <w:szCs w:val="16"/>
              </w:rPr>
              <w:t>N</w:t>
            </w:r>
            <w:r w:rsidR="002106B3">
              <w:rPr>
                <w:rFonts w:cs="Arial"/>
                <w:sz w:val="16"/>
                <w:szCs w:val="16"/>
              </w:rPr>
              <w:t>.</w:t>
            </w:r>
            <w:r w:rsidRPr="00E41CFD">
              <w:rPr>
                <w:rFonts w:cs="Arial"/>
                <w:sz w:val="16"/>
                <w:szCs w:val="16"/>
              </w:rPr>
              <w:t>D</w:t>
            </w:r>
            <w:r w:rsidR="002106B3">
              <w:rPr>
                <w:rFonts w:cs="Arial"/>
                <w:sz w:val="16"/>
                <w:szCs w:val="16"/>
              </w:rPr>
              <w:t>.</w:t>
            </w:r>
          </w:p>
        </w:tc>
      </w:tr>
      <w:tr w:rsidR="00D945F1" w:rsidRPr="00E41CFD" w:rsidTr="00D945F1">
        <w:trPr>
          <w:trHeight w:val="375"/>
        </w:trPr>
        <w:tc>
          <w:tcPr>
            <w:tcW w:w="2469" w:type="dxa"/>
            <w:tcBorders>
              <w:left w:val="double" w:sz="6" w:space="0" w:color="auto"/>
              <w:right w:val="single" w:sz="18" w:space="0" w:color="auto"/>
            </w:tcBorders>
            <w:shd w:val="clear" w:color="auto" w:fill="auto"/>
          </w:tcPr>
          <w:p w:rsidR="00D945F1" w:rsidRPr="007657AF" w:rsidRDefault="00D945F1" w:rsidP="00D945F1">
            <w:pPr>
              <w:numPr>
                <w:ilvl w:val="0"/>
                <w:numId w:val="41"/>
              </w:numPr>
              <w:tabs>
                <w:tab w:val="clear" w:pos="1247"/>
                <w:tab w:val="clear" w:pos="1814"/>
                <w:tab w:val="clear" w:pos="2381"/>
                <w:tab w:val="clear" w:pos="2948"/>
                <w:tab w:val="clear" w:pos="3515"/>
              </w:tabs>
              <w:ind w:left="377" w:hanging="284"/>
              <w:rPr>
                <w:rFonts w:cs="Arial"/>
                <w:sz w:val="16"/>
                <w:szCs w:val="16"/>
              </w:rPr>
            </w:pPr>
            <w:r w:rsidRPr="007657AF">
              <w:rPr>
                <w:rFonts w:cs="Arial"/>
                <w:sz w:val="16"/>
                <w:szCs w:val="16"/>
              </w:rPr>
              <w:t>Advanced Solid waste incineration (ASWI)</w:t>
            </w:r>
          </w:p>
        </w:tc>
        <w:tc>
          <w:tcPr>
            <w:tcW w:w="1701" w:type="dxa"/>
            <w:tcBorders>
              <w:left w:val="single" w:sz="18" w:space="0" w:color="auto"/>
              <w:right w:val="single" w:sz="4" w:space="0" w:color="auto"/>
            </w:tcBorders>
            <w:shd w:val="clear" w:color="auto" w:fill="auto"/>
          </w:tcPr>
          <w:p w:rsidR="00D945F1" w:rsidRPr="007657AF" w:rsidRDefault="00D945F1" w:rsidP="00D945F1">
            <w:pPr>
              <w:rPr>
                <w:rFonts w:cs="Arial"/>
                <w:sz w:val="16"/>
                <w:szCs w:val="16"/>
              </w:rPr>
            </w:pPr>
            <w:r w:rsidRPr="007657AF">
              <w:rPr>
                <w:rFonts w:cs="Arial"/>
                <w:sz w:val="16"/>
                <w:szCs w:val="16"/>
              </w:rPr>
              <w:t>N</w:t>
            </w:r>
            <w:r w:rsidR="000A6E9B">
              <w:rPr>
                <w:rFonts w:cs="Arial"/>
                <w:sz w:val="16"/>
                <w:szCs w:val="16"/>
              </w:rPr>
              <w:t>.</w:t>
            </w:r>
            <w:r w:rsidRPr="007657AF">
              <w:rPr>
                <w:rFonts w:cs="Arial"/>
                <w:sz w:val="16"/>
                <w:szCs w:val="16"/>
              </w:rPr>
              <w:t>D</w:t>
            </w:r>
            <w:r w:rsidR="000A6E9B">
              <w:rPr>
                <w:rFonts w:cs="Arial"/>
                <w:sz w:val="16"/>
                <w:szCs w:val="16"/>
              </w:rPr>
              <w:t>.</w:t>
            </w:r>
          </w:p>
        </w:tc>
        <w:tc>
          <w:tcPr>
            <w:tcW w:w="567" w:type="dxa"/>
            <w:tcBorders>
              <w:left w:val="single" w:sz="4" w:space="0" w:color="auto"/>
              <w:right w:val="single" w:sz="4" w:space="0" w:color="auto"/>
            </w:tcBorders>
            <w:shd w:val="clear" w:color="auto" w:fill="auto"/>
          </w:tcPr>
          <w:p w:rsidR="00D945F1" w:rsidRPr="007657AF" w:rsidRDefault="00D945F1" w:rsidP="00D945F1">
            <w:pPr>
              <w:rPr>
                <w:rFonts w:cs="Arial"/>
                <w:sz w:val="16"/>
                <w:szCs w:val="16"/>
              </w:rPr>
            </w:pPr>
            <w:r w:rsidRPr="007657AF">
              <w:rPr>
                <w:rFonts w:cs="Arial"/>
                <w:sz w:val="16"/>
                <w:szCs w:val="16"/>
              </w:rPr>
              <w:t>N</w:t>
            </w:r>
            <w:r w:rsidR="000A6E9B">
              <w:rPr>
                <w:rFonts w:cs="Arial"/>
                <w:sz w:val="16"/>
                <w:szCs w:val="16"/>
              </w:rPr>
              <w:t>.</w:t>
            </w:r>
            <w:r w:rsidRPr="007657AF">
              <w:rPr>
                <w:rFonts w:cs="Arial"/>
                <w:sz w:val="16"/>
                <w:szCs w:val="16"/>
              </w:rPr>
              <w:t>D</w:t>
            </w:r>
            <w:r w:rsidR="000A6E9B">
              <w:rPr>
                <w:rFonts w:cs="Arial"/>
                <w:sz w:val="16"/>
                <w:szCs w:val="16"/>
              </w:rPr>
              <w:t>.</w:t>
            </w:r>
          </w:p>
        </w:tc>
        <w:tc>
          <w:tcPr>
            <w:tcW w:w="1276" w:type="dxa"/>
            <w:tcBorders>
              <w:left w:val="single" w:sz="4" w:space="0" w:color="auto"/>
              <w:right w:val="single" w:sz="4" w:space="0" w:color="auto"/>
            </w:tcBorders>
            <w:shd w:val="clear" w:color="auto" w:fill="auto"/>
          </w:tcPr>
          <w:p w:rsidR="00D945F1" w:rsidRPr="007657AF" w:rsidRDefault="00D945F1" w:rsidP="00D945F1">
            <w:pPr>
              <w:rPr>
                <w:rFonts w:cs="Arial"/>
                <w:sz w:val="16"/>
                <w:szCs w:val="16"/>
              </w:rPr>
            </w:pPr>
            <w:r w:rsidRPr="007657AF">
              <w:rPr>
                <w:rFonts w:cs="Arial"/>
                <w:sz w:val="16"/>
                <w:szCs w:val="16"/>
              </w:rPr>
              <w:t>N</w:t>
            </w:r>
            <w:r w:rsidR="000A6E9B">
              <w:rPr>
                <w:rFonts w:cs="Arial"/>
                <w:sz w:val="16"/>
                <w:szCs w:val="16"/>
              </w:rPr>
              <w:t>.</w:t>
            </w:r>
            <w:r w:rsidRPr="007657AF">
              <w:rPr>
                <w:rFonts w:cs="Arial"/>
                <w:sz w:val="16"/>
                <w:szCs w:val="16"/>
              </w:rPr>
              <w:t>D</w:t>
            </w:r>
            <w:r w:rsidR="000A6E9B">
              <w:rPr>
                <w:rFonts w:cs="Arial"/>
                <w:sz w:val="16"/>
                <w:szCs w:val="16"/>
              </w:rPr>
              <w:t>.</w:t>
            </w:r>
          </w:p>
        </w:tc>
        <w:tc>
          <w:tcPr>
            <w:tcW w:w="709" w:type="dxa"/>
            <w:tcBorders>
              <w:left w:val="single" w:sz="4" w:space="0" w:color="auto"/>
              <w:right w:val="single" w:sz="4" w:space="0" w:color="auto"/>
            </w:tcBorders>
            <w:shd w:val="clear" w:color="auto" w:fill="auto"/>
          </w:tcPr>
          <w:p w:rsidR="00D945F1" w:rsidRPr="007657AF" w:rsidRDefault="00D945F1" w:rsidP="00D945F1">
            <w:pPr>
              <w:rPr>
                <w:rFonts w:cs="Arial"/>
                <w:sz w:val="16"/>
                <w:szCs w:val="16"/>
              </w:rPr>
            </w:pPr>
            <w:r w:rsidRPr="007657AF">
              <w:rPr>
                <w:rFonts w:cs="Arial"/>
                <w:sz w:val="16"/>
                <w:szCs w:val="16"/>
              </w:rPr>
              <w:t>N</w:t>
            </w:r>
            <w:r w:rsidR="000A6E9B">
              <w:rPr>
                <w:rFonts w:cs="Arial"/>
                <w:sz w:val="16"/>
                <w:szCs w:val="16"/>
              </w:rPr>
              <w:t>.</w:t>
            </w:r>
            <w:r w:rsidRPr="007657AF">
              <w:rPr>
                <w:rFonts w:cs="Arial"/>
                <w:sz w:val="16"/>
                <w:szCs w:val="16"/>
              </w:rPr>
              <w:t>D</w:t>
            </w:r>
            <w:r w:rsidR="000A6E9B">
              <w:rPr>
                <w:rFonts w:cs="Arial"/>
                <w:sz w:val="16"/>
                <w:szCs w:val="16"/>
              </w:rPr>
              <w:t>.</w:t>
            </w:r>
          </w:p>
        </w:tc>
        <w:tc>
          <w:tcPr>
            <w:tcW w:w="1134" w:type="dxa"/>
            <w:tcBorders>
              <w:left w:val="single" w:sz="4" w:space="0" w:color="auto"/>
              <w:right w:val="single" w:sz="4" w:space="0" w:color="auto"/>
            </w:tcBorders>
            <w:shd w:val="clear" w:color="auto" w:fill="auto"/>
          </w:tcPr>
          <w:p w:rsidR="00D945F1" w:rsidRPr="007657AF" w:rsidRDefault="00D945F1" w:rsidP="00D945F1">
            <w:pPr>
              <w:rPr>
                <w:rFonts w:cs="Arial"/>
                <w:sz w:val="16"/>
                <w:szCs w:val="16"/>
              </w:rPr>
            </w:pPr>
            <w:r w:rsidRPr="007657AF">
              <w:rPr>
                <w:rFonts w:cs="Arial"/>
                <w:sz w:val="16"/>
                <w:szCs w:val="16"/>
              </w:rPr>
              <w:t>N</w:t>
            </w:r>
            <w:r w:rsidR="000A6E9B">
              <w:rPr>
                <w:rFonts w:cs="Arial"/>
                <w:sz w:val="16"/>
                <w:szCs w:val="16"/>
              </w:rPr>
              <w:t>.</w:t>
            </w:r>
            <w:r w:rsidRPr="007657AF">
              <w:rPr>
                <w:rFonts w:cs="Arial"/>
                <w:sz w:val="16"/>
                <w:szCs w:val="16"/>
              </w:rPr>
              <w:t>D</w:t>
            </w:r>
            <w:r w:rsidR="000A6E9B">
              <w:rPr>
                <w:rFonts w:cs="Arial"/>
                <w:sz w:val="16"/>
                <w:szCs w:val="16"/>
              </w:rPr>
              <w:t>.</w:t>
            </w:r>
          </w:p>
        </w:tc>
        <w:tc>
          <w:tcPr>
            <w:tcW w:w="709" w:type="dxa"/>
            <w:tcBorders>
              <w:left w:val="single" w:sz="4" w:space="0" w:color="auto"/>
              <w:right w:val="single" w:sz="18" w:space="0" w:color="auto"/>
            </w:tcBorders>
            <w:shd w:val="clear" w:color="auto" w:fill="auto"/>
          </w:tcPr>
          <w:p w:rsidR="00D945F1" w:rsidRPr="007657AF" w:rsidRDefault="00D945F1" w:rsidP="00D945F1">
            <w:pPr>
              <w:rPr>
                <w:rFonts w:cs="Arial"/>
                <w:sz w:val="16"/>
                <w:szCs w:val="16"/>
              </w:rPr>
            </w:pPr>
            <w:r w:rsidRPr="007657AF">
              <w:rPr>
                <w:rFonts w:cs="Arial"/>
                <w:sz w:val="16"/>
                <w:szCs w:val="16"/>
              </w:rPr>
              <w:t>Yes</w:t>
            </w:r>
          </w:p>
        </w:tc>
      </w:tr>
      <w:tr w:rsidR="003B33D6" w:rsidRPr="00E41CFD" w:rsidTr="003B33D6">
        <w:trPr>
          <w:trHeight w:val="608"/>
        </w:trPr>
        <w:tc>
          <w:tcPr>
            <w:tcW w:w="2469" w:type="dxa"/>
            <w:tcBorders>
              <w:left w:val="double" w:sz="6" w:space="0" w:color="auto"/>
              <w:right w:val="single" w:sz="18" w:space="0" w:color="auto"/>
            </w:tcBorders>
            <w:shd w:val="clear" w:color="auto" w:fill="auto"/>
          </w:tcPr>
          <w:p w:rsidR="003B33D6" w:rsidRPr="007657AF" w:rsidRDefault="003B33D6" w:rsidP="00121683">
            <w:pPr>
              <w:numPr>
                <w:ilvl w:val="0"/>
                <w:numId w:val="41"/>
              </w:numPr>
              <w:tabs>
                <w:tab w:val="clear" w:pos="1247"/>
                <w:tab w:val="clear" w:pos="1814"/>
                <w:tab w:val="clear" w:pos="2381"/>
                <w:tab w:val="clear" w:pos="2948"/>
                <w:tab w:val="clear" w:pos="3515"/>
              </w:tabs>
              <w:ind w:left="377" w:hanging="284"/>
              <w:rPr>
                <w:rFonts w:cs="Arial"/>
                <w:sz w:val="16"/>
                <w:szCs w:val="16"/>
              </w:rPr>
            </w:pPr>
            <w:r w:rsidRPr="007657AF">
              <w:rPr>
                <w:rFonts w:cs="Arial"/>
                <w:sz w:val="16"/>
                <w:szCs w:val="16"/>
              </w:rPr>
              <w:t>Base catalyzed decomposition (BCD)</w:t>
            </w:r>
          </w:p>
        </w:tc>
        <w:tc>
          <w:tcPr>
            <w:tcW w:w="1701" w:type="dxa"/>
            <w:tcBorders>
              <w:left w:val="single" w:sz="18" w:space="0" w:color="auto"/>
              <w:right w:val="single" w:sz="4" w:space="0" w:color="auto"/>
            </w:tcBorders>
            <w:shd w:val="clear" w:color="auto" w:fill="auto"/>
          </w:tcPr>
          <w:p w:rsidR="003B33D6" w:rsidRPr="007657AF" w:rsidRDefault="003B33D6" w:rsidP="0088229A">
            <w:pPr>
              <w:rPr>
                <w:rFonts w:cs="Arial"/>
                <w:sz w:val="16"/>
                <w:szCs w:val="16"/>
              </w:rPr>
            </w:pPr>
            <w:r w:rsidRPr="007657AF">
              <w:rPr>
                <w:rFonts w:cs="Arial"/>
                <w:sz w:val="16"/>
                <w:szCs w:val="16"/>
              </w:rPr>
              <w:t>Yes, for certain pesticides:</w:t>
            </w:r>
          </w:p>
          <w:p w:rsidR="003B33D6" w:rsidRPr="007657AF" w:rsidRDefault="003B33D6" w:rsidP="0088229A">
            <w:pPr>
              <w:rPr>
                <w:rFonts w:cs="Arial"/>
                <w:sz w:val="16"/>
                <w:szCs w:val="16"/>
              </w:rPr>
            </w:pPr>
            <w:r w:rsidRPr="007657AF">
              <w:rPr>
                <w:rFonts w:cs="Arial"/>
                <w:sz w:val="16"/>
                <w:szCs w:val="16"/>
              </w:rPr>
              <w:t>chlordane,</w:t>
            </w:r>
            <w:r w:rsidR="00D26435" w:rsidRPr="007657AF">
              <w:rPr>
                <w:rFonts w:cs="Arial"/>
                <w:sz w:val="16"/>
                <w:szCs w:val="16"/>
              </w:rPr>
              <w:t xml:space="preserve"> HCH</w:t>
            </w:r>
            <w:r w:rsidRPr="007657AF">
              <w:rPr>
                <w:rFonts w:cs="Arial"/>
                <w:sz w:val="16"/>
                <w:szCs w:val="16"/>
              </w:rPr>
              <w:t xml:space="preserve"> </w:t>
            </w:r>
          </w:p>
          <w:p w:rsidR="003B33D6" w:rsidRPr="007657AF" w:rsidRDefault="003B33D6" w:rsidP="0088229A">
            <w:pPr>
              <w:rPr>
                <w:rFonts w:cs="Arial"/>
                <w:sz w:val="16"/>
                <w:szCs w:val="16"/>
              </w:rPr>
            </w:pPr>
            <w:r w:rsidRPr="007657AF">
              <w:rPr>
                <w:rFonts w:cs="Arial"/>
                <w:sz w:val="16"/>
                <w:szCs w:val="16"/>
              </w:rPr>
              <w:t xml:space="preserve">DDT </w:t>
            </w:r>
          </w:p>
          <w:p w:rsidR="003B33D6" w:rsidRPr="007657AF" w:rsidRDefault="003B33D6" w:rsidP="0088229A">
            <w:pPr>
              <w:rPr>
                <w:rFonts w:cs="Arial"/>
                <w:sz w:val="16"/>
                <w:szCs w:val="16"/>
              </w:rPr>
            </w:pPr>
          </w:p>
        </w:tc>
        <w:tc>
          <w:tcPr>
            <w:tcW w:w="567" w:type="dxa"/>
            <w:tcBorders>
              <w:left w:val="single" w:sz="4" w:space="0" w:color="auto"/>
              <w:right w:val="single" w:sz="4" w:space="0" w:color="auto"/>
            </w:tcBorders>
            <w:shd w:val="clear" w:color="auto" w:fill="auto"/>
          </w:tcPr>
          <w:p w:rsidR="003B33D6" w:rsidRPr="007657AF" w:rsidRDefault="003B33D6" w:rsidP="0088229A">
            <w:pPr>
              <w:rPr>
                <w:rFonts w:cs="Arial"/>
                <w:sz w:val="16"/>
                <w:szCs w:val="16"/>
              </w:rPr>
            </w:pPr>
            <w:r w:rsidRPr="007657AF">
              <w:rPr>
                <w:rFonts w:cs="Arial"/>
                <w:sz w:val="16"/>
                <w:szCs w:val="16"/>
              </w:rPr>
              <w:t>Yes</w:t>
            </w:r>
          </w:p>
        </w:tc>
        <w:tc>
          <w:tcPr>
            <w:tcW w:w="1276" w:type="dxa"/>
            <w:tcBorders>
              <w:left w:val="single" w:sz="4" w:space="0" w:color="auto"/>
              <w:right w:val="single" w:sz="4" w:space="0" w:color="auto"/>
            </w:tcBorders>
            <w:shd w:val="clear" w:color="auto" w:fill="auto"/>
          </w:tcPr>
          <w:p w:rsidR="003B33D6" w:rsidRPr="007657AF" w:rsidRDefault="003B33D6" w:rsidP="0088229A">
            <w:pPr>
              <w:rPr>
                <w:rFonts w:cs="Arial"/>
                <w:sz w:val="16"/>
                <w:szCs w:val="16"/>
              </w:rPr>
            </w:pPr>
            <w:r w:rsidRPr="007657AF">
              <w:rPr>
                <w:rFonts w:cs="Arial"/>
                <w:sz w:val="16"/>
                <w:szCs w:val="16"/>
              </w:rPr>
              <w:t>Yes</w:t>
            </w:r>
          </w:p>
        </w:tc>
        <w:tc>
          <w:tcPr>
            <w:tcW w:w="709" w:type="dxa"/>
            <w:tcBorders>
              <w:left w:val="single" w:sz="4" w:space="0" w:color="auto"/>
              <w:right w:val="single" w:sz="4" w:space="0" w:color="auto"/>
            </w:tcBorders>
            <w:shd w:val="clear" w:color="auto" w:fill="auto"/>
          </w:tcPr>
          <w:p w:rsidR="003B33D6" w:rsidRPr="007657AF" w:rsidRDefault="003B33D6" w:rsidP="0088229A">
            <w:pPr>
              <w:rPr>
                <w:rFonts w:cs="Arial"/>
                <w:sz w:val="16"/>
                <w:szCs w:val="16"/>
              </w:rPr>
            </w:pPr>
            <w:r w:rsidRPr="007657AF">
              <w:rPr>
                <w:rFonts w:cs="Arial"/>
                <w:sz w:val="16"/>
                <w:szCs w:val="16"/>
              </w:rPr>
              <w:t>N</w:t>
            </w:r>
            <w:r w:rsidR="000A6E9B">
              <w:rPr>
                <w:rFonts w:cs="Arial"/>
                <w:sz w:val="16"/>
                <w:szCs w:val="16"/>
              </w:rPr>
              <w:t>.</w:t>
            </w:r>
            <w:r w:rsidRPr="007657AF">
              <w:rPr>
                <w:rFonts w:cs="Arial"/>
                <w:sz w:val="16"/>
                <w:szCs w:val="16"/>
              </w:rPr>
              <w:t>D</w:t>
            </w:r>
            <w:r w:rsidR="000A6E9B">
              <w:rPr>
                <w:rFonts w:cs="Arial"/>
                <w:sz w:val="16"/>
                <w:szCs w:val="16"/>
              </w:rPr>
              <w:t>.</w:t>
            </w:r>
          </w:p>
        </w:tc>
        <w:tc>
          <w:tcPr>
            <w:tcW w:w="1134" w:type="dxa"/>
            <w:tcBorders>
              <w:left w:val="single" w:sz="4" w:space="0" w:color="auto"/>
              <w:right w:val="single" w:sz="4" w:space="0" w:color="auto"/>
            </w:tcBorders>
            <w:shd w:val="clear" w:color="auto" w:fill="auto"/>
          </w:tcPr>
          <w:p w:rsidR="003B33D6" w:rsidRPr="007657AF" w:rsidRDefault="003B33D6" w:rsidP="0088229A">
            <w:pPr>
              <w:rPr>
                <w:rFonts w:cs="Arial"/>
                <w:sz w:val="16"/>
                <w:szCs w:val="16"/>
              </w:rPr>
            </w:pPr>
            <w:r w:rsidRPr="007657AF">
              <w:rPr>
                <w:rFonts w:cs="Arial"/>
                <w:sz w:val="16"/>
                <w:szCs w:val="16"/>
              </w:rPr>
              <w:t>N</w:t>
            </w:r>
            <w:r w:rsidR="000A6E9B">
              <w:rPr>
                <w:rFonts w:cs="Arial"/>
                <w:sz w:val="16"/>
                <w:szCs w:val="16"/>
              </w:rPr>
              <w:t>.</w:t>
            </w:r>
            <w:r w:rsidRPr="007657AF">
              <w:rPr>
                <w:rFonts w:cs="Arial"/>
                <w:sz w:val="16"/>
                <w:szCs w:val="16"/>
              </w:rPr>
              <w:t>D</w:t>
            </w:r>
            <w:r w:rsidR="000A6E9B">
              <w:rPr>
                <w:rFonts w:cs="Arial"/>
                <w:sz w:val="16"/>
                <w:szCs w:val="16"/>
              </w:rPr>
              <w:t>.</w:t>
            </w:r>
          </w:p>
        </w:tc>
        <w:tc>
          <w:tcPr>
            <w:tcW w:w="709" w:type="dxa"/>
            <w:tcBorders>
              <w:left w:val="single" w:sz="4" w:space="0" w:color="auto"/>
              <w:right w:val="single" w:sz="18" w:space="0" w:color="auto"/>
            </w:tcBorders>
            <w:shd w:val="clear" w:color="auto" w:fill="auto"/>
          </w:tcPr>
          <w:p w:rsidR="003B33D6" w:rsidRPr="007657AF" w:rsidRDefault="003B33D6" w:rsidP="0088229A">
            <w:pPr>
              <w:rPr>
                <w:rFonts w:cs="Arial"/>
                <w:sz w:val="16"/>
                <w:szCs w:val="16"/>
              </w:rPr>
            </w:pPr>
            <w:r w:rsidRPr="007657AF">
              <w:rPr>
                <w:rFonts w:cs="Arial"/>
                <w:sz w:val="16"/>
                <w:szCs w:val="16"/>
              </w:rPr>
              <w:t>N</w:t>
            </w:r>
            <w:r w:rsidR="000A6E9B">
              <w:rPr>
                <w:rFonts w:cs="Arial"/>
                <w:sz w:val="16"/>
                <w:szCs w:val="16"/>
              </w:rPr>
              <w:t>.</w:t>
            </w:r>
            <w:r w:rsidRPr="007657AF">
              <w:rPr>
                <w:rFonts w:cs="Arial"/>
                <w:sz w:val="16"/>
                <w:szCs w:val="16"/>
              </w:rPr>
              <w:t>D</w:t>
            </w:r>
            <w:r w:rsidR="000A6E9B">
              <w:rPr>
                <w:rFonts w:cs="Arial"/>
                <w:sz w:val="16"/>
                <w:szCs w:val="16"/>
              </w:rPr>
              <w:t>.</w:t>
            </w:r>
          </w:p>
        </w:tc>
      </w:tr>
      <w:tr w:rsidR="003B33D6" w:rsidRPr="00E41CFD" w:rsidTr="003B33D6">
        <w:trPr>
          <w:trHeight w:val="450"/>
        </w:trPr>
        <w:tc>
          <w:tcPr>
            <w:tcW w:w="2469" w:type="dxa"/>
            <w:tcBorders>
              <w:left w:val="double" w:sz="6" w:space="0" w:color="auto"/>
              <w:right w:val="single" w:sz="18" w:space="0" w:color="auto"/>
            </w:tcBorders>
            <w:shd w:val="clear" w:color="auto" w:fill="auto"/>
          </w:tcPr>
          <w:p w:rsidR="003B33D6" w:rsidRPr="007657AF" w:rsidRDefault="003B33D6" w:rsidP="00121683">
            <w:pPr>
              <w:numPr>
                <w:ilvl w:val="0"/>
                <w:numId w:val="41"/>
              </w:numPr>
              <w:tabs>
                <w:tab w:val="clear" w:pos="1247"/>
                <w:tab w:val="clear" w:pos="1814"/>
                <w:tab w:val="clear" w:pos="2381"/>
                <w:tab w:val="clear" w:pos="2948"/>
                <w:tab w:val="clear" w:pos="3515"/>
              </w:tabs>
              <w:ind w:left="377" w:hanging="284"/>
              <w:rPr>
                <w:rFonts w:cs="Arial"/>
                <w:sz w:val="16"/>
                <w:szCs w:val="16"/>
              </w:rPr>
            </w:pPr>
            <w:r w:rsidRPr="007657AF">
              <w:rPr>
                <w:rFonts w:cs="Arial"/>
                <w:sz w:val="16"/>
                <w:szCs w:val="16"/>
              </w:rPr>
              <w:t xml:space="preserve">Catalytic </w:t>
            </w:r>
            <w:proofErr w:type="spellStart"/>
            <w:r w:rsidRPr="007657AF">
              <w:rPr>
                <w:rFonts w:cs="Arial"/>
                <w:sz w:val="16"/>
                <w:szCs w:val="16"/>
              </w:rPr>
              <w:t>hydrodechlorination</w:t>
            </w:r>
            <w:proofErr w:type="spellEnd"/>
            <w:r w:rsidRPr="007657AF">
              <w:rPr>
                <w:rFonts w:cs="Arial"/>
                <w:sz w:val="16"/>
                <w:szCs w:val="16"/>
              </w:rPr>
              <w:t xml:space="preserve"> (CHD)</w:t>
            </w:r>
          </w:p>
        </w:tc>
        <w:tc>
          <w:tcPr>
            <w:tcW w:w="1701" w:type="dxa"/>
            <w:tcBorders>
              <w:left w:val="single" w:sz="18" w:space="0" w:color="auto"/>
              <w:right w:val="single" w:sz="4" w:space="0" w:color="auto"/>
            </w:tcBorders>
            <w:shd w:val="clear" w:color="auto" w:fill="auto"/>
          </w:tcPr>
          <w:p w:rsidR="003B33D6" w:rsidRPr="007657AF" w:rsidRDefault="003B33D6" w:rsidP="0088229A">
            <w:pPr>
              <w:rPr>
                <w:rFonts w:cs="Arial"/>
                <w:sz w:val="16"/>
                <w:szCs w:val="16"/>
              </w:rPr>
            </w:pPr>
            <w:r w:rsidRPr="007657AF">
              <w:rPr>
                <w:rFonts w:cs="Arial"/>
                <w:sz w:val="16"/>
                <w:szCs w:val="16"/>
              </w:rPr>
              <w:t>N</w:t>
            </w:r>
            <w:r w:rsidR="000A6E9B">
              <w:rPr>
                <w:rFonts w:cs="Arial"/>
                <w:sz w:val="16"/>
                <w:szCs w:val="16"/>
              </w:rPr>
              <w:t>.</w:t>
            </w:r>
            <w:r w:rsidRPr="007657AF">
              <w:rPr>
                <w:rFonts w:cs="Arial"/>
                <w:sz w:val="16"/>
                <w:szCs w:val="16"/>
              </w:rPr>
              <w:t>D</w:t>
            </w:r>
            <w:r w:rsidR="000A6E9B">
              <w:rPr>
                <w:rFonts w:cs="Arial"/>
                <w:sz w:val="16"/>
                <w:szCs w:val="16"/>
              </w:rPr>
              <w:t>.</w:t>
            </w:r>
            <w:r w:rsidRPr="007657AF">
              <w:rPr>
                <w:rFonts w:cs="Arial"/>
                <w:sz w:val="16"/>
                <w:szCs w:val="16"/>
              </w:rPr>
              <w:t xml:space="preserve"> </w:t>
            </w:r>
          </w:p>
        </w:tc>
        <w:tc>
          <w:tcPr>
            <w:tcW w:w="567" w:type="dxa"/>
            <w:tcBorders>
              <w:left w:val="single" w:sz="4" w:space="0" w:color="auto"/>
              <w:right w:val="single" w:sz="4" w:space="0" w:color="auto"/>
            </w:tcBorders>
            <w:shd w:val="clear" w:color="auto" w:fill="auto"/>
          </w:tcPr>
          <w:p w:rsidR="003B33D6" w:rsidRPr="007657AF" w:rsidRDefault="003B33D6" w:rsidP="0088229A">
            <w:pPr>
              <w:rPr>
                <w:rFonts w:cs="Arial"/>
                <w:sz w:val="16"/>
                <w:szCs w:val="16"/>
              </w:rPr>
            </w:pPr>
            <w:r w:rsidRPr="007657AF">
              <w:rPr>
                <w:rFonts w:cs="Arial"/>
                <w:sz w:val="16"/>
                <w:szCs w:val="16"/>
              </w:rPr>
              <w:t>Yes</w:t>
            </w:r>
          </w:p>
        </w:tc>
        <w:tc>
          <w:tcPr>
            <w:tcW w:w="1276" w:type="dxa"/>
            <w:tcBorders>
              <w:left w:val="single" w:sz="4" w:space="0" w:color="auto"/>
              <w:right w:val="single" w:sz="4" w:space="0" w:color="auto"/>
            </w:tcBorders>
            <w:shd w:val="clear" w:color="auto" w:fill="auto"/>
          </w:tcPr>
          <w:p w:rsidR="003B33D6" w:rsidRPr="007657AF" w:rsidRDefault="003B33D6" w:rsidP="0088229A">
            <w:pPr>
              <w:rPr>
                <w:rFonts w:cs="Arial"/>
                <w:sz w:val="16"/>
                <w:szCs w:val="16"/>
              </w:rPr>
            </w:pPr>
            <w:r w:rsidRPr="007657AF">
              <w:rPr>
                <w:rFonts w:cs="Arial"/>
                <w:sz w:val="16"/>
                <w:szCs w:val="16"/>
              </w:rPr>
              <w:t xml:space="preserve">Yes </w:t>
            </w:r>
          </w:p>
        </w:tc>
        <w:tc>
          <w:tcPr>
            <w:tcW w:w="709" w:type="dxa"/>
            <w:tcBorders>
              <w:left w:val="single" w:sz="4" w:space="0" w:color="auto"/>
              <w:right w:val="single" w:sz="4" w:space="0" w:color="auto"/>
            </w:tcBorders>
            <w:shd w:val="clear" w:color="auto" w:fill="auto"/>
          </w:tcPr>
          <w:p w:rsidR="003B33D6" w:rsidRPr="007657AF" w:rsidRDefault="003B33D6" w:rsidP="007B6AF2">
            <w:pPr>
              <w:rPr>
                <w:rFonts w:cs="Arial"/>
                <w:sz w:val="16"/>
                <w:szCs w:val="16"/>
              </w:rPr>
            </w:pPr>
            <w:r w:rsidRPr="007657AF">
              <w:rPr>
                <w:rFonts w:cs="Arial"/>
                <w:sz w:val="16"/>
                <w:szCs w:val="16"/>
              </w:rPr>
              <w:t>N</w:t>
            </w:r>
            <w:r w:rsidR="007B6AF2" w:rsidRPr="007657AF">
              <w:rPr>
                <w:rFonts w:cs="Arial"/>
                <w:sz w:val="16"/>
                <w:szCs w:val="16"/>
              </w:rPr>
              <w:t>.A.</w:t>
            </w:r>
            <w:r w:rsidR="004756B6">
              <w:rPr>
                <w:rFonts w:cs="Arial"/>
                <w:sz w:val="16"/>
                <w:szCs w:val="16"/>
              </w:rPr>
              <w:t>**</w:t>
            </w:r>
          </w:p>
        </w:tc>
        <w:tc>
          <w:tcPr>
            <w:tcW w:w="1134" w:type="dxa"/>
            <w:tcBorders>
              <w:left w:val="single" w:sz="4" w:space="0" w:color="auto"/>
              <w:right w:val="single" w:sz="4" w:space="0" w:color="auto"/>
            </w:tcBorders>
            <w:shd w:val="clear" w:color="auto" w:fill="auto"/>
          </w:tcPr>
          <w:p w:rsidR="003B33D6" w:rsidRPr="007657AF" w:rsidRDefault="003B33D6" w:rsidP="0088229A">
            <w:pPr>
              <w:rPr>
                <w:rFonts w:cs="Arial"/>
                <w:sz w:val="16"/>
                <w:szCs w:val="16"/>
              </w:rPr>
            </w:pPr>
            <w:r w:rsidRPr="007657AF">
              <w:rPr>
                <w:rFonts w:cs="Arial"/>
                <w:sz w:val="16"/>
                <w:szCs w:val="16"/>
              </w:rPr>
              <w:t>N</w:t>
            </w:r>
            <w:r w:rsidR="007B6AF2" w:rsidRPr="007657AF">
              <w:rPr>
                <w:rFonts w:cs="Arial"/>
                <w:sz w:val="16"/>
                <w:szCs w:val="16"/>
              </w:rPr>
              <w:t>.A.</w:t>
            </w:r>
          </w:p>
        </w:tc>
        <w:tc>
          <w:tcPr>
            <w:tcW w:w="709" w:type="dxa"/>
            <w:tcBorders>
              <w:left w:val="single" w:sz="4" w:space="0" w:color="auto"/>
              <w:right w:val="single" w:sz="18" w:space="0" w:color="auto"/>
            </w:tcBorders>
            <w:shd w:val="clear" w:color="auto" w:fill="auto"/>
          </w:tcPr>
          <w:p w:rsidR="003B33D6" w:rsidRPr="007657AF" w:rsidRDefault="003B33D6" w:rsidP="0088229A">
            <w:pPr>
              <w:rPr>
                <w:rFonts w:cs="Arial"/>
                <w:sz w:val="16"/>
                <w:szCs w:val="16"/>
              </w:rPr>
            </w:pPr>
            <w:r w:rsidRPr="007657AF">
              <w:rPr>
                <w:rFonts w:cs="Arial"/>
                <w:sz w:val="16"/>
                <w:szCs w:val="16"/>
              </w:rPr>
              <w:t>N</w:t>
            </w:r>
            <w:r w:rsidR="007B6AF2" w:rsidRPr="007657AF">
              <w:rPr>
                <w:rFonts w:cs="Arial"/>
                <w:sz w:val="16"/>
                <w:szCs w:val="16"/>
              </w:rPr>
              <w:t>.A.</w:t>
            </w:r>
          </w:p>
        </w:tc>
      </w:tr>
      <w:tr w:rsidR="003B33D6" w:rsidRPr="00E41CFD" w:rsidTr="003B33D6">
        <w:trPr>
          <w:trHeight w:val="685"/>
        </w:trPr>
        <w:tc>
          <w:tcPr>
            <w:tcW w:w="2469" w:type="dxa"/>
            <w:tcBorders>
              <w:left w:val="double" w:sz="6" w:space="0" w:color="auto"/>
              <w:right w:val="single" w:sz="18" w:space="0" w:color="auto"/>
            </w:tcBorders>
            <w:shd w:val="clear" w:color="auto" w:fill="auto"/>
          </w:tcPr>
          <w:p w:rsidR="003B33D6" w:rsidRPr="007657AF" w:rsidRDefault="003B33D6" w:rsidP="00121683">
            <w:pPr>
              <w:numPr>
                <w:ilvl w:val="0"/>
                <w:numId w:val="41"/>
              </w:numPr>
              <w:tabs>
                <w:tab w:val="clear" w:pos="1247"/>
                <w:tab w:val="clear" w:pos="1814"/>
                <w:tab w:val="clear" w:pos="2381"/>
                <w:tab w:val="clear" w:pos="2948"/>
                <w:tab w:val="clear" w:pos="3515"/>
              </w:tabs>
              <w:ind w:left="377" w:hanging="284"/>
              <w:rPr>
                <w:rFonts w:cs="Arial"/>
                <w:sz w:val="16"/>
                <w:szCs w:val="16"/>
              </w:rPr>
            </w:pPr>
            <w:r w:rsidRPr="007657AF">
              <w:rPr>
                <w:rFonts w:cs="Arial"/>
                <w:sz w:val="16"/>
                <w:szCs w:val="16"/>
              </w:rPr>
              <w:t>Cement kiln co-incineration</w:t>
            </w:r>
          </w:p>
        </w:tc>
        <w:tc>
          <w:tcPr>
            <w:tcW w:w="1701" w:type="dxa"/>
            <w:tcBorders>
              <w:left w:val="single" w:sz="18" w:space="0" w:color="auto"/>
              <w:right w:val="single" w:sz="4" w:space="0" w:color="auto"/>
            </w:tcBorders>
            <w:shd w:val="clear" w:color="auto" w:fill="auto"/>
          </w:tcPr>
          <w:p w:rsidR="003B33D6" w:rsidRPr="007657AF" w:rsidRDefault="003B33D6" w:rsidP="0088229A">
            <w:pPr>
              <w:rPr>
                <w:rFonts w:cs="Arial"/>
                <w:sz w:val="16"/>
                <w:szCs w:val="16"/>
              </w:rPr>
            </w:pPr>
            <w:r w:rsidRPr="007657AF">
              <w:rPr>
                <w:rFonts w:cs="Arial"/>
                <w:sz w:val="16"/>
                <w:szCs w:val="16"/>
              </w:rPr>
              <w:t>Yes</w:t>
            </w:r>
            <w:r w:rsidR="00653943">
              <w:rPr>
                <w:rFonts w:cs="Arial"/>
                <w:sz w:val="16"/>
                <w:szCs w:val="16"/>
              </w:rPr>
              <w:t>,</w:t>
            </w:r>
            <w:r w:rsidRPr="007657AF">
              <w:rPr>
                <w:rFonts w:cs="Arial"/>
                <w:sz w:val="16"/>
                <w:szCs w:val="16"/>
              </w:rPr>
              <w:t xml:space="preserve"> for all pesticides </w:t>
            </w:r>
          </w:p>
          <w:p w:rsidR="003B33D6" w:rsidRPr="007657AF" w:rsidRDefault="003B33D6" w:rsidP="0088229A">
            <w:pPr>
              <w:rPr>
                <w:rFonts w:cs="Arial"/>
                <w:sz w:val="16"/>
                <w:szCs w:val="16"/>
                <w:lang w:val="fr-CA"/>
              </w:rPr>
            </w:pPr>
          </w:p>
        </w:tc>
        <w:tc>
          <w:tcPr>
            <w:tcW w:w="567" w:type="dxa"/>
            <w:tcBorders>
              <w:left w:val="single" w:sz="4" w:space="0" w:color="auto"/>
              <w:right w:val="single" w:sz="4" w:space="0" w:color="auto"/>
            </w:tcBorders>
            <w:shd w:val="clear" w:color="auto" w:fill="auto"/>
          </w:tcPr>
          <w:p w:rsidR="003B33D6" w:rsidRPr="007657AF" w:rsidRDefault="003B33D6" w:rsidP="0088229A">
            <w:pPr>
              <w:rPr>
                <w:rFonts w:cs="Arial"/>
                <w:sz w:val="16"/>
                <w:szCs w:val="16"/>
              </w:rPr>
            </w:pPr>
            <w:r w:rsidRPr="007657AF">
              <w:rPr>
                <w:rFonts w:cs="Arial"/>
                <w:sz w:val="16"/>
                <w:szCs w:val="16"/>
              </w:rPr>
              <w:t>Yes</w:t>
            </w:r>
          </w:p>
        </w:tc>
        <w:tc>
          <w:tcPr>
            <w:tcW w:w="1276" w:type="dxa"/>
            <w:tcBorders>
              <w:left w:val="single" w:sz="4" w:space="0" w:color="auto"/>
              <w:right w:val="single" w:sz="4" w:space="0" w:color="auto"/>
            </w:tcBorders>
            <w:shd w:val="clear" w:color="auto" w:fill="auto"/>
          </w:tcPr>
          <w:p w:rsidR="003B33D6" w:rsidRPr="007657AF" w:rsidRDefault="003B33D6" w:rsidP="0088229A">
            <w:pPr>
              <w:rPr>
                <w:rFonts w:cs="Arial"/>
                <w:sz w:val="16"/>
                <w:szCs w:val="16"/>
              </w:rPr>
            </w:pPr>
            <w:r w:rsidRPr="007657AF">
              <w:rPr>
                <w:rFonts w:cs="Arial"/>
                <w:sz w:val="16"/>
                <w:szCs w:val="16"/>
              </w:rPr>
              <w:t>Yes</w:t>
            </w:r>
          </w:p>
        </w:tc>
        <w:tc>
          <w:tcPr>
            <w:tcW w:w="709" w:type="dxa"/>
            <w:tcBorders>
              <w:left w:val="single" w:sz="4" w:space="0" w:color="auto"/>
              <w:right w:val="single" w:sz="4" w:space="0" w:color="auto"/>
            </w:tcBorders>
            <w:shd w:val="clear" w:color="auto" w:fill="auto"/>
          </w:tcPr>
          <w:p w:rsidR="003B33D6" w:rsidRPr="007657AF" w:rsidRDefault="00841609" w:rsidP="0088229A">
            <w:pPr>
              <w:rPr>
                <w:rFonts w:cs="Arial"/>
                <w:sz w:val="16"/>
                <w:szCs w:val="16"/>
              </w:rPr>
            </w:pPr>
            <w:r w:rsidRPr="007657AF">
              <w:rPr>
                <w:rFonts w:cs="Arial"/>
                <w:sz w:val="16"/>
                <w:szCs w:val="16"/>
              </w:rPr>
              <w:t>N</w:t>
            </w:r>
            <w:r w:rsidR="000A6E9B">
              <w:rPr>
                <w:rFonts w:cs="Arial"/>
                <w:sz w:val="16"/>
                <w:szCs w:val="16"/>
              </w:rPr>
              <w:t>.</w:t>
            </w:r>
            <w:r w:rsidRPr="007657AF">
              <w:rPr>
                <w:rFonts w:cs="Arial"/>
                <w:sz w:val="16"/>
                <w:szCs w:val="16"/>
              </w:rPr>
              <w:t>D</w:t>
            </w:r>
            <w:r w:rsidR="000A6E9B">
              <w:rPr>
                <w:rFonts w:cs="Arial"/>
                <w:sz w:val="16"/>
                <w:szCs w:val="16"/>
              </w:rPr>
              <w:t>.</w:t>
            </w:r>
          </w:p>
        </w:tc>
        <w:tc>
          <w:tcPr>
            <w:tcW w:w="1134" w:type="dxa"/>
            <w:tcBorders>
              <w:left w:val="single" w:sz="4" w:space="0" w:color="auto"/>
              <w:right w:val="single" w:sz="4" w:space="0" w:color="auto"/>
            </w:tcBorders>
            <w:shd w:val="clear" w:color="auto" w:fill="auto"/>
          </w:tcPr>
          <w:p w:rsidR="003B33D6" w:rsidRPr="007657AF" w:rsidRDefault="003B33D6" w:rsidP="0088229A">
            <w:pPr>
              <w:rPr>
                <w:rFonts w:cs="Arial"/>
                <w:sz w:val="16"/>
                <w:szCs w:val="16"/>
              </w:rPr>
            </w:pPr>
            <w:r w:rsidRPr="007657AF">
              <w:rPr>
                <w:rFonts w:cs="Arial"/>
                <w:sz w:val="16"/>
                <w:szCs w:val="16"/>
              </w:rPr>
              <w:t xml:space="preserve">Yes </w:t>
            </w:r>
          </w:p>
        </w:tc>
        <w:tc>
          <w:tcPr>
            <w:tcW w:w="709" w:type="dxa"/>
            <w:tcBorders>
              <w:left w:val="single" w:sz="4" w:space="0" w:color="auto"/>
              <w:right w:val="single" w:sz="18" w:space="0" w:color="auto"/>
            </w:tcBorders>
            <w:shd w:val="clear" w:color="auto" w:fill="auto"/>
          </w:tcPr>
          <w:p w:rsidR="003B33D6" w:rsidRPr="007657AF" w:rsidRDefault="003B33D6" w:rsidP="0088229A">
            <w:pPr>
              <w:rPr>
                <w:rFonts w:cs="Arial"/>
                <w:sz w:val="16"/>
                <w:szCs w:val="16"/>
              </w:rPr>
            </w:pPr>
            <w:r w:rsidRPr="007657AF">
              <w:rPr>
                <w:rFonts w:cs="Arial"/>
                <w:sz w:val="16"/>
                <w:szCs w:val="16"/>
              </w:rPr>
              <w:t xml:space="preserve">Yes </w:t>
            </w:r>
          </w:p>
        </w:tc>
      </w:tr>
      <w:tr w:rsidR="003B33D6" w:rsidRPr="00E41CFD" w:rsidTr="003B33D6">
        <w:trPr>
          <w:trHeight w:val="708"/>
        </w:trPr>
        <w:tc>
          <w:tcPr>
            <w:tcW w:w="2469" w:type="dxa"/>
            <w:tcBorders>
              <w:left w:val="double" w:sz="6" w:space="0" w:color="auto"/>
              <w:right w:val="single" w:sz="18" w:space="0" w:color="auto"/>
            </w:tcBorders>
            <w:shd w:val="clear" w:color="auto" w:fill="auto"/>
          </w:tcPr>
          <w:p w:rsidR="003B33D6" w:rsidRPr="007657AF" w:rsidRDefault="003B33D6" w:rsidP="00121683">
            <w:pPr>
              <w:numPr>
                <w:ilvl w:val="0"/>
                <w:numId w:val="41"/>
              </w:numPr>
              <w:tabs>
                <w:tab w:val="clear" w:pos="1247"/>
                <w:tab w:val="clear" w:pos="1814"/>
                <w:tab w:val="clear" w:pos="2381"/>
                <w:tab w:val="clear" w:pos="2948"/>
                <w:tab w:val="clear" w:pos="3515"/>
              </w:tabs>
              <w:ind w:left="377" w:hanging="284"/>
              <w:rPr>
                <w:rFonts w:cs="Arial"/>
                <w:sz w:val="16"/>
                <w:szCs w:val="16"/>
              </w:rPr>
            </w:pPr>
            <w:r w:rsidRPr="007657AF">
              <w:rPr>
                <w:rFonts w:cs="Arial"/>
                <w:sz w:val="16"/>
                <w:szCs w:val="16"/>
              </w:rPr>
              <w:t>Gas phase chemical reduction (GPCR)</w:t>
            </w:r>
          </w:p>
        </w:tc>
        <w:tc>
          <w:tcPr>
            <w:tcW w:w="1701" w:type="dxa"/>
            <w:tcBorders>
              <w:left w:val="single" w:sz="18" w:space="0" w:color="auto"/>
              <w:right w:val="single" w:sz="4" w:space="0" w:color="auto"/>
            </w:tcBorders>
            <w:shd w:val="clear" w:color="auto" w:fill="auto"/>
          </w:tcPr>
          <w:p w:rsidR="003B33D6" w:rsidRPr="007657AF" w:rsidRDefault="003B33D6" w:rsidP="0088229A">
            <w:pPr>
              <w:rPr>
                <w:rFonts w:cs="Arial"/>
                <w:sz w:val="16"/>
                <w:szCs w:val="16"/>
                <w:lang w:val="en-US"/>
              </w:rPr>
            </w:pPr>
            <w:r w:rsidRPr="007657AF">
              <w:rPr>
                <w:rFonts w:cs="Arial"/>
                <w:sz w:val="16"/>
                <w:szCs w:val="16"/>
                <w:lang w:val="en-US"/>
              </w:rPr>
              <w:t>Yes, for certain pesticides:</w:t>
            </w:r>
          </w:p>
          <w:p w:rsidR="003B33D6" w:rsidRPr="007657AF" w:rsidRDefault="003B33D6" w:rsidP="0088229A">
            <w:pPr>
              <w:tabs>
                <w:tab w:val="clear" w:pos="1247"/>
                <w:tab w:val="clear" w:pos="1814"/>
                <w:tab w:val="clear" w:pos="2381"/>
                <w:tab w:val="clear" w:pos="2948"/>
                <w:tab w:val="clear" w:pos="3515"/>
              </w:tabs>
              <w:autoSpaceDE w:val="0"/>
              <w:autoSpaceDN w:val="0"/>
              <w:adjustRightInd w:val="0"/>
              <w:rPr>
                <w:rFonts w:cs="Arial"/>
                <w:sz w:val="16"/>
                <w:szCs w:val="16"/>
                <w:lang w:val="en-US"/>
              </w:rPr>
            </w:pPr>
            <w:r w:rsidRPr="007657AF">
              <w:rPr>
                <w:rFonts w:eastAsia="Calibri"/>
                <w:sz w:val="16"/>
                <w:lang w:val="en-US"/>
              </w:rPr>
              <w:t>DDT, HCB</w:t>
            </w:r>
          </w:p>
          <w:p w:rsidR="003B33D6" w:rsidRPr="007657AF" w:rsidRDefault="003B33D6" w:rsidP="0088229A">
            <w:pPr>
              <w:tabs>
                <w:tab w:val="clear" w:pos="1247"/>
                <w:tab w:val="clear" w:pos="1814"/>
                <w:tab w:val="clear" w:pos="2381"/>
                <w:tab w:val="clear" w:pos="2948"/>
                <w:tab w:val="clear" w:pos="3515"/>
              </w:tabs>
              <w:autoSpaceDE w:val="0"/>
              <w:autoSpaceDN w:val="0"/>
              <w:adjustRightInd w:val="0"/>
              <w:rPr>
                <w:rFonts w:cs="Arial"/>
                <w:sz w:val="16"/>
                <w:szCs w:val="16"/>
                <w:lang w:val="en-US"/>
              </w:rPr>
            </w:pPr>
          </w:p>
        </w:tc>
        <w:tc>
          <w:tcPr>
            <w:tcW w:w="567" w:type="dxa"/>
            <w:tcBorders>
              <w:left w:val="single" w:sz="4" w:space="0" w:color="auto"/>
              <w:right w:val="single" w:sz="4" w:space="0" w:color="auto"/>
            </w:tcBorders>
            <w:shd w:val="clear" w:color="auto" w:fill="auto"/>
          </w:tcPr>
          <w:p w:rsidR="003B33D6" w:rsidRPr="007657AF" w:rsidRDefault="003B33D6" w:rsidP="0088229A">
            <w:pPr>
              <w:rPr>
                <w:rFonts w:cs="Arial"/>
                <w:sz w:val="16"/>
                <w:szCs w:val="16"/>
              </w:rPr>
            </w:pPr>
            <w:r w:rsidRPr="007657AF">
              <w:rPr>
                <w:rFonts w:cs="Arial"/>
                <w:sz w:val="16"/>
                <w:szCs w:val="16"/>
              </w:rPr>
              <w:t>Yes</w:t>
            </w:r>
          </w:p>
        </w:tc>
        <w:tc>
          <w:tcPr>
            <w:tcW w:w="1276" w:type="dxa"/>
            <w:tcBorders>
              <w:left w:val="single" w:sz="4" w:space="0" w:color="auto"/>
              <w:right w:val="single" w:sz="4" w:space="0" w:color="auto"/>
            </w:tcBorders>
            <w:shd w:val="clear" w:color="auto" w:fill="auto"/>
          </w:tcPr>
          <w:p w:rsidR="003B33D6" w:rsidRPr="007657AF" w:rsidRDefault="003B33D6" w:rsidP="0088229A">
            <w:pPr>
              <w:rPr>
                <w:rFonts w:cs="Arial"/>
                <w:sz w:val="16"/>
                <w:szCs w:val="16"/>
              </w:rPr>
            </w:pPr>
            <w:r w:rsidRPr="007657AF">
              <w:rPr>
                <w:rFonts w:cs="Arial"/>
                <w:sz w:val="16"/>
                <w:szCs w:val="16"/>
              </w:rPr>
              <w:t>Yes</w:t>
            </w:r>
          </w:p>
        </w:tc>
        <w:tc>
          <w:tcPr>
            <w:tcW w:w="709" w:type="dxa"/>
            <w:tcBorders>
              <w:left w:val="single" w:sz="4" w:space="0" w:color="auto"/>
              <w:right w:val="single" w:sz="4" w:space="0" w:color="auto"/>
            </w:tcBorders>
            <w:shd w:val="clear" w:color="auto" w:fill="auto"/>
          </w:tcPr>
          <w:p w:rsidR="003B33D6" w:rsidRPr="007657AF" w:rsidRDefault="003B33D6" w:rsidP="0088229A">
            <w:pPr>
              <w:rPr>
                <w:rFonts w:cs="Arial"/>
                <w:sz w:val="16"/>
                <w:szCs w:val="16"/>
              </w:rPr>
            </w:pPr>
            <w:r w:rsidRPr="007657AF">
              <w:rPr>
                <w:rFonts w:cs="Arial"/>
                <w:sz w:val="16"/>
                <w:szCs w:val="16"/>
              </w:rPr>
              <w:t>N</w:t>
            </w:r>
            <w:r w:rsidR="000A6E9B">
              <w:rPr>
                <w:rFonts w:cs="Arial"/>
                <w:sz w:val="16"/>
                <w:szCs w:val="16"/>
              </w:rPr>
              <w:t>.</w:t>
            </w:r>
            <w:r w:rsidRPr="007657AF">
              <w:rPr>
                <w:rFonts w:cs="Arial"/>
                <w:sz w:val="16"/>
                <w:szCs w:val="16"/>
              </w:rPr>
              <w:t>D</w:t>
            </w:r>
            <w:r w:rsidR="000A6E9B">
              <w:rPr>
                <w:rFonts w:cs="Arial"/>
                <w:sz w:val="16"/>
                <w:szCs w:val="16"/>
              </w:rPr>
              <w:t>.</w:t>
            </w:r>
          </w:p>
        </w:tc>
        <w:tc>
          <w:tcPr>
            <w:tcW w:w="1134" w:type="dxa"/>
            <w:tcBorders>
              <w:left w:val="single" w:sz="4" w:space="0" w:color="auto"/>
              <w:right w:val="single" w:sz="4" w:space="0" w:color="auto"/>
            </w:tcBorders>
            <w:shd w:val="clear" w:color="auto" w:fill="auto"/>
          </w:tcPr>
          <w:p w:rsidR="003B33D6" w:rsidRPr="007657AF" w:rsidRDefault="003B33D6" w:rsidP="0088229A">
            <w:pPr>
              <w:rPr>
                <w:rFonts w:cs="Arial"/>
                <w:sz w:val="16"/>
                <w:szCs w:val="16"/>
              </w:rPr>
            </w:pPr>
            <w:r w:rsidRPr="007657AF">
              <w:rPr>
                <w:rFonts w:cs="Arial"/>
                <w:sz w:val="16"/>
                <w:szCs w:val="16"/>
              </w:rPr>
              <w:t>N</w:t>
            </w:r>
            <w:r w:rsidR="000A6E9B">
              <w:rPr>
                <w:rFonts w:cs="Arial"/>
                <w:sz w:val="16"/>
                <w:szCs w:val="16"/>
              </w:rPr>
              <w:t>.</w:t>
            </w:r>
            <w:r w:rsidRPr="007657AF">
              <w:rPr>
                <w:rFonts w:cs="Arial"/>
                <w:sz w:val="16"/>
                <w:szCs w:val="16"/>
              </w:rPr>
              <w:t>D</w:t>
            </w:r>
            <w:r w:rsidR="000A6E9B">
              <w:rPr>
                <w:rFonts w:cs="Arial"/>
                <w:sz w:val="16"/>
                <w:szCs w:val="16"/>
              </w:rPr>
              <w:t>.</w:t>
            </w:r>
          </w:p>
        </w:tc>
        <w:tc>
          <w:tcPr>
            <w:tcW w:w="709" w:type="dxa"/>
            <w:tcBorders>
              <w:left w:val="single" w:sz="4" w:space="0" w:color="auto"/>
              <w:right w:val="single" w:sz="18" w:space="0" w:color="auto"/>
            </w:tcBorders>
            <w:shd w:val="clear" w:color="auto" w:fill="auto"/>
          </w:tcPr>
          <w:p w:rsidR="003B33D6" w:rsidRPr="007657AF" w:rsidRDefault="003B33D6" w:rsidP="0088229A">
            <w:pPr>
              <w:rPr>
                <w:rFonts w:cs="Arial"/>
                <w:sz w:val="16"/>
                <w:szCs w:val="16"/>
              </w:rPr>
            </w:pPr>
            <w:r w:rsidRPr="007657AF">
              <w:rPr>
                <w:rFonts w:cs="Arial"/>
                <w:sz w:val="16"/>
                <w:szCs w:val="16"/>
              </w:rPr>
              <w:t>N</w:t>
            </w:r>
            <w:r w:rsidR="000A6E9B">
              <w:rPr>
                <w:rFonts w:cs="Arial"/>
                <w:sz w:val="16"/>
                <w:szCs w:val="16"/>
              </w:rPr>
              <w:t>.</w:t>
            </w:r>
            <w:r w:rsidRPr="007657AF">
              <w:rPr>
                <w:rFonts w:cs="Arial"/>
                <w:sz w:val="16"/>
                <w:szCs w:val="16"/>
              </w:rPr>
              <w:t>D</w:t>
            </w:r>
            <w:r w:rsidR="000A6E9B">
              <w:rPr>
                <w:rFonts w:cs="Arial"/>
                <w:sz w:val="16"/>
                <w:szCs w:val="16"/>
              </w:rPr>
              <w:t>.</w:t>
            </w:r>
          </w:p>
        </w:tc>
      </w:tr>
      <w:tr w:rsidR="003B33D6" w:rsidRPr="00E41CFD" w:rsidTr="003B33D6">
        <w:trPr>
          <w:trHeight w:val="677"/>
        </w:trPr>
        <w:tc>
          <w:tcPr>
            <w:tcW w:w="2469" w:type="dxa"/>
            <w:tcBorders>
              <w:left w:val="double" w:sz="6" w:space="0" w:color="auto"/>
              <w:right w:val="single" w:sz="18" w:space="0" w:color="auto"/>
            </w:tcBorders>
            <w:shd w:val="clear" w:color="auto" w:fill="auto"/>
          </w:tcPr>
          <w:p w:rsidR="003B33D6" w:rsidRPr="007657AF" w:rsidRDefault="003B33D6" w:rsidP="00121683">
            <w:pPr>
              <w:numPr>
                <w:ilvl w:val="0"/>
                <w:numId w:val="41"/>
              </w:numPr>
              <w:tabs>
                <w:tab w:val="clear" w:pos="1247"/>
                <w:tab w:val="clear" w:pos="1814"/>
                <w:tab w:val="clear" w:pos="2381"/>
                <w:tab w:val="clear" w:pos="2948"/>
                <w:tab w:val="clear" w:pos="3515"/>
              </w:tabs>
              <w:ind w:left="377" w:hanging="284"/>
              <w:rPr>
                <w:rFonts w:cs="Arial"/>
                <w:sz w:val="16"/>
                <w:szCs w:val="16"/>
              </w:rPr>
            </w:pPr>
            <w:r w:rsidRPr="007657AF">
              <w:rPr>
                <w:rFonts w:cs="Arial"/>
                <w:sz w:val="16"/>
                <w:szCs w:val="16"/>
              </w:rPr>
              <w:t>Hazardous waste incineration</w:t>
            </w:r>
          </w:p>
        </w:tc>
        <w:tc>
          <w:tcPr>
            <w:tcW w:w="1701" w:type="dxa"/>
            <w:tcBorders>
              <w:left w:val="single" w:sz="18" w:space="0" w:color="auto"/>
              <w:right w:val="single" w:sz="4" w:space="0" w:color="auto"/>
            </w:tcBorders>
            <w:shd w:val="clear" w:color="auto" w:fill="auto"/>
          </w:tcPr>
          <w:p w:rsidR="003B33D6" w:rsidRPr="007657AF" w:rsidRDefault="003B33D6" w:rsidP="0088229A">
            <w:pPr>
              <w:rPr>
                <w:rFonts w:cs="Arial"/>
                <w:sz w:val="16"/>
                <w:szCs w:val="16"/>
              </w:rPr>
            </w:pPr>
            <w:r w:rsidRPr="007657AF">
              <w:rPr>
                <w:rFonts w:cs="Arial"/>
                <w:sz w:val="16"/>
                <w:szCs w:val="16"/>
              </w:rPr>
              <w:t>Yes</w:t>
            </w:r>
            <w:r w:rsidR="00653943">
              <w:rPr>
                <w:rFonts w:cs="Arial"/>
                <w:sz w:val="16"/>
                <w:szCs w:val="16"/>
              </w:rPr>
              <w:t>,</w:t>
            </w:r>
            <w:r w:rsidRPr="007657AF">
              <w:rPr>
                <w:rFonts w:cs="Arial"/>
                <w:sz w:val="16"/>
                <w:szCs w:val="16"/>
              </w:rPr>
              <w:t xml:space="preserve"> for all pesticides</w:t>
            </w:r>
          </w:p>
          <w:p w:rsidR="003B33D6" w:rsidRPr="007657AF" w:rsidRDefault="003B33D6" w:rsidP="0088229A">
            <w:pPr>
              <w:rPr>
                <w:rFonts w:cs="Arial"/>
                <w:sz w:val="16"/>
                <w:szCs w:val="16"/>
              </w:rPr>
            </w:pPr>
          </w:p>
        </w:tc>
        <w:tc>
          <w:tcPr>
            <w:tcW w:w="567" w:type="dxa"/>
            <w:tcBorders>
              <w:left w:val="single" w:sz="4" w:space="0" w:color="auto"/>
              <w:right w:val="single" w:sz="4" w:space="0" w:color="auto"/>
            </w:tcBorders>
            <w:shd w:val="clear" w:color="auto" w:fill="auto"/>
          </w:tcPr>
          <w:p w:rsidR="003B33D6" w:rsidRPr="007657AF" w:rsidRDefault="003B33D6" w:rsidP="0088229A">
            <w:pPr>
              <w:rPr>
                <w:rFonts w:cs="Arial"/>
                <w:sz w:val="16"/>
                <w:szCs w:val="16"/>
              </w:rPr>
            </w:pPr>
            <w:r w:rsidRPr="007657AF">
              <w:rPr>
                <w:rFonts w:cs="Arial"/>
                <w:sz w:val="16"/>
                <w:szCs w:val="16"/>
              </w:rPr>
              <w:t>Yes</w:t>
            </w:r>
          </w:p>
        </w:tc>
        <w:tc>
          <w:tcPr>
            <w:tcW w:w="1276" w:type="dxa"/>
            <w:tcBorders>
              <w:left w:val="single" w:sz="4" w:space="0" w:color="auto"/>
              <w:right w:val="single" w:sz="4" w:space="0" w:color="auto"/>
            </w:tcBorders>
            <w:shd w:val="clear" w:color="auto" w:fill="auto"/>
          </w:tcPr>
          <w:p w:rsidR="003B33D6" w:rsidRPr="007657AF" w:rsidRDefault="003B33D6" w:rsidP="0088229A">
            <w:pPr>
              <w:rPr>
                <w:rFonts w:cs="Arial"/>
                <w:sz w:val="16"/>
                <w:szCs w:val="16"/>
              </w:rPr>
            </w:pPr>
            <w:r w:rsidRPr="007657AF">
              <w:rPr>
                <w:rFonts w:cs="Arial"/>
                <w:sz w:val="16"/>
                <w:szCs w:val="16"/>
              </w:rPr>
              <w:t>Yes</w:t>
            </w:r>
          </w:p>
        </w:tc>
        <w:tc>
          <w:tcPr>
            <w:tcW w:w="709" w:type="dxa"/>
            <w:tcBorders>
              <w:left w:val="single" w:sz="4" w:space="0" w:color="auto"/>
              <w:right w:val="single" w:sz="4" w:space="0" w:color="auto"/>
            </w:tcBorders>
            <w:shd w:val="clear" w:color="auto" w:fill="auto"/>
          </w:tcPr>
          <w:p w:rsidR="003B33D6" w:rsidRPr="007657AF" w:rsidRDefault="003B33D6" w:rsidP="0088229A">
            <w:pPr>
              <w:rPr>
                <w:rFonts w:cs="Arial"/>
                <w:sz w:val="16"/>
                <w:szCs w:val="16"/>
              </w:rPr>
            </w:pPr>
            <w:r w:rsidRPr="007657AF">
              <w:rPr>
                <w:rFonts w:cs="Arial"/>
                <w:sz w:val="16"/>
                <w:szCs w:val="16"/>
              </w:rPr>
              <w:t>Yes</w:t>
            </w:r>
          </w:p>
        </w:tc>
        <w:tc>
          <w:tcPr>
            <w:tcW w:w="1134" w:type="dxa"/>
            <w:tcBorders>
              <w:left w:val="single" w:sz="4" w:space="0" w:color="auto"/>
              <w:right w:val="single" w:sz="4" w:space="0" w:color="auto"/>
            </w:tcBorders>
            <w:shd w:val="clear" w:color="auto" w:fill="auto"/>
          </w:tcPr>
          <w:p w:rsidR="003B33D6" w:rsidRPr="007657AF" w:rsidRDefault="003B33D6" w:rsidP="0088229A">
            <w:pPr>
              <w:rPr>
                <w:rFonts w:cs="Arial"/>
                <w:sz w:val="16"/>
                <w:szCs w:val="16"/>
              </w:rPr>
            </w:pPr>
            <w:r w:rsidRPr="007657AF">
              <w:rPr>
                <w:rFonts w:cs="Arial"/>
                <w:sz w:val="16"/>
                <w:szCs w:val="16"/>
              </w:rPr>
              <w:t>Yes</w:t>
            </w:r>
          </w:p>
        </w:tc>
        <w:tc>
          <w:tcPr>
            <w:tcW w:w="709" w:type="dxa"/>
            <w:tcBorders>
              <w:left w:val="single" w:sz="4" w:space="0" w:color="auto"/>
              <w:right w:val="single" w:sz="18" w:space="0" w:color="auto"/>
            </w:tcBorders>
            <w:shd w:val="clear" w:color="auto" w:fill="auto"/>
          </w:tcPr>
          <w:p w:rsidR="003B33D6" w:rsidRPr="007657AF" w:rsidRDefault="003B33D6" w:rsidP="0088229A">
            <w:pPr>
              <w:rPr>
                <w:rFonts w:cs="Arial"/>
                <w:sz w:val="16"/>
                <w:szCs w:val="16"/>
              </w:rPr>
            </w:pPr>
            <w:r w:rsidRPr="007657AF">
              <w:rPr>
                <w:rFonts w:cs="Arial"/>
                <w:sz w:val="16"/>
                <w:szCs w:val="16"/>
              </w:rPr>
              <w:t>Yes</w:t>
            </w:r>
          </w:p>
        </w:tc>
      </w:tr>
      <w:tr w:rsidR="003B33D6" w:rsidRPr="00E41CFD" w:rsidTr="003B33D6">
        <w:trPr>
          <w:trHeight w:val="629"/>
        </w:trPr>
        <w:tc>
          <w:tcPr>
            <w:tcW w:w="2469" w:type="dxa"/>
            <w:tcBorders>
              <w:left w:val="double" w:sz="6" w:space="0" w:color="auto"/>
              <w:right w:val="single" w:sz="18" w:space="0" w:color="auto"/>
            </w:tcBorders>
            <w:shd w:val="clear" w:color="auto" w:fill="auto"/>
          </w:tcPr>
          <w:p w:rsidR="003B33D6" w:rsidRPr="007657AF" w:rsidRDefault="003B33D6" w:rsidP="00121683">
            <w:pPr>
              <w:numPr>
                <w:ilvl w:val="0"/>
                <w:numId w:val="41"/>
              </w:numPr>
              <w:tabs>
                <w:tab w:val="clear" w:pos="1247"/>
                <w:tab w:val="clear" w:pos="1814"/>
                <w:tab w:val="clear" w:pos="2381"/>
                <w:tab w:val="clear" w:pos="2948"/>
                <w:tab w:val="clear" w:pos="3515"/>
              </w:tabs>
              <w:ind w:left="377" w:hanging="284"/>
              <w:rPr>
                <w:rFonts w:cs="Arial"/>
                <w:sz w:val="16"/>
                <w:szCs w:val="16"/>
              </w:rPr>
            </w:pPr>
            <w:r w:rsidRPr="007657AF">
              <w:rPr>
                <w:rFonts w:cs="Arial"/>
                <w:sz w:val="16"/>
                <w:szCs w:val="16"/>
              </w:rPr>
              <w:t xml:space="preserve">Plasma Arc </w:t>
            </w:r>
          </w:p>
        </w:tc>
        <w:tc>
          <w:tcPr>
            <w:tcW w:w="1701" w:type="dxa"/>
            <w:tcBorders>
              <w:left w:val="single" w:sz="18" w:space="0" w:color="auto"/>
              <w:right w:val="single" w:sz="4" w:space="0" w:color="auto"/>
            </w:tcBorders>
            <w:shd w:val="clear" w:color="auto" w:fill="auto"/>
          </w:tcPr>
          <w:p w:rsidR="003B33D6" w:rsidRPr="007657AF" w:rsidRDefault="003B33D6" w:rsidP="0088229A">
            <w:pPr>
              <w:rPr>
                <w:rFonts w:cs="Arial"/>
                <w:sz w:val="16"/>
                <w:szCs w:val="16"/>
              </w:rPr>
            </w:pPr>
            <w:r w:rsidRPr="007657AF">
              <w:rPr>
                <w:rFonts w:cs="Arial"/>
                <w:sz w:val="16"/>
                <w:szCs w:val="16"/>
              </w:rPr>
              <w:t>Yes, for most pesticides</w:t>
            </w:r>
            <w:r w:rsidR="00653943">
              <w:rPr>
                <w:rFonts w:cs="Arial"/>
                <w:sz w:val="16"/>
                <w:szCs w:val="16"/>
              </w:rPr>
              <w:t>,</w:t>
            </w:r>
            <w:r w:rsidRPr="007657AF">
              <w:rPr>
                <w:rFonts w:cs="Arial"/>
                <w:sz w:val="16"/>
                <w:szCs w:val="16"/>
              </w:rPr>
              <w:t xml:space="preserve"> including chlordane, </w:t>
            </w:r>
            <w:proofErr w:type="spellStart"/>
            <w:r w:rsidRPr="007657AF">
              <w:rPr>
                <w:rFonts w:cs="Arial"/>
                <w:sz w:val="16"/>
                <w:szCs w:val="16"/>
              </w:rPr>
              <w:t>chlordecone</w:t>
            </w:r>
            <w:proofErr w:type="spellEnd"/>
            <w:r w:rsidRPr="007657AF">
              <w:rPr>
                <w:rFonts w:cs="Arial"/>
                <w:sz w:val="16"/>
                <w:szCs w:val="16"/>
              </w:rPr>
              <w:t xml:space="preserve">, DDT, </w:t>
            </w:r>
            <w:proofErr w:type="spellStart"/>
            <w:r w:rsidRPr="007657AF">
              <w:rPr>
                <w:rFonts w:cs="Arial"/>
                <w:sz w:val="16"/>
                <w:szCs w:val="16"/>
              </w:rPr>
              <w:t>endosulfan</w:t>
            </w:r>
            <w:proofErr w:type="spellEnd"/>
            <w:r w:rsidRPr="007657AF">
              <w:rPr>
                <w:rFonts w:cs="Arial"/>
                <w:sz w:val="16"/>
                <w:szCs w:val="16"/>
              </w:rPr>
              <w:t xml:space="preserve">, </w:t>
            </w:r>
            <w:proofErr w:type="spellStart"/>
            <w:r w:rsidRPr="007657AF">
              <w:rPr>
                <w:rFonts w:cs="Arial"/>
                <w:sz w:val="16"/>
                <w:szCs w:val="16"/>
              </w:rPr>
              <w:t>heptaclor</w:t>
            </w:r>
            <w:proofErr w:type="spellEnd"/>
          </w:p>
          <w:p w:rsidR="003B33D6" w:rsidRPr="007657AF" w:rsidRDefault="003B33D6" w:rsidP="0088229A">
            <w:pPr>
              <w:rPr>
                <w:rFonts w:cs="Arial"/>
                <w:sz w:val="16"/>
                <w:szCs w:val="16"/>
              </w:rPr>
            </w:pPr>
          </w:p>
        </w:tc>
        <w:tc>
          <w:tcPr>
            <w:tcW w:w="567" w:type="dxa"/>
            <w:tcBorders>
              <w:left w:val="single" w:sz="4" w:space="0" w:color="auto"/>
              <w:right w:val="single" w:sz="4" w:space="0" w:color="auto"/>
            </w:tcBorders>
            <w:shd w:val="clear" w:color="auto" w:fill="auto"/>
          </w:tcPr>
          <w:p w:rsidR="003B33D6" w:rsidRPr="007657AF" w:rsidDel="00131060" w:rsidRDefault="003B33D6" w:rsidP="00131060">
            <w:pPr>
              <w:rPr>
                <w:rFonts w:cs="Arial"/>
                <w:sz w:val="16"/>
                <w:szCs w:val="16"/>
              </w:rPr>
            </w:pPr>
            <w:r w:rsidRPr="007657AF">
              <w:rPr>
                <w:rFonts w:cs="Arial"/>
                <w:sz w:val="16"/>
                <w:szCs w:val="16"/>
              </w:rPr>
              <w:t>Yes</w:t>
            </w:r>
          </w:p>
        </w:tc>
        <w:tc>
          <w:tcPr>
            <w:tcW w:w="1276" w:type="dxa"/>
            <w:tcBorders>
              <w:left w:val="single" w:sz="4" w:space="0" w:color="auto"/>
              <w:right w:val="single" w:sz="4" w:space="0" w:color="auto"/>
            </w:tcBorders>
            <w:shd w:val="clear" w:color="auto" w:fill="auto"/>
          </w:tcPr>
          <w:p w:rsidR="003B33D6" w:rsidRPr="007657AF" w:rsidRDefault="003B33D6" w:rsidP="00131060">
            <w:pPr>
              <w:rPr>
                <w:rFonts w:cs="Arial"/>
                <w:sz w:val="16"/>
                <w:szCs w:val="16"/>
              </w:rPr>
            </w:pPr>
            <w:r w:rsidRPr="007657AF">
              <w:rPr>
                <w:rFonts w:cs="Arial"/>
                <w:sz w:val="16"/>
                <w:szCs w:val="16"/>
              </w:rPr>
              <w:t>N</w:t>
            </w:r>
            <w:r w:rsidR="000A6E9B">
              <w:rPr>
                <w:rFonts w:cs="Arial"/>
                <w:sz w:val="16"/>
                <w:szCs w:val="16"/>
              </w:rPr>
              <w:t>.</w:t>
            </w:r>
            <w:r w:rsidRPr="007657AF">
              <w:rPr>
                <w:rFonts w:cs="Arial"/>
                <w:sz w:val="16"/>
                <w:szCs w:val="16"/>
              </w:rPr>
              <w:t>D</w:t>
            </w:r>
            <w:r w:rsidR="000A6E9B">
              <w:rPr>
                <w:rFonts w:cs="Arial"/>
                <w:sz w:val="16"/>
                <w:szCs w:val="16"/>
              </w:rPr>
              <w:t>.</w:t>
            </w:r>
          </w:p>
        </w:tc>
        <w:tc>
          <w:tcPr>
            <w:tcW w:w="709" w:type="dxa"/>
            <w:tcBorders>
              <w:left w:val="single" w:sz="4" w:space="0" w:color="auto"/>
              <w:right w:val="single" w:sz="4" w:space="0" w:color="auto"/>
            </w:tcBorders>
            <w:shd w:val="clear" w:color="auto" w:fill="auto"/>
          </w:tcPr>
          <w:p w:rsidR="003B33D6" w:rsidRPr="007657AF" w:rsidRDefault="003B33D6" w:rsidP="0088229A">
            <w:pPr>
              <w:rPr>
                <w:rFonts w:cs="Arial"/>
                <w:sz w:val="16"/>
                <w:szCs w:val="16"/>
              </w:rPr>
            </w:pPr>
            <w:r w:rsidRPr="007657AF">
              <w:rPr>
                <w:rFonts w:cs="Arial"/>
                <w:sz w:val="16"/>
                <w:szCs w:val="16"/>
              </w:rPr>
              <w:t xml:space="preserve"> N</w:t>
            </w:r>
            <w:r w:rsidR="000A6E9B">
              <w:rPr>
                <w:rFonts w:cs="Arial"/>
                <w:sz w:val="16"/>
                <w:szCs w:val="16"/>
              </w:rPr>
              <w:t>.</w:t>
            </w:r>
            <w:r w:rsidRPr="007657AF">
              <w:rPr>
                <w:rFonts w:cs="Arial"/>
                <w:sz w:val="16"/>
                <w:szCs w:val="16"/>
              </w:rPr>
              <w:t>D</w:t>
            </w:r>
            <w:r w:rsidR="000A6E9B">
              <w:rPr>
                <w:rFonts w:cs="Arial"/>
                <w:sz w:val="16"/>
                <w:szCs w:val="16"/>
              </w:rPr>
              <w:t>.</w:t>
            </w:r>
          </w:p>
        </w:tc>
        <w:tc>
          <w:tcPr>
            <w:tcW w:w="1134" w:type="dxa"/>
            <w:tcBorders>
              <w:left w:val="single" w:sz="4" w:space="0" w:color="auto"/>
              <w:right w:val="single" w:sz="4" w:space="0" w:color="auto"/>
            </w:tcBorders>
            <w:shd w:val="clear" w:color="auto" w:fill="auto"/>
          </w:tcPr>
          <w:p w:rsidR="003B33D6" w:rsidRPr="007657AF" w:rsidRDefault="003B33D6" w:rsidP="0088229A">
            <w:pPr>
              <w:rPr>
                <w:rFonts w:cs="Arial"/>
                <w:sz w:val="16"/>
                <w:szCs w:val="16"/>
              </w:rPr>
            </w:pPr>
            <w:r w:rsidRPr="007657AF">
              <w:rPr>
                <w:rFonts w:cs="Arial"/>
                <w:sz w:val="16"/>
                <w:szCs w:val="16"/>
              </w:rPr>
              <w:t>N</w:t>
            </w:r>
            <w:r w:rsidR="000A6E9B">
              <w:rPr>
                <w:rFonts w:cs="Arial"/>
                <w:sz w:val="16"/>
                <w:szCs w:val="16"/>
              </w:rPr>
              <w:t>.</w:t>
            </w:r>
            <w:r w:rsidRPr="007657AF">
              <w:rPr>
                <w:rFonts w:cs="Arial"/>
                <w:sz w:val="16"/>
                <w:szCs w:val="16"/>
              </w:rPr>
              <w:t>D</w:t>
            </w:r>
            <w:r w:rsidR="000A6E9B">
              <w:rPr>
                <w:rFonts w:cs="Arial"/>
                <w:sz w:val="16"/>
                <w:szCs w:val="16"/>
              </w:rPr>
              <w:t>.</w:t>
            </w:r>
          </w:p>
        </w:tc>
        <w:tc>
          <w:tcPr>
            <w:tcW w:w="709" w:type="dxa"/>
            <w:tcBorders>
              <w:left w:val="single" w:sz="4" w:space="0" w:color="auto"/>
              <w:right w:val="single" w:sz="18" w:space="0" w:color="auto"/>
            </w:tcBorders>
            <w:shd w:val="clear" w:color="auto" w:fill="auto"/>
          </w:tcPr>
          <w:p w:rsidR="003B33D6" w:rsidRPr="007657AF" w:rsidRDefault="003B33D6" w:rsidP="0088229A">
            <w:pPr>
              <w:rPr>
                <w:rFonts w:cs="Arial"/>
                <w:sz w:val="16"/>
                <w:szCs w:val="16"/>
              </w:rPr>
            </w:pPr>
            <w:r w:rsidRPr="007657AF">
              <w:rPr>
                <w:rFonts w:cs="Arial"/>
                <w:sz w:val="16"/>
                <w:szCs w:val="16"/>
              </w:rPr>
              <w:t>N</w:t>
            </w:r>
            <w:r w:rsidR="000A6E9B">
              <w:rPr>
                <w:rFonts w:cs="Arial"/>
                <w:sz w:val="16"/>
                <w:szCs w:val="16"/>
              </w:rPr>
              <w:t>.</w:t>
            </w:r>
            <w:r w:rsidRPr="007657AF">
              <w:rPr>
                <w:rFonts w:cs="Arial"/>
                <w:sz w:val="16"/>
                <w:szCs w:val="16"/>
              </w:rPr>
              <w:t>D</w:t>
            </w:r>
            <w:r w:rsidR="000A6E9B">
              <w:rPr>
                <w:rFonts w:cs="Arial"/>
                <w:sz w:val="16"/>
                <w:szCs w:val="16"/>
              </w:rPr>
              <w:t>.</w:t>
            </w:r>
          </w:p>
        </w:tc>
      </w:tr>
      <w:tr w:rsidR="003B33D6" w:rsidRPr="00E41CFD" w:rsidTr="003B33D6">
        <w:trPr>
          <w:trHeight w:val="517"/>
        </w:trPr>
        <w:tc>
          <w:tcPr>
            <w:tcW w:w="2469" w:type="dxa"/>
            <w:tcBorders>
              <w:left w:val="double" w:sz="6" w:space="0" w:color="auto"/>
              <w:right w:val="single" w:sz="18" w:space="0" w:color="auto"/>
            </w:tcBorders>
            <w:shd w:val="clear" w:color="auto" w:fill="auto"/>
          </w:tcPr>
          <w:p w:rsidR="003B33D6" w:rsidRPr="007657AF" w:rsidRDefault="003B33D6" w:rsidP="00121683">
            <w:pPr>
              <w:numPr>
                <w:ilvl w:val="0"/>
                <w:numId w:val="41"/>
              </w:numPr>
              <w:tabs>
                <w:tab w:val="clear" w:pos="1247"/>
                <w:tab w:val="clear" w:pos="1814"/>
                <w:tab w:val="clear" w:pos="2381"/>
                <w:tab w:val="clear" w:pos="2948"/>
                <w:tab w:val="clear" w:pos="3515"/>
              </w:tabs>
              <w:ind w:left="377" w:hanging="284"/>
              <w:rPr>
                <w:rFonts w:cs="Arial"/>
                <w:sz w:val="16"/>
                <w:szCs w:val="16"/>
              </w:rPr>
            </w:pPr>
            <w:r w:rsidRPr="007657AF">
              <w:rPr>
                <w:rFonts w:cs="Arial"/>
                <w:sz w:val="16"/>
                <w:szCs w:val="16"/>
              </w:rPr>
              <w:t xml:space="preserve">Plasma melting decomposition  method </w:t>
            </w:r>
            <w:r w:rsidR="003A088C" w:rsidRPr="007657AF">
              <w:rPr>
                <w:rFonts w:cs="Arial"/>
                <w:sz w:val="16"/>
                <w:szCs w:val="16"/>
              </w:rPr>
              <w:t>(PMD)</w:t>
            </w:r>
          </w:p>
        </w:tc>
        <w:tc>
          <w:tcPr>
            <w:tcW w:w="1701" w:type="dxa"/>
            <w:tcBorders>
              <w:left w:val="single" w:sz="18" w:space="0" w:color="auto"/>
              <w:right w:val="single" w:sz="4" w:space="0" w:color="auto"/>
            </w:tcBorders>
            <w:shd w:val="clear" w:color="auto" w:fill="auto"/>
          </w:tcPr>
          <w:p w:rsidR="003B33D6" w:rsidRPr="007657AF" w:rsidRDefault="003B33D6" w:rsidP="0088229A">
            <w:pPr>
              <w:rPr>
                <w:rFonts w:cs="Arial"/>
                <w:sz w:val="16"/>
                <w:szCs w:val="16"/>
              </w:rPr>
            </w:pPr>
            <w:r w:rsidRPr="007657AF">
              <w:rPr>
                <w:rFonts w:cs="Arial"/>
                <w:sz w:val="16"/>
                <w:szCs w:val="16"/>
              </w:rPr>
              <w:t>N</w:t>
            </w:r>
            <w:r w:rsidR="000A6E9B">
              <w:rPr>
                <w:rFonts w:cs="Arial"/>
                <w:sz w:val="16"/>
                <w:szCs w:val="16"/>
              </w:rPr>
              <w:t>.</w:t>
            </w:r>
            <w:r w:rsidRPr="007657AF">
              <w:rPr>
                <w:rFonts w:cs="Arial"/>
                <w:sz w:val="16"/>
                <w:szCs w:val="16"/>
              </w:rPr>
              <w:t>D</w:t>
            </w:r>
            <w:r w:rsidR="000A6E9B">
              <w:rPr>
                <w:rFonts w:cs="Arial"/>
                <w:sz w:val="16"/>
                <w:szCs w:val="16"/>
              </w:rPr>
              <w:t>.</w:t>
            </w:r>
          </w:p>
        </w:tc>
        <w:tc>
          <w:tcPr>
            <w:tcW w:w="567" w:type="dxa"/>
            <w:tcBorders>
              <w:left w:val="single" w:sz="4" w:space="0" w:color="auto"/>
              <w:right w:val="single" w:sz="4" w:space="0" w:color="auto"/>
            </w:tcBorders>
            <w:shd w:val="clear" w:color="auto" w:fill="auto"/>
          </w:tcPr>
          <w:p w:rsidR="003B33D6" w:rsidRPr="007657AF" w:rsidDel="00131060" w:rsidRDefault="003B33D6" w:rsidP="00131060">
            <w:pPr>
              <w:rPr>
                <w:rFonts w:cs="Arial"/>
                <w:sz w:val="16"/>
                <w:szCs w:val="16"/>
              </w:rPr>
            </w:pPr>
            <w:r w:rsidRPr="007657AF">
              <w:rPr>
                <w:rFonts w:cs="Arial"/>
                <w:sz w:val="16"/>
                <w:szCs w:val="16"/>
              </w:rPr>
              <w:t>Yes</w:t>
            </w:r>
          </w:p>
        </w:tc>
        <w:tc>
          <w:tcPr>
            <w:tcW w:w="1276" w:type="dxa"/>
            <w:tcBorders>
              <w:left w:val="single" w:sz="4" w:space="0" w:color="auto"/>
              <w:right w:val="single" w:sz="4" w:space="0" w:color="auto"/>
            </w:tcBorders>
            <w:shd w:val="clear" w:color="auto" w:fill="auto"/>
          </w:tcPr>
          <w:p w:rsidR="003B33D6" w:rsidRPr="007657AF" w:rsidDel="00131060" w:rsidRDefault="003B33D6" w:rsidP="00131060">
            <w:pPr>
              <w:rPr>
                <w:rFonts w:cs="Arial"/>
                <w:sz w:val="16"/>
                <w:szCs w:val="16"/>
              </w:rPr>
            </w:pPr>
            <w:r w:rsidRPr="007657AF">
              <w:rPr>
                <w:rFonts w:cs="Arial"/>
                <w:sz w:val="16"/>
                <w:szCs w:val="16"/>
              </w:rPr>
              <w:t>N</w:t>
            </w:r>
            <w:r w:rsidR="000A6E9B">
              <w:rPr>
                <w:rFonts w:cs="Arial"/>
                <w:sz w:val="16"/>
                <w:szCs w:val="16"/>
              </w:rPr>
              <w:t>.</w:t>
            </w:r>
            <w:r w:rsidRPr="007657AF">
              <w:rPr>
                <w:rFonts w:cs="Arial"/>
                <w:sz w:val="16"/>
                <w:szCs w:val="16"/>
              </w:rPr>
              <w:t>D</w:t>
            </w:r>
            <w:r w:rsidR="000A6E9B">
              <w:rPr>
                <w:rFonts w:cs="Arial"/>
                <w:sz w:val="16"/>
                <w:szCs w:val="16"/>
              </w:rPr>
              <w:t>.</w:t>
            </w:r>
          </w:p>
        </w:tc>
        <w:tc>
          <w:tcPr>
            <w:tcW w:w="709" w:type="dxa"/>
            <w:tcBorders>
              <w:left w:val="single" w:sz="4" w:space="0" w:color="auto"/>
              <w:right w:val="single" w:sz="4" w:space="0" w:color="auto"/>
            </w:tcBorders>
            <w:shd w:val="clear" w:color="auto" w:fill="auto"/>
          </w:tcPr>
          <w:p w:rsidR="003B33D6" w:rsidRPr="007657AF" w:rsidRDefault="003B33D6" w:rsidP="0088229A">
            <w:pPr>
              <w:rPr>
                <w:rFonts w:cs="Arial"/>
                <w:sz w:val="16"/>
                <w:szCs w:val="16"/>
              </w:rPr>
            </w:pPr>
            <w:r w:rsidRPr="007657AF">
              <w:rPr>
                <w:rFonts w:cs="Arial"/>
                <w:sz w:val="16"/>
                <w:szCs w:val="16"/>
              </w:rPr>
              <w:t>N</w:t>
            </w:r>
            <w:r w:rsidR="000A6E9B">
              <w:rPr>
                <w:rFonts w:cs="Arial"/>
                <w:sz w:val="16"/>
                <w:szCs w:val="16"/>
              </w:rPr>
              <w:t>.</w:t>
            </w:r>
            <w:r w:rsidRPr="007657AF">
              <w:rPr>
                <w:rFonts w:cs="Arial"/>
                <w:sz w:val="16"/>
                <w:szCs w:val="16"/>
              </w:rPr>
              <w:t>D</w:t>
            </w:r>
            <w:r w:rsidR="000A6E9B">
              <w:rPr>
                <w:rFonts w:cs="Arial"/>
                <w:sz w:val="16"/>
                <w:szCs w:val="16"/>
              </w:rPr>
              <w:t>.</w:t>
            </w:r>
          </w:p>
        </w:tc>
        <w:tc>
          <w:tcPr>
            <w:tcW w:w="1134" w:type="dxa"/>
            <w:tcBorders>
              <w:left w:val="single" w:sz="4" w:space="0" w:color="auto"/>
              <w:right w:val="single" w:sz="4" w:space="0" w:color="auto"/>
            </w:tcBorders>
            <w:shd w:val="clear" w:color="auto" w:fill="auto"/>
          </w:tcPr>
          <w:p w:rsidR="003B33D6" w:rsidRPr="007657AF" w:rsidRDefault="003B33D6" w:rsidP="0088229A">
            <w:pPr>
              <w:rPr>
                <w:rFonts w:cs="Arial"/>
                <w:sz w:val="16"/>
                <w:szCs w:val="16"/>
              </w:rPr>
            </w:pPr>
            <w:r w:rsidRPr="007657AF">
              <w:rPr>
                <w:rFonts w:cs="Arial"/>
                <w:sz w:val="16"/>
                <w:szCs w:val="16"/>
              </w:rPr>
              <w:t>N</w:t>
            </w:r>
            <w:r w:rsidR="000A6E9B">
              <w:rPr>
                <w:rFonts w:cs="Arial"/>
                <w:sz w:val="16"/>
                <w:szCs w:val="16"/>
              </w:rPr>
              <w:t>.</w:t>
            </w:r>
            <w:r w:rsidRPr="007657AF">
              <w:rPr>
                <w:rFonts w:cs="Arial"/>
                <w:sz w:val="16"/>
                <w:szCs w:val="16"/>
              </w:rPr>
              <w:t>D</w:t>
            </w:r>
            <w:r w:rsidR="000A6E9B">
              <w:rPr>
                <w:rFonts w:cs="Arial"/>
                <w:sz w:val="16"/>
                <w:szCs w:val="16"/>
              </w:rPr>
              <w:t>.</w:t>
            </w:r>
          </w:p>
        </w:tc>
        <w:tc>
          <w:tcPr>
            <w:tcW w:w="709" w:type="dxa"/>
            <w:tcBorders>
              <w:left w:val="single" w:sz="4" w:space="0" w:color="auto"/>
              <w:right w:val="single" w:sz="18" w:space="0" w:color="auto"/>
            </w:tcBorders>
            <w:shd w:val="clear" w:color="auto" w:fill="auto"/>
          </w:tcPr>
          <w:p w:rsidR="003B33D6" w:rsidRPr="007657AF" w:rsidRDefault="003B33D6" w:rsidP="0088229A">
            <w:pPr>
              <w:rPr>
                <w:rFonts w:cs="Arial"/>
                <w:sz w:val="16"/>
                <w:szCs w:val="16"/>
              </w:rPr>
            </w:pPr>
            <w:r w:rsidRPr="007657AF">
              <w:rPr>
                <w:rFonts w:cs="Arial"/>
                <w:sz w:val="16"/>
                <w:szCs w:val="16"/>
              </w:rPr>
              <w:t>N</w:t>
            </w:r>
            <w:r w:rsidR="000A6E9B">
              <w:rPr>
                <w:rFonts w:cs="Arial"/>
                <w:sz w:val="16"/>
                <w:szCs w:val="16"/>
              </w:rPr>
              <w:t>.</w:t>
            </w:r>
            <w:r w:rsidRPr="007657AF">
              <w:rPr>
                <w:rFonts w:cs="Arial"/>
                <w:sz w:val="16"/>
                <w:szCs w:val="16"/>
              </w:rPr>
              <w:t>D</w:t>
            </w:r>
            <w:r w:rsidR="000A6E9B">
              <w:rPr>
                <w:rFonts w:cs="Arial"/>
                <w:sz w:val="16"/>
                <w:szCs w:val="16"/>
              </w:rPr>
              <w:t>.</w:t>
            </w:r>
          </w:p>
        </w:tc>
      </w:tr>
      <w:tr w:rsidR="003B33D6" w:rsidRPr="00E41CFD" w:rsidTr="003B33D6">
        <w:trPr>
          <w:trHeight w:val="834"/>
        </w:trPr>
        <w:tc>
          <w:tcPr>
            <w:tcW w:w="2469" w:type="dxa"/>
            <w:tcBorders>
              <w:left w:val="double" w:sz="6" w:space="0" w:color="auto"/>
              <w:right w:val="single" w:sz="18" w:space="0" w:color="auto"/>
            </w:tcBorders>
            <w:shd w:val="clear" w:color="auto" w:fill="auto"/>
          </w:tcPr>
          <w:p w:rsidR="003B33D6" w:rsidRPr="00F066EF" w:rsidRDefault="003B33D6" w:rsidP="00121683">
            <w:pPr>
              <w:numPr>
                <w:ilvl w:val="0"/>
                <w:numId w:val="41"/>
              </w:numPr>
              <w:tabs>
                <w:tab w:val="clear" w:pos="1247"/>
                <w:tab w:val="clear" w:pos="1814"/>
                <w:tab w:val="clear" w:pos="2381"/>
                <w:tab w:val="clear" w:pos="2948"/>
                <w:tab w:val="clear" w:pos="3515"/>
              </w:tabs>
              <w:ind w:left="377" w:hanging="284"/>
              <w:rPr>
                <w:rFonts w:cs="Arial"/>
                <w:sz w:val="16"/>
                <w:szCs w:val="16"/>
              </w:rPr>
            </w:pPr>
            <w:r w:rsidRPr="00F066EF">
              <w:rPr>
                <w:rFonts w:cs="Arial"/>
                <w:sz w:val="16"/>
                <w:szCs w:val="16"/>
              </w:rPr>
              <w:t>Supercritical w</w:t>
            </w:r>
            <w:r w:rsidRPr="00C205DA">
              <w:rPr>
                <w:rFonts w:cs="Arial"/>
                <w:sz w:val="16"/>
                <w:szCs w:val="16"/>
              </w:rPr>
              <w:t xml:space="preserve">ater </w:t>
            </w:r>
            <w:r w:rsidRPr="00F066EF">
              <w:rPr>
                <w:rFonts w:cs="Arial"/>
                <w:sz w:val="16"/>
                <w:szCs w:val="16"/>
              </w:rPr>
              <w:t>oxidation (S</w:t>
            </w:r>
            <w:r w:rsidR="00841609">
              <w:rPr>
                <w:rFonts w:cs="Arial"/>
                <w:sz w:val="16"/>
                <w:szCs w:val="16"/>
              </w:rPr>
              <w:t>C</w:t>
            </w:r>
            <w:r w:rsidRPr="00F066EF">
              <w:rPr>
                <w:rFonts w:cs="Arial"/>
                <w:sz w:val="16"/>
                <w:szCs w:val="16"/>
              </w:rPr>
              <w:t>WO)</w:t>
            </w:r>
            <w:r w:rsidRPr="00F066EF">
              <w:rPr>
                <w:rFonts w:cs="Arial"/>
                <w:sz w:val="16"/>
                <w:szCs w:val="16"/>
              </w:rPr>
              <w:br/>
              <w:t>and subcritical water oxidation</w:t>
            </w:r>
          </w:p>
        </w:tc>
        <w:tc>
          <w:tcPr>
            <w:tcW w:w="1701" w:type="dxa"/>
            <w:tcBorders>
              <w:left w:val="single" w:sz="18" w:space="0" w:color="auto"/>
              <w:right w:val="single" w:sz="4" w:space="0" w:color="auto"/>
            </w:tcBorders>
            <w:shd w:val="clear" w:color="auto" w:fill="auto"/>
          </w:tcPr>
          <w:p w:rsidR="003B33D6" w:rsidRPr="00E41CFD" w:rsidRDefault="003B33D6" w:rsidP="0088229A">
            <w:pPr>
              <w:rPr>
                <w:rFonts w:cs="Arial"/>
                <w:sz w:val="16"/>
                <w:szCs w:val="16"/>
              </w:rPr>
            </w:pPr>
            <w:r w:rsidRPr="00E41CFD">
              <w:rPr>
                <w:rFonts w:cs="Arial"/>
                <w:sz w:val="16"/>
                <w:szCs w:val="16"/>
              </w:rPr>
              <w:t>Yes, for certain pesticides</w:t>
            </w:r>
            <w:r>
              <w:rPr>
                <w:rFonts w:cs="Arial"/>
                <w:sz w:val="16"/>
                <w:szCs w:val="16"/>
              </w:rPr>
              <w:t xml:space="preserve">: chlordane and DDT </w:t>
            </w:r>
          </w:p>
          <w:p w:rsidR="003B33D6" w:rsidRPr="00E41CFD" w:rsidRDefault="003B33D6" w:rsidP="0088229A">
            <w:pPr>
              <w:rPr>
                <w:rFonts w:cs="Arial"/>
                <w:sz w:val="16"/>
                <w:szCs w:val="16"/>
              </w:rPr>
            </w:pPr>
          </w:p>
        </w:tc>
        <w:tc>
          <w:tcPr>
            <w:tcW w:w="567" w:type="dxa"/>
            <w:tcBorders>
              <w:left w:val="single" w:sz="4" w:space="0" w:color="auto"/>
              <w:right w:val="single" w:sz="4" w:space="0" w:color="auto"/>
            </w:tcBorders>
            <w:shd w:val="clear" w:color="auto" w:fill="auto"/>
          </w:tcPr>
          <w:p w:rsidR="003B33D6" w:rsidRPr="00E41CFD" w:rsidRDefault="003B33D6" w:rsidP="0088229A">
            <w:pPr>
              <w:rPr>
                <w:rFonts w:cs="Arial"/>
                <w:sz w:val="16"/>
                <w:szCs w:val="16"/>
              </w:rPr>
            </w:pPr>
            <w:r w:rsidRPr="00E41CFD">
              <w:rPr>
                <w:rFonts w:cs="Arial"/>
                <w:sz w:val="16"/>
                <w:szCs w:val="16"/>
              </w:rPr>
              <w:t>Yes</w:t>
            </w:r>
          </w:p>
        </w:tc>
        <w:tc>
          <w:tcPr>
            <w:tcW w:w="1276" w:type="dxa"/>
            <w:tcBorders>
              <w:left w:val="single" w:sz="4" w:space="0" w:color="auto"/>
              <w:right w:val="single" w:sz="4" w:space="0" w:color="auto"/>
            </w:tcBorders>
            <w:shd w:val="clear" w:color="auto" w:fill="auto"/>
          </w:tcPr>
          <w:p w:rsidR="003B33D6" w:rsidRPr="00E41CFD" w:rsidRDefault="003B33D6" w:rsidP="0088229A">
            <w:pPr>
              <w:rPr>
                <w:rFonts w:cs="Arial"/>
                <w:sz w:val="16"/>
                <w:szCs w:val="16"/>
              </w:rPr>
            </w:pPr>
            <w:r w:rsidRPr="00E41CFD">
              <w:rPr>
                <w:rFonts w:cs="Arial"/>
                <w:sz w:val="16"/>
                <w:szCs w:val="16"/>
              </w:rPr>
              <w:t>Yes</w:t>
            </w:r>
            <w:r w:rsidR="00BD4899">
              <w:rPr>
                <w:rFonts w:cs="Arial"/>
                <w:sz w:val="16"/>
                <w:szCs w:val="16"/>
              </w:rPr>
              <w:t>,</w:t>
            </w:r>
            <w:r w:rsidRPr="00E41CFD">
              <w:rPr>
                <w:rFonts w:cs="Arial"/>
                <w:sz w:val="16"/>
                <w:szCs w:val="16"/>
              </w:rPr>
              <w:t xml:space="preserve"> </w:t>
            </w:r>
            <w:r>
              <w:rPr>
                <w:rFonts w:cs="Arial"/>
                <w:sz w:val="16"/>
                <w:szCs w:val="16"/>
              </w:rPr>
              <w:t>for PCDDs</w:t>
            </w:r>
          </w:p>
        </w:tc>
        <w:tc>
          <w:tcPr>
            <w:tcW w:w="709" w:type="dxa"/>
            <w:tcBorders>
              <w:left w:val="single" w:sz="4" w:space="0" w:color="auto"/>
              <w:right w:val="single" w:sz="4" w:space="0" w:color="auto"/>
            </w:tcBorders>
            <w:shd w:val="clear" w:color="auto" w:fill="auto"/>
          </w:tcPr>
          <w:p w:rsidR="003B33D6" w:rsidRPr="00E41CFD" w:rsidRDefault="003B33D6" w:rsidP="0088229A">
            <w:pPr>
              <w:rPr>
                <w:rFonts w:cs="Arial"/>
                <w:sz w:val="16"/>
                <w:szCs w:val="16"/>
              </w:rPr>
            </w:pPr>
            <w:r>
              <w:rPr>
                <w:rFonts w:cs="Arial"/>
                <w:sz w:val="16"/>
                <w:szCs w:val="16"/>
              </w:rPr>
              <w:t>N</w:t>
            </w:r>
            <w:r w:rsidR="00116568">
              <w:rPr>
                <w:rFonts w:cs="Arial"/>
                <w:sz w:val="16"/>
                <w:szCs w:val="16"/>
              </w:rPr>
              <w:t>.</w:t>
            </w:r>
            <w:r>
              <w:rPr>
                <w:rFonts w:cs="Arial"/>
                <w:sz w:val="16"/>
                <w:szCs w:val="16"/>
              </w:rPr>
              <w:t>D</w:t>
            </w:r>
            <w:r w:rsidR="00116568">
              <w:rPr>
                <w:rFonts w:cs="Arial"/>
                <w:sz w:val="16"/>
                <w:szCs w:val="16"/>
              </w:rPr>
              <w:t>.</w:t>
            </w:r>
          </w:p>
        </w:tc>
        <w:tc>
          <w:tcPr>
            <w:tcW w:w="1134" w:type="dxa"/>
            <w:tcBorders>
              <w:left w:val="single" w:sz="4" w:space="0" w:color="auto"/>
              <w:right w:val="single" w:sz="4" w:space="0" w:color="auto"/>
            </w:tcBorders>
            <w:shd w:val="clear" w:color="auto" w:fill="auto"/>
          </w:tcPr>
          <w:p w:rsidR="003B33D6" w:rsidRPr="00E41CFD" w:rsidRDefault="003B33D6" w:rsidP="0088229A">
            <w:pPr>
              <w:rPr>
                <w:rFonts w:cs="Arial"/>
                <w:sz w:val="16"/>
                <w:szCs w:val="16"/>
              </w:rPr>
            </w:pPr>
            <w:r>
              <w:rPr>
                <w:rFonts w:cs="Arial"/>
                <w:sz w:val="16"/>
                <w:szCs w:val="16"/>
              </w:rPr>
              <w:t>N</w:t>
            </w:r>
            <w:r w:rsidR="00116568">
              <w:rPr>
                <w:rFonts w:cs="Arial"/>
                <w:sz w:val="16"/>
                <w:szCs w:val="16"/>
              </w:rPr>
              <w:t>.</w:t>
            </w:r>
            <w:r>
              <w:rPr>
                <w:rFonts w:cs="Arial"/>
                <w:sz w:val="16"/>
                <w:szCs w:val="16"/>
              </w:rPr>
              <w:t>D</w:t>
            </w:r>
            <w:r w:rsidR="00116568">
              <w:rPr>
                <w:rFonts w:cs="Arial"/>
                <w:sz w:val="16"/>
                <w:szCs w:val="16"/>
              </w:rPr>
              <w:t>.</w:t>
            </w:r>
          </w:p>
        </w:tc>
        <w:tc>
          <w:tcPr>
            <w:tcW w:w="709" w:type="dxa"/>
            <w:tcBorders>
              <w:left w:val="single" w:sz="4" w:space="0" w:color="auto"/>
              <w:right w:val="single" w:sz="18" w:space="0" w:color="auto"/>
            </w:tcBorders>
            <w:shd w:val="clear" w:color="auto" w:fill="auto"/>
          </w:tcPr>
          <w:p w:rsidR="003B33D6" w:rsidRPr="00E41CFD" w:rsidRDefault="003B33D6" w:rsidP="0088229A">
            <w:pPr>
              <w:rPr>
                <w:rFonts w:cs="Arial"/>
                <w:sz w:val="16"/>
                <w:szCs w:val="16"/>
              </w:rPr>
            </w:pPr>
            <w:r>
              <w:rPr>
                <w:rFonts w:cs="Arial"/>
                <w:sz w:val="16"/>
                <w:szCs w:val="16"/>
              </w:rPr>
              <w:t>N</w:t>
            </w:r>
            <w:r w:rsidR="00116568">
              <w:rPr>
                <w:rFonts w:cs="Arial"/>
                <w:sz w:val="16"/>
                <w:szCs w:val="16"/>
              </w:rPr>
              <w:t>.</w:t>
            </w:r>
            <w:r>
              <w:rPr>
                <w:rFonts w:cs="Arial"/>
                <w:sz w:val="16"/>
                <w:szCs w:val="16"/>
              </w:rPr>
              <w:t>D</w:t>
            </w:r>
            <w:r w:rsidR="00116568">
              <w:rPr>
                <w:rFonts w:cs="Arial"/>
                <w:sz w:val="16"/>
                <w:szCs w:val="16"/>
              </w:rPr>
              <w:t>.</w:t>
            </w:r>
          </w:p>
        </w:tc>
      </w:tr>
      <w:tr w:rsidR="003B33D6" w:rsidRPr="00E41CFD" w:rsidTr="003B33D6">
        <w:trPr>
          <w:trHeight w:val="617"/>
        </w:trPr>
        <w:tc>
          <w:tcPr>
            <w:tcW w:w="2469" w:type="dxa"/>
            <w:tcBorders>
              <w:left w:val="double" w:sz="6" w:space="0" w:color="auto"/>
              <w:right w:val="single" w:sz="18" w:space="0" w:color="auto"/>
            </w:tcBorders>
            <w:shd w:val="clear" w:color="auto" w:fill="auto"/>
          </w:tcPr>
          <w:p w:rsidR="003B33D6" w:rsidRPr="00F066EF" w:rsidRDefault="003B33D6" w:rsidP="00121683">
            <w:pPr>
              <w:numPr>
                <w:ilvl w:val="0"/>
                <w:numId w:val="41"/>
              </w:numPr>
              <w:tabs>
                <w:tab w:val="clear" w:pos="1247"/>
                <w:tab w:val="clear" w:pos="1814"/>
                <w:tab w:val="clear" w:pos="2381"/>
                <w:tab w:val="clear" w:pos="2948"/>
                <w:tab w:val="clear" w:pos="3515"/>
              </w:tabs>
              <w:ind w:left="377" w:hanging="284"/>
              <w:rPr>
                <w:rFonts w:cs="Arial"/>
                <w:sz w:val="16"/>
                <w:szCs w:val="16"/>
              </w:rPr>
            </w:pPr>
            <w:r w:rsidRPr="00F066EF">
              <w:rPr>
                <w:rFonts w:cs="Arial"/>
                <w:sz w:val="16"/>
                <w:szCs w:val="16"/>
              </w:rPr>
              <w:t>Thermal and metallurgical production of metals</w:t>
            </w:r>
          </w:p>
        </w:tc>
        <w:tc>
          <w:tcPr>
            <w:tcW w:w="1701" w:type="dxa"/>
            <w:tcBorders>
              <w:left w:val="single" w:sz="18" w:space="0" w:color="auto"/>
              <w:right w:val="single" w:sz="4" w:space="0" w:color="auto"/>
            </w:tcBorders>
            <w:shd w:val="clear" w:color="auto" w:fill="auto"/>
          </w:tcPr>
          <w:p w:rsidR="003B33D6" w:rsidRPr="00E41CFD" w:rsidRDefault="003B33D6" w:rsidP="0088229A">
            <w:pPr>
              <w:rPr>
                <w:rFonts w:cs="Arial"/>
                <w:sz w:val="16"/>
                <w:szCs w:val="16"/>
              </w:rPr>
            </w:pPr>
            <w:r w:rsidRPr="00E41CFD">
              <w:rPr>
                <w:rFonts w:cs="Arial"/>
                <w:sz w:val="16"/>
                <w:szCs w:val="16"/>
              </w:rPr>
              <w:t>ND</w:t>
            </w:r>
          </w:p>
        </w:tc>
        <w:tc>
          <w:tcPr>
            <w:tcW w:w="567" w:type="dxa"/>
            <w:tcBorders>
              <w:left w:val="single" w:sz="4" w:space="0" w:color="auto"/>
              <w:right w:val="single" w:sz="4" w:space="0" w:color="auto"/>
            </w:tcBorders>
            <w:shd w:val="clear" w:color="auto" w:fill="auto"/>
          </w:tcPr>
          <w:p w:rsidR="003B33D6" w:rsidRPr="00E41CFD" w:rsidRDefault="003B33D6" w:rsidP="0088229A">
            <w:pPr>
              <w:rPr>
                <w:rFonts w:cs="Arial"/>
                <w:sz w:val="16"/>
                <w:szCs w:val="16"/>
              </w:rPr>
            </w:pPr>
            <w:r w:rsidRPr="00E41CFD">
              <w:rPr>
                <w:rFonts w:cs="Arial"/>
                <w:sz w:val="16"/>
                <w:szCs w:val="16"/>
              </w:rPr>
              <w:t>ND</w:t>
            </w:r>
          </w:p>
        </w:tc>
        <w:tc>
          <w:tcPr>
            <w:tcW w:w="1276" w:type="dxa"/>
            <w:tcBorders>
              <w:left w:val="single" w:sz="4" w:space="0" w:color="auto"/>
              <w:right w:val="single" w:sz="4" w:space="0" w:color="auto"/>
            </w:tcBorders>
            <w:shd w:val="clear" w:color="auto" w:fill="auto"/>
          </w:tcPr>
          <w:p w:rsidR="003B33D6" w:rsidRPr="00E41CFD" w:rsidRDefault="003B33D6" w:rsidP="0088229A">
            <w:pPr>
              <w:rPr>
                <w:rFonts w:cs="Arial"/>
                <w:sz w:val="16"/>
                <w:szCs w:val="16"/>
              </w:rPr>
            </w:pPr>
            <w:r w:rsidRPr="00E41CFD">
              <w:rPr>
                <w:rFonts w:cs="Arial"/>
                <w:sz w:val="16"/>
                <w:szCs w:val="16"/>
              </w:rPr>
              <w:t>Yes</w:t>
            </w:r>
          </w:p>
        </w:tc>
        <w:tc>
          <w:tcPr>
            <w:tcW w:w="709" w:type="dxa"/>
            <w:tcBorders>
              <w:left w:val="single" w:sz="4" w:space="0" w:color="auto"/>
              <w:right w:val="single" w:sz="4" w:space="0" w:color="auto"/>
            </w:tcBorders>
            <w:shd w:val="clear" w:color="auto" w:fill="auto"/>
          </w:tcPr>
          <w:p w:rsidR="003B33D6" w:rsidRPr="00E41CFD" w:rsidRDefault="003B33D6" w:rsidP="0088229A">
            <w:pPr>
              <w:rPr>
                <w:rFonts w:cs="Arial"/>
                <w:sz w:val="16"/>
                <w:szCs w:val="16"/>
              </w:rPr>
            </w:pPr>
            <w:r>
              <w:rPr>
                <w:rFonts w:cs="Arial"/>
                <w:sz w:val="16"/>
                <w:szCs w:val="16"/>
              </w:rPr>
              <w:t>ND</w:t>
            </w:r>
          </w:p>
        </w:tc>
        <w:tc>
          <w:tcPr>
            <w:tcW w:w="1134" w:type="dxa"/>
            <w:tcBorders>
              <w:left w:val="single" w:sz="4" w:space="0" w:color="auto"/>
              <w:right w:val="single" w:sz="4" w:space="0" w:color="auto"/>
            </w:tcBorders>
            <w:shd w:val="clear" w:color="auto" w:fill="auto"/>
          </w:tcPr>
          <w:p w:rsidR="003B33D6" w:rsidRPr="00E41CFD" w:rsidRDefault="003B33D6" w:rsidP="0088229A">
            <w:pPr>
              <w:rPr>
                <w:rFonts w:cs="Arial"/>
                <w:sz w:val="16"/>
                <w:szCs w:val="16"/>
              </w:rPr>
            </w:pPr>
            <w:r w:rsidRPr="00E41CFD">
              <w:rPr>
                <w:rFonts w:cs="Arial"/>
                <w:sz w:val="16"/>
                <w:szCs w:val="16"/>
              </w:rPr>
              <w:t>Yes</w:t>
            </w:r>
          </w:p>
        </w:tc>
        <w:tc>
          <w:tcPr>
            <w:tcW w:w="709" w:type="dxa"/>
            <w:tcBorders>
              <w:left w:val="single" w:sz="4" w:space="0" w:color="auto"/>
              <w:right w:val="single" w:sz="18" w:space="0" w:color="auto"/>
            </w:tcBorders>
            <w:shd w:val="clear" w:color="auto" w:fill="auto"/>
          </w:tcPr>
          <w:p w:rsidR="003B33D6" w:rsidRPr="00E41CFD" w:rsidRDefault="003B33D6" w:rsidP="0088229A">
            <w:pPr>
              <w:rPr>
                <w:rFonts w:cs="Arial"/>
                <w:sz w:val="16"/>
                <w:szCs w:val="16"/>
              </w:rPr>
            </w:pPr>
            <w:r w:rsidRPr="00E41CFD">
              <w:rPr>
                <w:rFonts w:cs="Arial"/>
                <w:sz w:val="16"/>
                <w:szCs w:val="16"/>
              </w:rPr>
              <w:t>ND</w:t>
            </w:r>
          </w:p>
        </w:tc>
      </w:tr>
    </w:tbl>
    <w:p w:rsidR="00890CDD" w:rsidRPr="00653943" w:rsidRDefault="00405DFE" w:rsidP="0088229A">
      <w:pPr>
        <w:pStyle w:val="NoSpacing1"/>
        <w:ind w:left="993"/>
        <w:rPr>
          <w:sz w:val="18"/>
          <w:szCs w:val="18"/>
        </w:rPr>
      </w:pPr>
      <w:r w:rsidRPr="00405DFE">
        <w:rPr>
          <w:sz w:val="18"/>
          <w:szCs w:val="18"/>
        </w:rPr>
        <w:t>*</w:t>
      </w:r>
      <w:r w:rsidR="000A6E9B">
        <w:rPr>
          <w:sz w:val="18"/>
          <w:szCs w:val="18"/>
        </w:rPr>
        <w:t xml:space="preserve"> </w:t>
      </w:r>
      <w:r w:rsidRPr="00405DFE">
        <w:rPr>
          <w:sz w:val="18"/>
          <w:szCs w:val="18"/>
        </w:rPr>
        <w:t xml:space="preserve">ND stands for “not determined” and indicates that information is not available to confirm the use of the technology for certain POPs. </w:t>
      </w:r>
    </w:p>
    <w:p w:rsidR="004756B6" w:rsidRPr="00653943" w:rsidRDefault="00405DFE" w:rsidP="0088229A">
      <w:pPr>
        <w:pStyle w:val="NoSpacing1"/>
        <w:ind w:left="993"/>
        <w:rPr>
          <w:sz w:val="18"/>
          <w:szCs w:val="18"/>
        </w:rPr>
      </w:pPr>
      <w:r w:rsidRPr="00405DFE">
        <w:rPr>
          <w:sz w:val="18"/>
          <w:szCs w:val="18"/>
        </w:rPr>
        <w:t xml:space="preserve">** </w:t>
      </w:r>
      <w:r w:rsidR="00653943">
        <w:rPr>
          <w:sz w:val="18"/>
          <w:szCs w:val="18"/>
        </w:rPr>
        <w:t>NA s</w:t>
      </w:r>
      <w:r w:rsidRPr="00405DFE">
        <w:rPr>
          <w:sz w:val="18"/>
          <w:szCs w:val="18"/>
        </w:rPr>
        <w:t>tands for “not applicable”</w:t>
      </w:r>
      <w:r w:rsidR="00AF2E01">
        <w:rPr>
          <w:sz w:val="18"/>
          <w:szCs w:val="18"/>
        </w:rPr>
        <w:t>.</w:t>
      </w:r>
    </w:p>
    <w:p w:rsidR="005D256C" w:rsidRDefault="00C7592D">
      <w:pPr>
        <w:pStyle w:val="Heading4"/>
        <w:spacing w:before="240" w:after="120"/>
        <w:ind w:left="1134" w:hanging="510"/>
      </w:pPr>
      <w:r w:rsidRPr="00F82CC9" w:rsidDel="00C7592D">
        <w:rPr>
          <w:szCs w:val="20"/>
        </w:rPr>
        <w:t xml:space="preserve"> </w:t>
      </w:r>
      <w:bookmarkStart w:id="717" w:name="_Toc405988677"/>
      <w:bookmarkStart w:id="718" w:name="_Toc437340570"/>
      <w:r w:rsidR="00890CDD" w:rsidRPr="00E41CFD">
        <w:rPr>
          <w:szCs w:val="20"/>
        </w:rPr>
        <w:t>(</w:t>
      </w:r>
      <w:r w:rsidR="006115A3">
        <w:rPr>
          <w:szCs w:val="20"/>
        </w:rPr>
        <w:t>a</w:t>
      </w:r>
      <w:r w:rsidR="00890CDD" w:rsidRPr="00E41CFD">
        <w:rPr>
          <w:szCs w:val="20"/>
        </w:rPr>
        <w:t>)</w:t>
      </w:r>
      <w:r w:rsidR="00890CDD" w:rsidRPr="00E41CFD">
        <w:rPr>
          <w:szCs w:val="20"/>
        </w:rPr>
        <w:tab/>
      </w:r>
      <w:r w:rsidR="00890CDD" w:rsidRPr="00E41CFD">
        <w:t>Alkali</w:t>
      </w:r>
      <w:r w:rsidR="00890CDD" w:rsidRPr="00E41CFD">
        <w:rPr>
          <w:szCs w:val="20"/>
        </w:rPr>
        <w:t xml:space="preserve"> metal reduction</w:t>
      </w:r>
      <w:r w:rsidR="00890CDD" w:rsidRPr="00E41CFD">
        <w:rPr>
          <w:szCs w:val="20"/>
          <w:vertAlign w:val="superscript"/>
        </w:rPr>
        <w:footnoteReference w:id="51"/>
      </w:r>
      <w:bookmarkEnd w:id="713"/>
      <w:bookmarkEnd w:id="714"/>
      <w:bookmarkEnd w:id="717"/>
      <w:bookmarkEnd w:id="718"/>
      <w:r w:rsidR="00890CDD" w:rsidRPr="00E41CFD">
        <w:rPr>
          <w:szCs w:val="20"/>
        </w:rPr>
        <w:tab/>
      </w:r>
    </w:p>
    <w:p w:rsidR="00890CDD" w:rsidRPr="00E41CFD" w:rsidRDefault="00890CDD" w:rsidP="00980527">
      <w:pPr>
        <w:pStyle w:val="Paralevel1"/>
        <w:tabs>
          <w:tab w:val="clear" w:pos="1843"/>
          <w:tab w:val="left" w:pos="1701"/>
        </w:tabs>
        <w:ind w:left="1134" w:firstLine="0"/>
      </w:pPr>
      <w:r w:rsidRPr="00E41CFD">
        <w:rPr>
          <w:i/>
          <w:iCs/>
        </w:rPr>
        <w:t>Process description</w:t>
      </w:r>
      <w:r w:rsidRPr="00E41CFD">
        <w:t>: Alkali metal reduction involves the treatment of wastes with dispersed alkali metal</w:t>
      </w:r>
      <w:r w:rsidR="005B0BC7">
        <w:t>s</w:t>
      </w:r>
      <w:r w:rsidRPr="00E41CFD">
        <w:t>. Alkali metals react with chlorine in halogenated waste to produce salts and non</w:t>
      </w:r>
      <w:r w:rsidRPr="00E41CFD">
        <w:noBreakHyphen/>
      </w:r>
      <w:proofErr w:type="spellStart"/>
      <w:r w:rsidRPr="00E41CFD">
        <w:t>halogenated</w:t>
      </w:r>
      <w:proofErr w:type="spellEnd"/>
      <w:r w:rsidRPr="00E41CFD">
        <w:t xml:space="preserve"> waste. Typically, the process operates at atmospheric pressure</w:t>
      </w:r>
      <w:r w:rsidR="001234F0">
        <w:t xml:space="preserve"> </w:t>
      </w:r>
      <w:r w:rsidRPr="00E41CFD">
        <w:t xml:space="preserve">and </w:t>
      </w:r>
      <w:r w:rsidR="001234F0">
        <w:t xml:space="preserve">at </w:t>
      </w:r>
      <w:r w:rsidRPr="00E41CFD">
        <w:t xml:space="preserve">temperatures </w:t>
      </w:r>
      <w:r w:rsidR="005B0BC7" w:rsidRPr="005F0B00">
        <w:t>of</w:t>
      </w:r>
      <w:r w:rsidR="005B0BC7">
        <w:t xml:space="preserve"> </w:t>
      </w:r>
      <w:r w:rsidRPr="00E41CFD">
        <w:t>between 60°C and 180°C.</w:t>
      </w:r>
      <w:r w:rsidRPr="00E41CFD">
        <w:rPr>
          <w:vertAlign w:val="superscript"/>
        </w:rPr>
        <w:footnoteReference w:id="52"/>
      </w:r>
      <w:r w:rsidRPr="00E41CFD">
        <w:t xml:space="preserve"> Treatment can take place either in situ (e.g., </w:t>
      </w:r>
      <w:r w:rsidR="00AC6CD6">
        <w:t xml:space="preserve">in the case of </w:t>
      </w:r>
      <w:r w:rsidRPr="00E41CFD">
        <w:t>PCB</w:t>
      </w:r>
      <w:r w:rsidRPr="00E41CFD">
        <w:noBreakHyphen/>
      </w:r>
      <w:proofErr w:type="spellStart"/>
      <w:r w:rsidRPr="00E41CFD">
        <w:t>contaminated</w:t>
      </w:r>
      <w:proofErr w:type="spellEnd"/>
      <w:r w:rsidRPr="00E41CFD">
        <w:t xml:space="preserve"> transformers)</w:t>
      </w:r>
      <w:r w:rsidR="00BB136E">
        <w:t>,</w:t>
      </w:r>
      <w:r w:rsidRPr="00E41CFD">
        <w:t xml:space="preserve"> or ex situ </w:t>
      </w:r>
      <w:r w:rsidR="00F6614D">
        <w:t xml:space="preserve">in </w:t>
      </w:r>
      <w:r w:rsidRPr="00E41CFD">
        <w:t>reaction vessel</w:t>
      </w:r>
      <w:r w:rsidR="005B0BC7">
        <w:t>s</w:t>
      </w:r>
      <w:r w:rsidRPr="00E41CFD">
        <w:t>. There are sev</w:t>
      </w:r>
      <w:r>
        <w:t>eral variations of this process</w:t>
      </w:r>
      <w:r w:rsidRPr="00E41CFD">
        <w:t xml:space="preserve"> (</w:t>
      </w:r>
      <w:proofErr w:type="spellStart"/>
      <w:r w:rsidRPr="00E41CFD">
        <w:t>Piersol</w:t>
      </w:r>
      <w:proofErr w:type="spellEnd"/>
      <w:r w:rsidRPr="00E41CFD">
        <w:t>, 1989). Although potassium and potassium-sodium alloy have been used</w:t>
      </w:r>
      <w:r w:rsidR="00E3531C">
        <w:t xml:space="preserve"> </w:t>
      </w:r>
      <w:r w:rsidR="00E3531C" w:rsidRPr="00F6614D">
        <w:t>as reducing agents</w:t>
      </w:r>
      <w:r w:rsidRPr="00E41CFD">
        <w:t xml:space="preserve">, metallic sodium is the most commonly used reducing agent. </w:t>
      </w:r>
      <w:r w:rsidRPr="00F6614D">
        <w:t xml:space="preserve">The information </w:t>
      </w:r>
      <w:r w:rsidR="0073058B" w:rsidRPr="00F6614D">
        <w:t xml:space="preserve">discussed in </w:t>
      </w:r>
      <w:r w:rsidR="00405DFE" w:rsidRPr="00405DFE">
        <w:t>the remainder of this subsection</w:t>
      </w:r>
      <w:r w:rsidR="0073058B" w:rsidRPr="00F6614D">
        <w:t xml:space="preserve"> </w:t>
      </w:r>
      <w:r w:rsidRPr="00F6614D">
        <w:t xml:space="preserve">is based on experiences </w:t>
      </w:r>
      <w:r w:rsidR="00BB136E" w:rsidRPr="00F6614D">
        <w:t xml:space="preserve">with the use of </w:t>
      </w:r>
      <w:r w:rsidRPr="00F6614D">
        <w:t>metallic sodium</w:t>
      </w:r>
      <w:r w:rsidR="00BB136E" w:rsidRPr="00F6614D">
        <w:t>.</w:t>
      </w:r>
      <w:r w:rsidR="00C92458" w:rsidRPr="00C92458">
        <w:rPr>
          <w:b/>
          <w:i/>
        </w:rPr>
        <w:t xml:space="preserve"> </w:t>
      </w:r>
      <w:r w:rsidR="00BB136E">
        <w:rPr>
          <w:b/>
          <w:i/>
        </w:rPr>
        <w:t xml:space="preserve"> </w:t>
      </w:r>
    </w:p>
    <w:p w:rsidR="00890CDD" w:rsidRPr="00E41CFD" w:rsidRDefault="00890CDD" w:rsidP="00980527">
      <w:pPr>
        <w:pStyle w:val="Paralevel1"/>
        <w:tabs>
          <w:tab w:val="clear" w:pos="1843"/>
          <w:tab w:val="left" w:pos="1701"/>
        </w:tabs>
        <w:ind w:left="1134" w:firstLine="0"/>
      </w:pPr>
      <w:r w:rsidRPr="00E41CFD">
        <w:rPr>
          <w:i/>
          <w:iCs/>
        </w:rPr>
        <w:t>Efficiency</w:t>
      </w:r>
      <w:r w:rsidRPr="00E41CFD">
        <w:t>: Destruction efficienc</w:t>
      </w:r>
      <w:r w:rsidR="009C4600">
        <w:t>ies</w:t>
      </w:r>
      <w:r w:rsidRPr="00E41CFD">
        <w:t xml:space="preserve"> (DE</w:t>
      </w:r>
      <w:r w:rsidR="009C4600">
        <w:t>s</w:t>
      </w:r>
      <w:r w:rsidRPr="00E41CFD">
        <w:t xml:space="preserve">) of </w:t>
      </w:r>
      <w:r w:rsidR="0073058B">
        <w:t xml:space="preserve">more </w:t>
      </w:r>
      <w:r w:rsidRPr="00E41CFD">
        <w:t xml:space="preserve">than 99.999 </w:t>
      </w:r>
      <w:r w:rsidR="0073058B">
        <w:t>per cent</w:t>
      </w:r>
      <w:r w:rsidRPr="00E41CFD">
        <w:t xml:space="preserve"> and destruction removal efficienc</w:t>
      </w:r>
      <w:r w:rsidR="009C4600">
        <w:t>ies</w:t>
      </w:r>
      <w:r w:rsidRPr="00E41CFD">
        <w:t xml:space="preserve"> (DRE</w:t>
      </w:r>
      <w:r w:rsidR="009C4600">
        <w:t>s</w:t>
      </w:r>
      <w:r w:rsidRPr="00E41CFD">
        <w:t xml:space="preserve">) of 99.9999 </w:t>
      </w:r>
      <w:r w:rsidR="0073058B">
        <w:t xml:space="preserve">per cent </w:t>
      </w:r>
      <w:r w:rsidRPr="00E41CFD">
        <w:t>have been repor</w:t>
      </w:r>
      <w:r>
        <w:t>ted for</w:t>
      </w:r>
      <w:r w:rsidRPr="00E41CFD">
        <w:t xml:space="preserve"> chlordane</w:t>
      </w:r>
      <w:r>
        <w:t>, HC</w:t>
      </w:r>
      <w:r w:rsidR="000E115A">
        <w:t>H</w:t>
      </w:r>
      <w:r w:rsidRPr="00E41CFD">
        <w:t xml:space="preserve"> and PCBs (Ministry of Environment of Japan, 2004). The sodium reduction process has also been demonstrated to meet regulatory criteria in Australia, Canada, Japan, South Africa, the United States of America and the European Union for PCB transformer oil treatment, i.e., less than 2 </w:t>
      </w:r>
      <w:r>
        <w:t>mg/kg</w:t>
      </w:r>
      <w:r w:rsidRPr="00E41CFD">
        <w:t xml:space="preserve"> in solid and liquid residues (UNEP, 2004b).</w:t>
      </w:r>
      <w:r w:rsidRPr="00E41CFD">
        <w:rPr>
          <w:vertAlign w:val="superscript"/>
        </w:rPr>
        <w:t xml:space="preserve"> </w:t>
      </w:r>
    </w:p>
    <w:p w:rsidR="00890CDD" w:rsidRPr="00E41CFD" w:rsidRDefault="00890CDD" w:rsidP="00980527">
      <w:pPr>
        <w:pStyle w:val="Paralevel1"/>
        <w:tabs>
          <w:tab w:val="clear" w:pos="1843"/>
          <w:tab w:val="left" w:pos="1701"/>
        </w:tabs>
        <w:ind w:left="1134" w:firstLine="0"/>
      </w:pPr>
      <w:r w:rsidRPr="00E41CFD">
        <w:rPr>
          <w:i/>
          <w:iCs/>
        </w:rPr>
        <w:t>Waste types</w:t>
      </w:r>
      <w:r w:rsidRPr="00E41CFD">
        <w:t xml:space="preserve">: Sodium reduction has been demonstrated with PCB-contaminated </w:t>
      </w:r>
      <w:proofErr w:type="spellStart"/>
      <w:r w:rsidRPr="00E41CFD">
        <w:t>oils</w:t>
      </w:r>
      <w:proofErr w:type="spellEnd"/>
      <w:r w:rsidRPr="00E41CFD">
        <w:t xml:space="preserve"> containing concentrations up to 10,000 </w:t>
      </w:r>
      <w:r w:rsidR="005F3425">
        <w:t>mg/kg</w:t>
      </w:r>
      <w:r w:rsidRPr="00E41CFD">
        <w:t>. Some vendors have claimed that this process is capable of treating whole capacitors and transformers (UNEP, 2004</w:t>
      </w:r>
      <w:r w:rsidR="003607FF">
        <w:t>a</w:t>
      </w:r>
      <w:r w:rsidRPr="00E41CFD">
        <w:t>).</w:t>
      </w:r>
      <w:r w:rsidR="00D26435">
        <w:t xml:space="preserve"> </w:t>
      </w:r>
      <w:r w:rsidR="003E3EE9">
        <w:t xml:space="preserve">It is also reported that </w:t>
      </w:r>
      <w:r w:rsidR="00BB136E">
        <w:t>a</w:t>
      </w:r>
      <w:r w:rsidR="003E3EE9">
        <w:t>lkali metal reduction is applicable to chlordane and HCH as waste pesticides (Ministry of the Environment of Japan, 2004).</w:t>
      </w:r>
    </w:p>
    <w:p w:rsidR="00890CDD" w:rsidRPr="00E41CFD" w:rsidRDefault="00890CDD" w:rsidP="00980527">
      <w:pPr>
        <w:pStyle w:val="Paralevel1"/>
        <w:tabs>
          <w:tab w:val="clear" w:pos="1843"/>
          <w:tab w:val="left" w:pos="1701"/>
        </w:tabs>
        <w:ind w:left="1134" w:firstLine="0"/>
      </w:pPr>
      <w:r w:rsidRPr="00E41CFD">
        <w:rPr>
          <w:i/>
          <w:iCs/>
        </w:rPr>
        <w:t>Pre-treatment</w:t>
      </w:r>
      <w:r w:rsidRPr="00E41CFD">
        <w:t>: Ex-situ treatment of PCBs can be performed</w:t>
      </w:r>
      <w:r w:rsidR="00265A52">
        <w:t xml:space="preserve"> </w:t>
      </w:r>
      <w:r w:rsidRPr="00E41CFD">
        <w:t>following solvent extraction of PCBs. Treatment of whole capacitors and transformers could be carried out following size reduction through shearing. Pre-treatment should include dewatering by phase separation, evaporation, or other method (UNIDO, 1987) to avoid explosive reactions with metallic sodium. Equipment should be washed with organic solvents. Similarly</w:t>
      </w:r>
      <w:r w:rsidR="009F34BC">
        <w:t>,</w:t>
      </w:r>
      <w:r w:rsidRPr="00E41CFD">
        <w:t xml:space="preserve"> the POPs </w:t>
      </w:r>
      <w:r w:rsidR="00887DFF">
        <w:t>that</w:t>
      </w:r>
      <w:r w:rsidR="00887DFF" w:rsidRPr="00E41CFD">
        <w:t xml:space="preserve"> </w:t>
      </w:r>
      <w:r w:rsidRPr="00E41CFD">
        <w:t xml:space="preserve">are </w:t>
      </w:r>
      <w:r w:rsidR="00887DFF">
        <w:t xml:space="preserve">in a </w:t>
      </w:r>
      <w:r w:rsidRPr="00E41CFD">
        <w:t xml:space="preserve">solid or adsorbed </w:t>
      </w:r>
      <w:r w:rsidR="00887DFF">
        <w:t xml:space="preserve">form </w:t>
      </w:r>
      <w:r w:rsidRPr="00E41CFD">
        <w:t xml:space="preserve">would need to be dissolved to the required concentration or extracted from </w:t>
      </w:r>
      <w:r w:rsidR="00887DFF">
        <w:t xml:space="preserve">their </w:t>
      </w:r>
      <w:r w:rsidRPr="00E41CFD">
        <w:t>matrices (</w:t>
      </w:r>
      <w:proofErr w:type="spellStart"/>
      <w:r w:rsidRPr="00E41CFD">
        <w:t>Piersol</w:t>
      </w:r>
      <w:proofErr w:type="spellEnd"/>
      <w:r>
        <w:t>,</w:t>
      </w:r>
      <w:r w:rsidRPr="00E41CFD">
        <w:t xml:space="preserve"> 1989 and UNEP, 2004</w:t>
      </w:r>
      <w:r w:rsidR="003607FF">
        <w:t>a</w:t>
      </w:r>
      <w:r w:rsidRPr="00E41CFD">
        <w:t>).</w:t>
      </w:r>
    </w:p>
    <w:p w:rsidR="00890CDD" w:rsidRPr="00E41CFD" w:rsidRDefault="00890CDD" w:rsidP="00980527">
      <w:pPr>
        <w:pStyle w:val="Paralevel1"/>
        <w:tabs>
          <w:tab w:val="clear" w:pos="1843"/>
          <w:tab w:val="left" w:pos="1701"/>
        </w:tabs>
        <w:ind w:left="1134" w:firstLine="0"/>
      </w:pPr>
      <w:r w:rsidRPr="00E41CFD">
        <w:rPr>
          <w:i/>
          <w:iCs/>
        </w:rPr>
        <w:t>Emissions and residues</w:t>
      </w:r>
      <w:r w:rsidRPr="00E41CFD">
        <w:t>: Air emissions include nitrogen and hydrogen gas. Emissions of organic compounds are expected to be relatively minor (</w:t>
      </w:r>
      <w:proofErr w:type="spellStart"/>
      <w:r w:rsidRPr="00E41CFD">
        <w:t>Piersol</w:t>
      </w:r>
      <w:proofErr w:type="spellEnd"/>
      <w:r w:rsidRPr="00E41CFD">
        <w:t>, 198</w:t>
      </w:r>
      <w:r>
        <w:t>9</w:t>
      </w:r>
      <w:r w:rsidRPr="00E41CFD">
        <w:t xml:space="preserve">). It has been noted, however, that PCDDs and PCDFs can be formed from </w:t>
      </w:r>
      <w:proofErr w:type="spellStart"/>
      <w:r w:rsidRPr="00E41CFD">
        <w:t>chlorophenols</w:t>
      </w:r>
      <w:proofErr w:type="spellEnd"/>
      <w:r w:rsidRPr="00E41CFD">
        <w:t xml:space="preserve"> under alkaline conditions at temperatures as low as 150°C (Weber, 2004). Residues produced during the process include sodium chloride, sodium hydroxide, </w:t>
      </w:r>
      <w:proofErr w:type="spellStart"/>
      <w:r w:rsidRPr="00E41CFD">
        <w:t>polyphenyls</w:t>
      </w:r>
      <w:proofErr w:type="spellEnd"/>
      <w:r w:rsidRPr="00E41CFD">
        <w:t xml:space="preserve"> and water. In some variations, a solidified polymer is also formed (UNEP, 2000).</w:t>
      </w:r>
    </w:p>
    <w:p w:rsidR="00890CDD" w:rsidRPr="00E41CFD" w:rsidRDefault="00890CDD" w:rsidP="00980527">
      <w:pPr>
        <w:pStyle w:val="Paralevel1"/>
        <w:tabs>
          <w:tab w:val="clear" w:pos="1843"/>
          <w:tab w:val="left" w:pos="1701"/>
        </w:tabs>
        <w:ind w:left="1134" w:firstLine="0"/>
      </w:pPr>
      <w:r w:rsidRPr="00E41CFD">
        <w:rPr>
          <w:i/>
          <w:iCs/>
        </w:rPr>
        <w:t>Release control and post-treatment</w:t>
      </w:r>
      <w:r w:rsidRPr="00E41CFD">
        <w:t xml:space="preserve">: After </w:t>
      </w:r>
      <w:r w:rsidR="00581403">
        <w:t xml:space="preserve">a </w:t>
      </w:r>
      <w:r w:rsidRPr="00E41CFD">
        <w:t xml:space="preserve">reaction, the </w:t>
      </w:r>
      <w:r w:rsidR="00581403">
        <w:t xml:space="preserve">resulting </w:t>
      </w:r>
      <w:r w:rsidRPr="00E41CFD">
        <w:t>by-products can be separated out from the oil through a combination of filtration and centrifugation. The decontaminated oil can be reused, the sodium chloride can either be reused or disposed of in a landfill</w:t>
      </w:r>
      <w:r w:rsidR="00581403">
        <w:t>,</w:t>
      </w:r>
      <w:r w:rsidRPr="00E41CFD">
        <w:t xml:space="preserve"> and the solidified polymer can be disposed of in a landfill (UNEP, 2000)</w:t>
      </w:r>
      <w:r w:rsidR="00581403">
        <w:t>, with</w:t>
      </w:r>
      <w:r w:rsidRPr="00E41CFD">
        <w:t xml:space="preserve"> </w:t>
      </w:r>
      <w:r w:rsidR="00581403">
        <w:t>n</w:t>
      </w:r>
      <w:r w:rsidRPr="00E41CFD">
        <w:t xml:space="preserve">o or minimal post-treatment required. Depending on </w:t>
      </w:r>
      <w:r w:rsidR="00581403">
        <w:t xml:space="preserve">the </w:t>
      </w:r>
      <w:r w:rsidRPr="00E41CFD">
        <w:t xml:space="preserve">technology </w:t>
      </w:r>
      <w:r w:rsidR="00581403">
        <w:t>used, the</w:t>
      </w:r>
      <w:r w:rsidR="00581403" w:rsidRPr="00E41CFD">
        <w:t xml:space="preserve"> combination of filtration and centrifugation</w:t>
      </w:r>
      <w:r w:rsidR="00581403">
        <w:t xml:space="preserve"> </w:t>
      </w:r>
      <w:r w:rsidRPr="00E41CFD">
        <w:t xml:space="preserve">can include off-gas treatment </w:t>
      </w:r>
      <w:r w:rsidRPr="00E41CFD">
        <w:rPr>
          <w:iCs/>
        </w:rPr>
        <w:t>and neutralization or conservation of residuals. The excess sodium, if not neutralized, may need to be recovered. Liquid products, if not reused, and solidified polymeric products should be usually burnt in incinerators</w:t>
      </w:r>
      <w:r w:rsidR="00581403">
        <w:rPr>
          <w:iCs/>
        </w:rPr>
        <w:t>,</w:t>
      </w:r>
      <w:r w:rsidRPr="00E41CFD">
        <w:rPr>
          <w:iCs/>
        </w:rPr>
        <w:t xml:space="preserve"> and inorganic salts would require disposal. Minor quantities of volatile organic</w:t>
      </w:r>
      <w:r w:rsidR="00581403">
        <w:rPr>
          <w:iCs/>
        </w:rPr>
        <w:t xml:space="preserve"> compound</w:t>
      </w:r>
      <w:r w:rsidRPr="00E41CFD">
        <w:rPr>
          <w:iCs/>
        </w:rPr>
        <w:t xml:space="preserve">s in emissions can be captured </w:t>
      </w:r>
      <w:r w:rsidR="00AF2996">
        <w:rPr>
          <w:iCs/>
        </w:rPr>
        <w:t xml:space="preserve">with the use of </w:t>
      </w:r>
      <w:r w:rsidRPr="00E41CFD">
        <w:rPr>
          <w:iCs/>
        </w:rPr>
        <w:t>activated carbon (UNIDO, 2007)</w:t>
      </w:r>
      <w:r>
        <w:rPr>
          <w:iCs/>
        </w:rPr>
        <w:t>.</w:t>
      </w:r>
    </w:p>
    <w:p w:rsidR="00890CDD" w:rsidRPr="00E41CFD" w:rsidRDefault="00890CDD" w:rsidP="00980527">
      <w:pPr>
        <w:pStyle w:val="Paralevel1"/>
        <w:tabs>
          <w:tab w:val="clear" w:pos="1843"/>
          <w:tab w:val="left" w:pos="1701"/>
        </w:tabs>
        <w:ind w:left="1134" w:firstLine="0"/>
      </w:pPr>
      <w:r w:rsidRPr="00E41CFD">
        <w:rPr>
          <w:i/>
          <w:iCs/>
        </w:rPr>
        <w:t>Energy requirements</w:t>
      </w:r>
      <w:r w:rsidRPr="00E41CFD">
        <w:t>: Immediate energy requirements are expected to be relatively low owing to the low operating temperatures associated with the sodium reduction process.</w:t>
      </w:r>
    </w:p>
    <w:p w:rsidR="00890CDD" w:rsidRPr="00E41CFD" w:rsidRDefault="00890CDD" w:rsidP="00980527">
      <w:pPr>
        <w:pStyle w:val="Paralevel1"/>
        <w:tabs>
          <w:tab w:val="clear" w:pos="1843"/>
          <w:tab w:val="left" w:pos="1701"/>
        </w:tabs>
        <w:ind w:left="1134" w:firstLine="0"/>
      </w:pPr>
      <w:r w:rsidRPr="00E41CFD">
        <w:rPr>
          <w:i/>
          <w:iCs/>
        </w:rPr>
        <w:t>Material requirements</w:t>
      </w:r>
      <w:r w:rsidRPr="00E41CFD">
        <w:t xml:space="preserve">: </w:t>
      </w:r>
      <w:r>
        <w:t>S</w:t>
      </w:r>
      <w:r w:rsidRPr="00E41CFD">
        <w:t>odium</w:t>
      </w:r>
      <w:r>
        <w:t xml:space="preserve"> is </w:t>
      </w:r>
      <w:r w:rsidRPr="00E41CFD">
        <w:t>required to operate this process (UNEP, 2004</w:t>
      </w:r>
      <w:r w:rsidR="003607FF">
        <w:t>a</w:t>
      </w:r>
      <w:r w:rsidRPr="00E41CFD">
        <w:t>).</w:t>
      </w:r>
    </w:p>
    <w:p w:rsidR="00890CDD" w:rsidRPr="00E41CFD" w:rsidRDefault="00890CDD" w:rsidP="00980527">
      <w:pPr>
        <w:pStyle w:val="Paralevel1"/>
        <w:tabs>
          <w:tab w:val="clear" w:pos="1843"/>
          <w:tab w:val="left" w:pos="1701"/>
        </w:tabs>
        <w:ind w:left="1134" w:firstLine="0"/>
      </w:pPr>
      <w:r w:rsidRPr="00E41CFD">
        <w:rPr>
          <w:i/>
          <w:iCs/>
        </w:rPr>
        <w:t>Portability</w:t>
      </w:r>
      <w:r w:rsidRPr="00E41CFD">
        <w:t>: The process is available in transportable and fixed configurations (UNEP, 2000)</w:t>
      </w:r>
      <w:r w:rsidR="00B149C0">
        <w:t>.</w:t>
      </w:r>
      <w:r w:rsidRPr="00E41CFD">
        <w:t xml:space="preserve"> </w:t>
      </w:r>
    </w:p>
    <w:p w:rsidR="00890CDD" w:rsidRPr="00E41CFD" w:rsidRDefault="00890CDD" w:rsidP="00980527">
      <w:pPr>
        <w:pStyle w:val="Paralevel1"/>
        <w:tabs>
          <w:tab w:val="clear" w:pos="1843"/>
          <w:tab w:val="left" w:pos="1701"/>
        </w:tabs>
        <w:ind w:left="1134" w:firstLine="0"/>
      </w:pPr>
      <w:r w:rsidRPr="00E41CFD">
        <w:rPr>
          <w:i/>
          <w:iCs/>
        </w:rPr>
        <w:t>Health and safety</w:t>
      </w:r>
      <w:r w:rsidRPr="00E41CFD">
        <w:t xml:space="preserve">: Dispersed metallic sodium can react violently and explosively with water, presenting a major hazard to operators. Metallic sodium can also react with a variety of other substances to produce hydrogen, a flammable gas that is explosive in admixture with air. </w:t>
      </w:r>
      <w:r w:rsidRPr="00C7592D">
        <w:t xml:space="preserve">Great care must be taken in </w:t>
      </w:r>
      <w:r w:rsidR="00B149C0" w:rsidRPr="00C7592D">
        <w:t xml:space="preserve">the </w:t>
      </w:r>
      <w:r w:rsidRPr="00C7592D">
        <w:t xml:space="preserve">process design and operation to exclude </w:t>
      </w:r>
      <w:r w:rsidR="00B149C0" w:rsidRPr="00C7592D">
        <w:t xml:space="preserve">any </w:t>
      </w:r>
      <w:r w:rsidRPr="00C7592D">
        <w:t xml:space="preserve">water (and certain other substances, e.g., alcohols) from the waste and </w:t>
      </w:r>
      <w:r w:rsidR="00B149C0" w:rsidRPr="00C7592D">
        <w:t xml:space="preserve">to prevent </w:t>
      </w:r>
      <w:r w:rsidRPr="00C7592D">
        <w:t xml:space="preserve">any contact </w:t>
      </w:r>
      <w:r w:rsidR="00B149C0" w:rsidRPr="00C7592D">
        <w:t xml:space="preserve">of water (or certain other substances) </w:t>
      </w:r>
      <w:r w:rsidRPr="00C7592D">
        <w:t xml:space="preserve">with the </w:t>
      </w:r>
      <w:r w:rsidR="00B149C0" w:rsidRPr="00C7592D">
        <w:t xml:space="preserve">metallic </w:t>
      </w:r>
      <w:r w:rsidRPr="00C7592D">
        <w:t>sodium.</w:t>
      </w:r>
    </w:p>
    <w:p w:rsidR="00890CDD" w:rsidRPr="00E41CFD" w:rsidRDefault="00890CDD" w:rsidP="00980527">
      <w:pPr>
        <w:pStyle w:val="Paralevel1"/>
        <w:tabs>
          <w:tab w:val="clear" w:pos="1843"/>
          <w:tab w:val="left" w:pos="1701"/>
        </w:tabs>
        <w:ind w:left="1134" w:firstLine="0"/>
      </w:pPr>
      <w:r w:rsidRPr="00E41CFD">
        <w:rPr>
          <w:i/>
          <w:iCs/>
        </w:rPr>
        <w:t>Capacity</w:t>
      </w:r>
      <w:r w:rsidRPr="00E41CFD">
        <w:t xml:space="preserve">: Mobile facilities are capable of treating 15,000 </w:t>
      </w:r>
      <w:proofErr w:type="spellStart"/>
      <w:r w:rsidRPr="00E41CFD">
        <w:t>litres</w:t>
      </w:r>
      <w:proofErr w:type="spellEnd"/>
      <w:r w:rsidRPr="00E41CFD">
        <w:t xml:space="preserve"> per day of</w:t>
      </w:r>
      <w:r>
        <w:t xml:space="preserve"> </w:t>
      </w:r>
      <w:r w:rsidR="005A710B" w:rsidRPr="00E41CFD">
        <w:t>PCB</w:t>
      </w:r>
      <w:r w:rsidR="005A710B" w:rsidRPr="00E41CFD">
        <w:noBreakHyphen/>
      </w:r>
      <w:proofErr w:type="spellStart"/>
      <w:r w:rsidR="005A710B" w:rsidRPr="00E41CFD">
        <w:t>contaminated</w:t>
      </w:r>
      <w:proofErr w:type="spellEnd"/>
      <w:r w:rsidR="005A710B" w:rsidRPr="00E41CFD">
        <w:t xml:space="preserve"> </w:t>
      </w:r>
      <w:r w:rsidRPr="00E41CFD">
        <w:t>transformer oil</w:t>
      </w:r>
      <w:r w:rsidR="004E3598">
        <w:t>s</w:t>
      </w:r>
      <w:r w:rsidRPr="00E41CFD">
        <w:t xml:space="preserve"> (UNEP, 2000).</w:t>
      </w:r>
    </w:p>
    <w:p w:rsidR="00890CDD" w:rsidRPr="00E41CFD" w:rsidRDefault="00890CDD" w:rsidP="00980527">
      <w:pPr>
        <w:pStyle w:val="Paralevel1"/>
        <w:tabs>
          <w:tab w:val="clear" w:pos="1843"/>
          <w:tab w:val="left" w:pos="1701"/>
        </w:tabs>
        <w:ind w:left="1134" w:firstLine="0"/>
      </w:pPr>
      <w:r w:rsidRPr="00E41CFD">
        <w:rPr>
          <w:i/>
          <w:iCs/>
        </w:rPr>
        <w:t>Other practical issues</w:t>
      </w:r>
      <w:r w:rsidRPr="00E41CFD">
        <w:t>: Sodium reduction used for in-situ treatment of PCB</w:t>
      </w:r>
      <w:r w:rsidRPr="00E41CFD">
        <w:noBreakHyphen/>
      </w:r>
      <w:proofErr w:type="spellStart"/>
      <w:r w:rsidRPr="00E41CFD">
        <w:t>contaminated</w:t>
      </w:r>
      <w:proofErr w:type="spellEnd"/>
      <w:r w:rsidRPr="00E41CFD">
        <w:t xml:space="preserve"> transformer oils may not destroy all the PCBs contained in the porous internals of the transformer. Some authors have noted that there is a lack of information on the characterization of residues (UNEP, 2000).</w:t>
      </w:r>
    </w:p>
    <w:p w:rsidR="00890CDD" w:rsidRDefault="00890CDD" w:rsidP="00980527">
      <w:pPr>
        <w:pStyle w:val="Paralevel1"/>
        <w:tabs>
          <w:tab w:val="clear" w:pos="1843"/>
          <w:tab w:val="left" w:pos="1701"/>
        </w:tabs>
        <w:ind w:left="1134" w:firstLine="0"/>
      </w:pPr>
      <w:r w:rsidRPr="00E41CFD">
        <w:rPr>
          <w:i/>
          <w:iCs/>
        </w:rPr>
        <w:t xml:space="preserve">State of </w:t>
      </w:r>
      <w:r w:rsidRPr="00E41CFD">
        <w:rPr>
          <w:i/>
        </w:rPr>
        <w:t>commercialization</w:t>
      </w:r>
      <w:r w:rsidRPr="00E41CFD">
        <w:t>:</w:t>
      </w:r>
      <w:r w:rsidR="007F6ECA">
        <w:t xml:space="preserve"> Alkali</w:t>
      </w:r>
      <w:r w:rsidRPr="00E41CFD">
        <w:t xml:space="preserve"> </w:t>
      </w:r>
      <w:r w:rsidR="007F6ECA">
        <w:t>metal reduction</w:t>
      </w:r>
      <w:r w:rsidR="007F6ECA">
        <w:rPr>
          <w:b/>
        </w:rPr>
        <w:t xml:space="preserve"> </w:t>
      </w:r>
      <w:r w:rsidRPr="00E41CFD">
        <w:t xml:space="preserve">has been used commercially for </w:t>
      </w:r>
      <w:r w:rsidR="007D6E1B">
        <w:t xml:space="preserve">about </w:t>
      </w:r>
      <w:r w:rsidRPr="00E41CFD">
        <w:t xml:space="preserve">25 years and is still </w:t>
      </w:r>
      <w:r w:rsidR="007D6E1B">
        <w:t xml:space="preserve">in use </w:t>
      </w:r>
      <w:r w:rsidRPr="00E41CFD">
        <w:t xml:space="preserve">today. </w:t>
      </w:r>
      <w:r w:rsidR="00B46833">
        <w:t xml:space="preserve">In Japan, three commercial-scale plants were installed in 2004, 2005 and 2009 and are </w:t>
      </w:r>
      <w:r w:rsidR="00306688">
        <w:t xml:space="preserve">currently </w:t>
      </w:r>
      <w:r w:rsidR="00B46833">
        <w:t>in operation (JESCO, 2009a; JESCO, 2009b; JESCO, 2013).</w:t>
      </w:r>
    </w:p>
    <w:p w:rsidR="004756B6" w:rsidRPr="0039549D" w:rsidRDefault="004756B6" w:rsidP="003F0424">
      <w:pPr>
        <w:pStyle w:val="Heading4"/>
        <w:spacing w:before="240" w:after="120"/>
        <w:ind w:left="1134" w:hanging="510"/>
        <w:rPr>
          <w:color w:val="auto"/>
        </w:rPr>
      </w:pPr>
      <w:bookmarkStart w:id="719" w:name="_Toc437340571"/>
      <w:bookmarkStart w:id="720" w:name="_Toc405988678"/>
      <w:r w:rsidRPr="007808CA">
        <w:rPr>
          <w:color w:val="auto"/>
          <w:szCs w:val="20"/>
        </w:rPr>
        <w:t>(</w:t>
      </w:r>
      <w:r w:rsidR="006E7C79" w:rsidRPr="007808CA">
        <w:rPr>
          <w:color w:val="auto"/>
          <w:szCs w:val="20"/>
        </w:rPr>
        <w:t>b</w:t>
      </w:r>
      <w:r w:rsidRPr="007808CA">
        <w:rPr>
          <w:color w:val="auto"/>
          <w:szCs w:val="20"/>
        </w:rPr>
        <w:t>)</w:t>
      </w:r>
      <w:r w:rsidRPr="0039549D">
        <w:rPr>
          <w:color w:val="auto"/>
          <w:szCs w:val="20"/>
        </w:rPr>
        <w:tab/>
        <w:t>Advanced Solid Waste Incineration (ASWI)</w:t>
      </w:r>
      <w:bookmarkEnd w:id="719"/>
      <w:r w:rsidRPr="0039549D">
        <w:rPr>
          <w:color w:val="auto"/>
          <w:szCs w:val="20"/>
        </w:rPr>
        <w:t xml:space="preserve"> </w:t>
      </w:r>
    </w:p>
    <w:p w:rsidR="004756B6" w:rsidRPr="00A15BA4" w:rsidRDefault="004756B6" w:rsidP="00980527">
      <w:pPr>
        <w:pStyle w:val="Paralevel1"/>
        <w:tabs>
          <w:tab w:val="clear" w:pos="1843"/>
          <w:tab w:val="left" w:pos="1701"/>
        </w:tabs>
        <w:ind w:left="1134" w:firstLine="0"/>
      </w:pPr>
      <w:r w:rsidRPr="004756B6">
        <w:rPr>
          <w:i/>
        </w:rPr>
        <w:t xml:space="preserve">Process description: </w:t>
      </w:r>
      <w:r w:rsidRPr="00FE3702">
        <w:t>There are many different types of</w:t>
      </w:r>
      <w:r w:rsidRPr="00A15BA4">
        <w:t xml:space="preserve"> municipal waste incinerators</w:t>
      </w:r>
      <w:r w:rsidR="00D93E6D">
        <w:t xml:space="preserve"> and </w:t>
      </w:r>
      <w:r w:rsidRPr="00A15BA4">
        <w:t xml:space="preserve">not all </w:t>
      </w:r>
      <w:r w:rsidR="00D93E6D">
        <w:t xml:space="preserve">municipal waste incinerator </w:t>
      </w:r>
      <w:r w:rsidRPr="00A15BA4">
        <w:t xml:space="preserve">technologies </w:t>
      </w:r>
      <w:r w:rsidR="00D93E6D">
        <w:t xml:space="preserve">or </w:t>
      </w:r>
      <w:r w:rsidRPr="00A15BA4">
        <w:t>facilities are able to properly destroy POPs in waste.</w:t>
      </w:r>
      <w:r w:rsidRPr="004756B6">
        <w:rPr>
          <w:i/>
        </w:rPr>
        <w:t xml:space="preserve"> </w:t>
      </w:r>
      <w:r w:rsidRPr="00A15BA4">
        <w:t>Advanced</w:t>
      </w:r>
      <w:r w:rsidRPr="004756B6">
        <w:rPr>
          <w:i/>
        </w:rPr>
        <w:t xml:space="preserve"> </w:t>
      </w:r>
      <w:r w:rsidRPr="00A15BA4">
        <w:t>solid waste incinerators are designed to safely treat the contaminants present in municipal solid waste (MSW) and similar commercial and industrial waste, usually in grate furnaces operating at high temperature</w:t>
      </w:r>
      <w:r w:rsidR="00D93E6D">
        <w:t>s</w:t>
      </w:r>
      <w:r w:rsidRPr="00A15BA4">
        <w:t>, and incorporating state</w:t>
      </w:r>
      <w:r w:rsidR="00D93E6D">
        <w:t>-</w:t>
      </w:r>
      <w:r w:rsidRPr="00A15BA4">
        <w:t>of</w:t>
      </w:r>
      <w:r w:rsidR="00D93E6D">
        <w:t>-</w:t>
      </w:r>
      <w:r w:rsidRPr="00A15BA4">
        <w:t>the</w:t>
      </w:r>
      <w:r w:rsidR="00D93E6D">
        <w:t>-</w:t>
      </w:r>
      <w:r w:rsidRPr="00A15BA4">
        <w:t>art pollution</w:t>
      </w:r>
      <w:r w:rsidR="00D93E6D">
        <w:t>-</w:t>
      </w:r>
      <w:r w:rsidRPr="00A15BA4">
        <w:t>control</w:t>
      </w:r>
      <w:r w:rsidR="00D93E6D">
        <w:t xml:space="preserve"> methods</w:t>
      </w:r>
      <w:r w:rsidRPr="00A15BA4">
        <w:t xml:space="preserve">. Advanced solid waste incineration processes involve maintaining a minimum temperature of 850˚C with a residence time in the gas phase of at least two seconds. The conditions and operating requirements of such processes should be stringent and meet the levels of destruction and irreversible transformation set out in </w:t>
      </w:r>
      <w:r w:rsidR="002D3EAD">
        <w:t>sub</w:t>
      </w:r>
      <w:r w:rsidRPr="00A15BA4">
        <w:t>section IV.G.2. Some countries have included such requirements in their national legislation.</w:t>
      </w:r>
      <w:r w:rsidR="00093BCE" w:rsidRPr="00093BCE">
        <w:rPr>
          <w:rStyle w:val="FootnoteReference"/>
          <w:color w:val="000000" w:themeColor="text1"/>
        </w:rPr>
        <w:footnoteReference w:id="53"/>
      </w:r>
      <w:r w:rsidRPr="00A15BA4">
        <w:t xml:space="preserve"> </w:t>
      </w:r>
    </w:p>
    <w:p w:rsidR="004756B6" w:rsidRPr="00A15BA4" w:rsidRDefault="004756B6" w:rsidP="00980527">
      <w:pPr>
        <w:pStyle w:val="Paralevel1"/>
        <w:tabs>
          <w:tab w:val="clear" w:pos="1843"/>
          <w:tab w:val="left" w:pos="1701"/>
        </w:tabs>
        <w:ind w:left="1134" w:firstLine="0"/>
      </w:pPr>
      <w:r w:rsidRPr="00A15BA4">
        <w:t xml:space="preserve">In order to properly destroy the HBCD in waste a temperature </w:t>
      </w:r>
      <w:r w:rsidR="007272DF">
        <w:t xml:space="preserve">higher </w:t>
      </w:r>
      <w:r w:rsidR="00713F58">
        <w:t>than 850</w:t>
      </w:r>
      <w:r w:rsidR="007272DF" w:rsidRPr="00A367F2">
        <w:t>˚C</w:t>
      </w:r>
      <w:r w:rsidR="007272DF" w:rsidRPr="00A15BA4">
        <w:t xml:space="preserve"> </w:t>
      </w:r>
      <w:r w:rsidRPr="00A15BA4">
        <w:t>is necessary</w:t>
      </w:r>
      <w:r w:rsidRPr="00A15BA4">
        <w:rPr>
          <w:i/>
        </w:rPr>
        <w:t xml:space="preserve">. </w:t>
      </w:r>
      <w:r w:rsidRPr="00A15BA4">
        <w:t>In the case of a full scale test trial of the treatment of EPS</w:t>
      </w:r>
      <w:r w:rsidR="000C6322">
        <w:t>-</w:t>
      </w:r>
      <w:r w:rsidRPr="00A15BA4">
        <w:t xml:space="preserve"> and XPS</w:t>
      </w:r>
      <w:r w:rsidR="000C6322">
        <w:t>-</w:t>
      </w:r>
      <w:r w:rsidRPr="00A15BA4">
        <w:t xml:space="preserve">containing HBCD in the </w:t>
      </w:r>
      <w:proofErr w:type="spellStart"/>
      <w:r w:rsidRPr="00A15BA4">
        <w:t>Würzburg</w:t>
      </w:r>
      <w:proofErr w:type="spellEnd"/>
      <w:r w:rsidRPr="00A15BA4">
        <w:t xml:space="preserve"> Municipal Solid Waste Incinerator </w:t>
      </w:r>
      <w:r>
        <w:t>(Germany)</w:t>
      </w:r>
      <w:r w:rsidR="000C6322">
        <w:t>,</w:t>
      </w:r>
      <w:r>
        <w:t xml:space="preserve"> </w:t>
      </w:r>
      <w:r w:rsidRPr="00A15BA4">
        <w:t>where the input contained 1-2 weight-</w:t>
      </w:r>
      <w:r w:rsidR="000C6322">
        <w:t>per</w:t>
      </w:r>
      <w:r w:rsidR="000623C8">
        <w:t xml:space="preserve"> </w:t>
      </w:r>
      <w:r w:rsidR="000C6322">
        <w:t>cent</w:t>
      </w:r>
      <w:r w:rsidRPr="00A15BA4">
        <w:t xml:space="preserve"> of such foam waste containing 6</w:t>
      </w:r>
      <w:r w:rsidR="000C6322">
        <w:t>,</w:t>
      </w:r>
      <w:r w:rsidRPr="00A15BA4">
        <w:t>000 to 21</w:t>
      </w:r>
      <w:r w:rsidR="000C6322">
        <w:t>,</w:t>
      </w:r>
      <w:r w:rsidRPr="00A15BA4">
        <w:t>000 mg/kg of HBCD, the necessary combustion temperature was 900–1</w:t>
      </w:r>
      <w:r w:rsidR="000623C8">
        <w:t>,</w:t>
      </w:r>
      <w:r w:rsidRPr="00A15BA4">
        <w:t xml:space="preserve">000°C (Mark et al, 2015).  </w:t>
      </w:r>
      <w:r w:rsidRPr="00C7592D">
        <w:t xml:space="preserve">In </w:t>
      </w:r>
      <w:r w:rsidR="000623C8" w:rsidRPr="00C7592D">
        <w:t xml:space="preserve">the </w:t>
      </w:r>
      <w:r w:rsidRPr="00C7592D">
        <w:t xml:space="preserve">case of </w:t>
      </w:r>
      <w:r w:rsidR="00CD42A0" w:rsidRPr="00C7592D">
        <w:t xml:space="preserve">incineration or co-incineration of </w:t>
      </w:r>
      <w:r w:rsidRPr="00C7592D">
        <w:t xml:space="preserve">hazardous waste with a content of more than 1 </w:t>
      </w:r>
      <w:r w:rsidR="000C6322" w:rsidRPr="00C7592D">
        <w:t>per cent</w:t>
      </w:r>
      <w:r w:rsidRPr="00C7592D">
        <w:t xml:space="preserve"> of halogenated organic substances</w:t>
      </w:r>
      <w:r w:rsidR="000623C8" w:rsidRPr="00C7592D">
        <w:t>,</w:t>
      </w:r>
      <w:r w:rsidRPr="00C7592D">
        <w:t xml:space="preserve"> </w:t>
      </w:r>
      <w:r w:rsidR="00CD42A0" w:rsidRPr="00C7592D">
        <w:t xml:space="preserve">a </w:t>
      </w:r>
      <w:r w:rsidR="000623C8" w:rsidRPr="00C7592D">
        <w:t xml:space="preserve">temperature </w:t>
      </w:r>
      <w:r w:rsidR="00CD42A0" w:rsidRPr="00C7592D">
        <w:t xml:space="preserve">of </w:t>
      </w:r>
      <w:r w:rsidRPr="00C7592D">
        <w:t>at least 1</w:t>
      </w:r>
      <w:r w:rsidR="000623C8" w:rsidRPr="00C7592D">
        <w:t>,</w:t>
      </w:r>
      <w:r w:rsidRPr="00C7592D">
        <w:t>100˚C</w:t>
      </w:r>
      <w:r w:rsidR="00CD42A0" w:rsidRPr="00C7592D">
        <w:t xml:space="preserve"> is required</w:t>
      </w:r>
      <w:r w:rsidRPr="00A15BA4">
        <w:t>.</w:t>
      </w:r>
    </w:p>
    <w:p w:rsidR="004756B6" w:rsidRPr="00A15BA4" w:rsidRDefault="004756B6" w:rsidP="00980527">
      <w:pPr>
        <w:pStyle w:val="Paralevel1"/>
        <w:tabs>
          <w:tab w:val="clear" w:pos="1843"/>
          <w:tab w:val="left" w:pos="1701"/>
        </w:tabs>
        <w:ind w:left="1134" w:firstLine="0"/>
      </w:pPr>
      <w:r w:rsidRPr="00A15BA4">
        <w:t>During incineration, flue</w:t>
      </w:r>
      <w:r w:rsidR="00D82BFA">
        <w:t xml:space="preserve"> </w:t>
      </w:r>
      <w:r w:rsidRPr="00A15BA4">
        <w:t xml:space="preserve">gases are released that contain most of the available fuel energy as heat. The organic substances in the waste burn as soon as they reach the ignition temperature. It is noted that it may be necessary to add other fuels in order to adjust the </w:t>
      </w:r>
      <w:r>
        <w:t xml:space="preserve">temperature during incineration as well as during </w:t>
      </w:r>
      <w:r w:rsidR="00CD42A0">
        <w:t xml:space="preserve">the </w:t>
      </w:r>
      <w:r>
        <w:t>start</w:t>
      </w:r>
      <w:r w:rsidR="00CD42A0">
        <w:t>ing</w:t>
      </w:r>
      <w:r>
        <w:t xml:space="preserve"> up and shut</w:t>
      </w:r>
      <w:r w:rsidR="00325303">
        <w:t>t</w:t>
      </w:r>
      <w:r w:rsidR="00CD42A0">
        <w:t>ing</w:t>
      </w:r>
      <w:r>
        <w:t xml:space="preserve"> down of furnaces.</w:t>
      </w:r>
    </w:p>
    <w:p w:rsidR="004756B6" w:rsidRPr="00A15BA4" w:rsidRDefault="004756B6" w:rsidP="00980527">
      <w:pPr>
        <w:pStyle w:val="Paralevel1"/>
        <w:tabs>
          <w:tab w:val="clear" w:pos="1843"/>
          <w:tab w:val="left" w:pos="1701"/>
        </w:tabs>
        <w:ind w:left="1134" w:firstLine="0"/>
      </w:pPr>
      <w:r w:rsidRPr="00A15BA4">
        <w:t xml:space="preserve">It should be noted that residual waste typically contains small amounts of heavy metals, </w:t>
      </w:r>
      <w:proofErr w:type="spellStart"/>
      <w:r w:rsidRPr="00A15BA4">
        <w:t>sulphur</w:t>
      </w:r>
      <w:proofErr w:type="spellEnd"/>
      <w:r w:rsidRPr="00A15BA4">
        <w:t xml:space="preserve"> and chlorine and even small amounts of flame retardants in plastic or textile waste. These substances are found in practically all fractions of residual waste and in a variety of chemical compounds. For this reason, the requirements for technical systems ensuring safe residual waste treatment are highly complex.</w:t>
      </w:r>
      <w:r w:rsidRPr="00BC5FD3">
        <w:rPr>
          <w:rStyle w:val="FootnoteReference"/>
          <w:color w:val="000000"/>
        </w:rPr>
        <w:footnoteReference w:id="54"/>
      </w:r>
      <w:r w:rsidRPr="00BC5FD3">
        <w:rPr>
          <w:color w:val="000000"/>
        </w:rPr>
        <w:t xml:space="preserve"> </w:t>
      </w:r>
    </w:p>
    <w:p w:rsidR="004756B6" w:rsidRPr="00A15BA4" w:rsidRDefault="004756B6" w:rsidP="00980527">
      <w:pPr>
        <w:pStyle w:val="Paralevel1"/>
        <w:tabs>
          <w:tab w:val="clear" w:pos="1843"/>
          <w:tab w:val="left" w:pos="1701"/>
        </w:tabs>
        <w:ind w:left="1134" w:firstLine="0"/>
        <w:rPr>
          <w:i/>
        </w:rPr>
      </w:pPr>
      <w:r w:rsidRPr="00A15BA4">
        <w:t xml:space="preserve">The guidance on BAT/BEP developed by the Stockholm Convention relevant to Article 5 and Annex C should be used and applied to </w:t>
      </w:r>
      <w:r w:rsidRPr="004612EF">
        <w:t xml:space="preserve">this technology </w:t>
      </w:r>
      <w:r w:rsidRPr="00A15BA4">
        <w:t>(</w:t>
      </w:r>
      <w:r>
        <w:t>UNEP, 2007)</w:t>
      </w:r>
      <w:r w:rsidRPr="00A15BA4">
        <w:t>.</w:t>
      </w:r>
      <w:r w:rsidR="003B2335">
        <w:t xml:space="preserve"> </w:t>
      </w:r>
    </w:p>
    <w:p w:rsidR="004756B6" w:rsidRPr="00A15BA4" w:rsidRDefault="004756B6" w:rsidP="00980527">
      <w:pPr>
        <w:pStyle w:val="Paralevel1"/>
        <w:tabs>
          <w:tab w:val="clear" w:pos="1843"/>
          <w:tab w:val="left" w:pos="1701"/>
        </w:tabs>
        <w:ind w:left="1134" w:firstLine="0"/>
        <w:rPr>
          <w:rFonts w:cs="Arial"/>
        </w:rPr>
      </w:pPr>
      <w:r w:rsidRPr="00A15BA4">
        <w:rPr>
          <w:i/>
        </w:rPr>
        <w:t>Efficiency:</w:t>
      </w:r>
      <w:r w:rsidRPr="00A15BA4">
        <w:t xml:space="preserve"> Under appropriate combustion conditions, organic compounds are destroyed during incineration.</w:t>
      </w:r>
      <w:r w:rsidRPr="00BC5FD3">
        <w:rPr>
          <w:rStyle w:val="FootnoteReference"/>
          <w:rFonts w:cs="Cambria"/>
          <w:bCs/>
          <w:color w:val="000000"/>
        </w:rPr>
        <w:footnoteReference w:id="55"/>
      </w:r>
      <w:r w:rsidRPr="00A15BA4">
        <w:rPr>
          <w:rFonts w:cs="Cambria"/>
          <w:bCs/>
        </w:rPr>
        <w:t xml:space="preserve"> </w:t>
      </w:r>
      <w:r w:rsidR="00713C81">
        <w:rPr>
          <w:rFonts w:cs="Cambria"/>
          <w:bCs/>
        </w:rPr>
        <w:t>R</w:t>
      </w:r>
      <w:r w:rsidRPr="00A15BA4">
        <w:rPr>
          <w:rFonts w:cs="Cambria"/>
          <w:bCs/>
        </w:rPr>
        <w:t xml:space="preserve">eports </w:t>
      </w:r>
      <w:r w:rsidR="00713C81">
        <w:rPr>
          <w:rFonts w:cs="Cambria"/>
          <w:bCs/>
        </w:rPr>
        <w:t xml:space="preserve">by the Technology and Economic Assessment Panel (TEAP) of the Montreal Protocol </w:t>
      </w:r>
      <w:r w:rsidRPr="00A15BA4">
        <w:rPr>
          <w:rFonts w:cs="Cambria"/>
          <w:bCs/>
        </w:rPr>
        <w:t xml:space="preserve">on </w:t>
      </w:r>
      <w:r w:rsidR="00495D25">
        <w:rPr>
          <w:rFonts w:cs="Cambria"/>
          <w:bCs/>
        </w:rPr>
        <w:t>S</w:t>
      </w:r>
      <w:r w:rsidR="00557442">
        <w:rPr>
          <w:rFonts w:cs="Cambria"/>
          <w:bCs/>
        </w:rPr>
        <w:t>ubstances</w:t>
      </w:r>
      <w:r w:rsidR="00495D25">
        <w:rPr>
          <w:rFonts w:cs="Cambria"/>
          <w:bCs/>
        </w:rPr>
        <w:t xml:space="preserve"> that Deplete the Ozone Layer</w:t>
      </w:r>
      <w:r w:rsidRPr="00A15BA4">
        <w:rPr>
          <w:rFonts w:cs="Cambria"/>
          <w:bCs/>
        </w:rPr>
        <w:t xml:space="preserve">, in particular </w:t>
      </w:r>
      <w:r w:rsidR="00FE5173">
        <w:rPr>
          <w:rFonts w:cs="Cambria"/>
          <w:bCs/>
        </w:rPr>
        <w:t xml:space="preserve">a 2002 </w:t>
      </w:r>
      <w:r w:rsidRPr="00A15BA4">
        <w:t>report of the TEAP Task Force on Destruction Technologies (TFDT),</w:t>
      </w:r>
      <w:r w:rsidR="00FE5173" w:rsidRPr="00BC5FD3">
        <w:rPr>
          <w:rStyle w:val="FootnoteReference"/>
          <w:color w:val="000000"/>
        </w:rPr>
        <w:footnoteReference w:id="56"/>
      </w:r>
      <w:r w:rsidRPr="00A15BA4">
        <w:t xml:space="preserve"> has shown the high destruction efficiency of </w:t>
      </w:r>
      <w:r w:rsidRPr="007657AF">
        <w:t>ASWI</w:t>
      </w:r>
      <w:r w:rsidRPr="00A15BA4">
        <w:t xml:space="preserve"> for halogenated substances such as CFCs and HCFCs in polystyrene foams. </w:t>
      </w:r>
    </w:p>
    <w:p w:rsidR="004756B6" w:rsidRPr="00A15BA4" w:rsidRDefault="004756B6" w:rsidP="00980527">
      <w:pPr>
        <w:pStyle w:val="Paralevel1"/>
        <w:tabs>
          <w:tab w:val="clear" w:pos="1843"/>
          <w:tab w:val="left" w:pos="1701"/>
        </w:tabs>
        <w:ind w:left="1134" w:firstLine="0"/>
        <w:rPr>
          <w:rFonts w:cs="Cambria"/>
        </w:rPr>
      </w:pPr>
      <w:r w:rsidRPr="00A15BA4">
        <w:t xml:space="preserve">In the full-scale test trial at the </w:t>
      </w:r>
      <w:proofErr w:type="spellStart"/>
      <w:r w:rsidRPr="00A15BA4">
        <w:t>Würzburg</w:t>
      </w:r>
      <w:proofErr w:type="spellEnd"/>
      <w:r w:rsidRPr="00A15BA4">
        <w:t xml:space="preserve"> Municipal Solid Waste Incinerator</w:t>
      </w:r>
      <w:r w:rsidRPr="00A15BA4">
        <w:rPr>
          <w:rStyle w:val="FootnoteReference"/>
          <w:rFonts w:cs="Cambria"/>
          <w:bCs/>
          <w:color w:val="FF0000"/>
        </w:rPr>
        <w:t xml:space="preserve"> </w:t>
      </w:r>
      <w:r w:rsidRPr="00A15BA4">
        <w:rPr>
          <w:rFonts w:cs="Cambria"/>
          <w:bCs/>
        </w:rPr>
        <w:t xml:space="preserve">it </w:t>
      </w:r>
      <w:r w:rsidR="004C0720">
        <w:rPr>
          <w:rFonts w:cs="Cambria"/>
          <w:bCs/>
        </w:rPr>
        <w:t xml:space="preserve">was </w:t>
      </w:r>
      <w:r w:rsidRPr="00A15BA4">
        <w:t xml:space="preserve">shown that ASWI </w:t>
      </w:r>
      <w:r w:rsidR="004C0720">
        <w:t xml:space="preserve">was </w:t>
      </w:r>
      <w:r w:rsidRPr="00A15BA4">
        <w:t xml:space="preserve">able to destroy HBCD with a DE of 99.999 </w:t>
      </w:r>
      <w:r w:rsidR="00BA2C40">
        <w:t>per cent</w:t>
      </w:r>
      <w:r w:rsidRPr="00A15BA4">
        <w:t xml:space="preserve"> for EPS and XPS foams.</w:t>
      </w:r>
      <w:r w:rsidRPr="00BC5FD3">
        <w:rPr>
          <w:rStyle w:val="FootnoteReference"/>
          <w:color w:val="000000"/>
        </w:rPr>
        <w:footnoteReference w:id="57"/>
      </w:r>
    </w:p>
    <w:p w:rsidR="004756B6" w:rsidRPr="00A15BA4" w:rsidRDefault="004756B6" w:rsidP="00980527">
      <w:pPr>
        <w:pStyle w:val="Paralevel1"/>
        <w:tabs>
          <w:tab w:val="clear" w:pos="1843"/>
          <w:tab w:val="left" w:pos="1701"/>
        </w:tabs>
        <w:ind w:left="1134" w:firstLine="0"/>
      </w:pPr>
      <w:r w:rsidRPr="00A15BA4">
        <w:rPr>
          <w:i/>
        </w:rPr>
        <w:t>Waste types:</w:t>
      </w:r>
      <w:r w:rsidRPr="00A15BA4">
        <w:t xml:space="preserve"> Advanced solid waste incinerators are designed to incinerate MSW</w:t>
      </w:r>
      <w:r w:rsidR="004C0720">
        <w:t>,</w:t>
      </w:r>
      <w:r w:rsidRPr="00A15BA4">
        <w:t xml:space="preserve"> including residual waste, but can also treat some waste from industry </w:t>
      </w:r>
      <w:r w:rsidRPr="0027131E">
        <w:t>and commerce</w:t>
      </w:r>
      <w:r w:rsidR="0071054C">
        <w:t>.</w:t>
      </w:r>
      <w:r w:rsidRPr="00BC5FD3">
        <w:rPr>
          <w:rStyle w:val="FootnoteReference"/>
          <w:rFonts w:cs="Cambria"/>
          <w:color w:val="000000"/>
          <w:lang w:val="it-IT"/>
        </w:rPr>
        <w:footnoteReference w:id="58"/>
      </w:r>
      <w:r w:rsidRPr="00A15BA4">
        <w:t xml:space="preserve"> A full</w:t>
      </w:r>
      <w:r w:rsidR="008342D5">
        <w:t>-</w:t>
      </w:r>
      <w:r w:rsidRPr="00A15BA4">
        <w:t xml:space="preserve">scale test trial showed that an ASWI </w:t>
      </w:r>
      <w:r w:rsidR="008342D5">
        <w:t>wa</w:t>
      </w:r>
      <w:r w:rsidRPr="00A15BA4">
        <w:t xml:space="preserve">s suitable for </w:t>
      </w:r>
      <w:r w:rsidR="0027131E">
        <w:t xml:space="preserve">the </w:t>
      </w:r>
      <w:r w:rsidRPr="00A15BA4">
        <w:t>incineration of polystyrene foam (EPS and XPS) waste containing HBCD</w:t>
      </w:r>
      <w:r w:rsidR="000241CE">
        <w:t>.</w:t>
      </w:r>
      <w:r w:rsidRPr="00BC5FD3">
        <w:rPr>
          <w:rStyle w:val="FootnoteReference"/>
          <w:color w:val="000000"/>
        </w:rPr>
        <w:footnoteReference w:id="59"/>
      </w:r>
      <w:r w:rsidRPr="00A15BA4">
        <w:t xml:space="preserve"> </w:t>
      </w:r>
    </w:p>
    <w:p w:rsidR="004756B6" w:rsidRPr="00A15BA4" w:rsidRDefault="004756B6" w:rsidP="00980527">
      <w:pPr>
        <w:pStyle w:val="Paralevel1"/>
        <w:tabs>
          <w:tab w:val="clear" w:pos="1843"/>
          <w:tab w:val="left" w:pos="1701"/>
        </w:tabs>
        <w:ind w:left="1134" w:firstLine="0"/>
      </w:pPr>
      <w:r w:rsidRPr="00A15BA4">
        <w:rPr>
          <w:i/>
        </w:rPr>
        <w:t>Pre-treatment:</w:t>
      </w:r>
      <w:r w:rsidRPr="00A15BA4">
        <w:t xml:space="preserve"> </w:t>
      </w:r>
      <w:r w:rsidR="0027131E">
        <w:t>W</w:t>
      </w:r>
      <w:r w:rsidRPr="00A15BA4">
        <w:t xml:space="preserve">aste should be mixed in </w:t>
      </w:r>
      <w:r w:rsidR="0027131E">
        <w:t xml:space="preserve">a </w:t>
      </w:r>
      <w:r w:rsidRPr="00A15BA4">
        <w:t xml:space="preserve">bunker in order to keep </w:t>
      </w:r>
      <w:r w:rsidR="0027131E">
        <w:t xml:space="preserve">its </w:t>
      </w:r>
      <w:r w:rsidRPr="00A15BA4">
        <w:t xml:space="preserve">calorific value constant. Volume reduction (crushing or shredding) is needed for bulky waste. </w:t>
      </w:r>
    </w:p>
    <w:p w:rsidR="004756B6" w:rsidRPr="00A15BA4" w:rsidRDefault="004756B6" w:rsidP="00980527">
      <w:pPr>
        <w:pStyle w:val="Paralevel1"/>
        <w:tabs>
          <w:tab w:val="clear" w:pos="1843"/>
          <w:tab w:val="left" w:pos="1701"/>
        </w:tabs>
        <w:ind w:left="1134" w:firstLine="0"/>
      </w:pPr>
      <w:r w:rsidRPr="00A15BA4">
        <w:rPr>
          <w:i/>
        </w:rPr>
        <w:t xml:space="preserve">Emissions and residues: </w:t>
      </w:r>
      <w:r w:rsidRPr="00A15BA4">
        <w:t xml:space="preserve">Emissions include carbon dioxide, water </w:t>
      </w:r>
      <w:proofErr w:type="spellStart"/>
      <w:r w:rsidRPr="00A15BA4">
        <w:t>vapour</w:t>
      </w:r>
      <w:proofErr w:type="spellEnd"/>
      <w:r w:rsidRPr="00A15BA4">
        <w:t>, hydrogen chloride</w:t>
      </w:r>
      <w:r w:rsidR="006E7EF1">
        <w:t>,</w:t>
      </w:r>
      <w:r w:rsidRPr="00A15BA4">
        <w:t xml:space="preserve"> hydrogen fluoride, </w:t>
      </w:r>
      <w:proofErr w:type="spellStart"/>
      <w:r w:rsidRPr="00A15BA4">
        <w:t>sulphur</w:t>
      </w:r>
      <w:proofErr w:type="spellEnd"/>
      <w:r w:rsidRPr="00A15BA4">
        <w:t>-dioxide</w:t>
      </w:r>
      <w:r>
        <w:t xml:space="preserve"> and other oxides of </w:t>
      </w:r>
      <w:proofErr w:type="spellStart"/>
      <w:r>
        <w:t>sulphur</w:t>
      </w:r>
      <w:proofErr w:type="spellEnd"/>
      <w:r w:rsidRPr="00A15BA4">
        <w:t xml:space="preserve">, particulates, nitrogen oxides, </w:t>
      </w:r>
      <w:r w:rsidR="006E7EF1">
        <w:t>t</w:t>
      </w:r>
      <w:r w:rsidRPr="00A15BA4">
        <w:t xml:space="preserve">otal </w:t>
      </w:r>
      <w:r w:rsidR="006E7EF1">
        <w:t>o</w:t>
      </w:r>
      <w:r w:rsidRPr="00A15BA4">
        <w:t xml:space="preserve">rganic </w:t>
      </w:r>
      <w:r w:rsidR="006E7EF1">
        <w:t>c</w:t>
      </w:r>
      <w:r w:rsidRPr="00A15BA4">
        <w:t>arbon</w:t>
      </w:r>
      <w:r w:rsidR="006E7EF1">
        <w:t xml:space="preserve"> (TOC</w:t>
      </w:r>
      <w:r w:rsidRPr="00A15BA4">
        <w:t>), PCDD/PCDF, heavy metals and carbon monoxide</w:t>
      </w:r>
      <w:r w:rsidR="006E7EF1">
        <w:t>,</w:t>
      </w:r>
      <w:r w:rsidRPr="00BC5FD3">
        <w:rPr>
          <w:rStyle w:val="FootnoteReference"/>
          <w:color w:val="000000"/>
        </w:rPr>
        <w:footnoteReference w:id="60"/>
      </w:r>
      <w:r>
        <w:t xml:space="preserve"> and </w:t>
      </w:r>
      <w:r w:rsidR="006E7EF1">
        <w:t xml:space="preserve">could also </w:t>
      </w:r>
      <w:r>
        <w:t>include PBDD/PBDF (UNEP, 2007)</w:t>
      </w:r>
      <w:r w:rsidR="006E7EF1">
        <w:t>.</w:t>
      </w:r>
      <w:r w:rsidRPr="00A15BA4">
        <w:t xml:space="preserve"> </w:t>
      </w:r>
      <w:r w:rsidR="00C521EF">
        <w:t>Other e</w:t>
      </w:r>
      <w:r>
        <w:t>missions include hydrogen bromide and PXDD/</w:t>
      </w:r>
      <w:proofErr w:type="gramStart"/>
      <w:r>
        <w:t>PXDF</w:t>
      </w:r>
      <w:r w:rsidR="00A6576D">
        <w:t xml:space="preserve"> </w:t>
      </w:r>
      <w:proofErr w:type="gramEnd"/>
      <w:r w:rsidR="00A6576D">
        <w:rPr>
          <w:rStyle w:val="FootnoteReference"/>
        </w:rPr>
        <w:footnoteReference w:id="61"/>
      </w:r>
      <w:r>
        <w:t xml:space="preserve">. </w:t>
      </w:r>
      <w:r w:rsidRPr="00073527">
        <w:t>Incinerators applying BAT</w:t>
      </w:r>
      <w:r w:rsidR="00405DFE" w:rsidRPr="00405DFE">
        <w:t xml:space="preserve"> that, </w:t>
      </w:r>
      <w:r w:rsidR="00405DFE" w:rsidRPr="00405DFE">
        <w:rPr>
          <w:i/>
        </w:rPr>
        <w:t>inter alia</w:t>
      </w:r>
      <w:r w:rsidR="00405DFE" w:rsidRPr="00405DFE">
        <w:t xml:space="preserve">, are </w:t>
      </w:r>
      <w:r w:rsidRPr="00073527">
        <w:t xml:space="preserve">designed </w:t>
      </w:r>
      <w:r w:rsidR="00405DFE" w:rsidRPr="00405DFE">
        <w:t xml:space="preserve">to operate at </w:t>
      </w:r>
      <w:r w:rsidRPr="00073527">
        <w:t>high temperature</w:t>
      </w:r>
      <w:r w:rsidR="00713F58" w:rsidRPr="00073527">
        <w:t>s</w:t>
      </w:r>
      <w:r w:rsidR="00405DFE" w:rsidRPr="00405DFE">
        <w:t xml:space="preserve">, to </w:t>
      </w:r>
      <w:r w:rsidRPr="00073527">
        <w:t>prevent</w:t>
      </w:r>
      <w:r w:rsidR="00405DFE" w:rsidRPr="00405DFE">
        <w:t xml:space="preserve"> the </w:t>
      </w:r>
      <w:r w:rsidRPr="00073527">
        <w:t xml:space="preserve">reformation of PCDDs and PCDFs and </w:t>
      </w:r>
      <w:r w:rsidR="00405DFE" w:rsidRPr="00405DFE">
        <w:t xml:space="preserve">to remove </w:t>
      </w:r>
      <w:r w:rsidRPr="00073527">
        <w:t>PCDD and PCDF (e.g.</w:t>
      </w:r>
      <w:r w:rsidR="005D2459" w:rsidRPr="00073527">
        <w:t>,</w:t>
      </w:r>
      <w:r w:rsidRPr="00073527">
        <w:t xml:space="preserve"> </w:t>
      </w:r>
      <w:r w:rsidR="00405DFE" w:rsidRPr="00405DFE">
        <w:t xml:space="preserve">with the use of </w:t>
      </w:r>
      <w:r w:rsidRPr="00073527">
        <w:t>activated carbon filters)</w:t>
      </w:r>
      <w:r w:rsidR="00405DFE" w:rsidRPr="00405DFE">
        <w:rPr>
          <w:i/>
        </w:rPr>
        <w:t xml:space="preserve"> </w:t>
      </w:r>
      <w:r w:rsidRPr="00073527">
        <w:t>have led to very low PCDD and PCDF emissions</w:t>
      </w:r>
      <w:r w:rsidR="00995910">
        <w:t xml:space="preserve"> </w:t>
      </w:r>
      <w:r w:rsidR="00995910" w:rsidRPr="00E41CFD">
        <w:t>to air and discharges to water.</w:t>
      </w:r>
      <w:r w:rsidRPr="00BC5FD3">
        <w:rPr>
          <w:rStyle w:val="FootnoteReference"/>
          <w:color w:val="000000"/>
        </w:rPr>
        <w:footnoteReference w:id="62"/>
      </w:r>
      <w:r w:rsidR="00AE64F2">
        <w:rPr>
          <w:rStyle w:val="CommentReference"/>
          <w:rFonts w:eastAsia="Times New Roman"/>
          <w:lang w:val="en-GB"/>
        </w:rPr>
        <w:t xml:space="preserve"> </w:t>
      </w:r>
    </w:p>
    <w:p w:rsidR="004756B6" w:rsidRPr="00A15BA4" w:rsidRDefault="004756B6" w:rsidP="00980527">
      <w:pPr>
        <w:pStyle w:val="Paralevel1"/>
        <w:tabs>
          <w:tab w:val="clear" w:pos="1843"/>
          <w:tab w:val="left" w:pos="1701"/>
        </w:tabs>
        <w:ind w:left="1134" w:firstLine="0"/>
        <w:rPr>
          <w:sz w:val="24"/>
          <w:szCs w:val="24"/>
        </w:rPr>
      </w:pPr>
      <w:r w:rsidRPr="00A15BA4">
        <w:t>In residues, PCDDs and PCDFs are mainly found in fly ash and flue gas cleaning residues, while bottom ash (representing the largest mass flow of residues from waste incineration) and scrubber water sludge contain only a small amount of PCDDs and PCDFs</w:t>
      </w:r>
      <w:r w:rsidR="005D2459">
        <w:t>.</w:t>
      </w:r>
      <w:r w:rsidRPr="00BC5FD3">
        <w:rPr>
          <w:rStyle w:val="FootnoteReference"/>
          <w:color w:val="000000"/>
        </w:rPr>
        <w:footnoteReference w:id="63"/>
      </w:r>
      <w:r w:rsidRPr="00A15BA4">
        <w:t xml:space="preserve"> </w:t>
      </w:r>
    </w:p>
    <w:p w:rsidR="004756B6" w:rsidRPr="00A15BA4" w:rsidRDefault="004756B6" w:rsidP="00980527">
      <w:pPr>
        <w:pStyle w:val="Paralevel1"/>
        <w:tabs>
          <w:tab w:val="clear" w:pos="1843"/>
          <w:tab w:val="left" w:pos="1701"/>
        </w:tabs>
        <w:ind w:left="1134" w:firstLine="0"/>
      </w:pPr>
      <w:r w:rsidRPr="00A15BA4">
        <w:rPr>
          <w:i/>
        </w:rPr>
        <w:t>Release control and post-treatment:</w:t>
      </w:r>
      <w:r w:rsidRPr="00A15BA4">
        <w:t xml:space="preserve"> Process gases usually require treatment to remove hydrogen chloride and fluoride, </w:t>
      </w:r>
      <w:proofErr w:type="spellStart"/>
      <w:r w:rsidRPr="00A15BA4">
        <w:t>sulphur</w:t>
      </w:r>
      <w:proofErr w:type="spellEnd"/>
      <w:r w:rsidRPr="00A15BA4">
        <w:t xml:space="preserve"> and nitrogen oxides, heavy metals and particulate matter, </w:t>
      </w:r>
      <w:r w:rsidR="000821DA">
        <w:t xml:space="preserve">and </w:t>
      </w:r>
      <w:r w:rsidRPr="00A15BA4">
        <w:t>to prevent the formation of</w:t>
      </w:r>
      <w:r w:rsidR="000821DA">
        <w:t>,</w:t>
      </w:r>
      <w:r w:rsidRPr="00A15BA4">
        <w:t xml:space="preserve"> </w:t>
      </w:r>
      <w:r w:rsidR="000821DA">
        <w:t xml:space="preserve">or </w:t>
      </w:r>
      <w:r w:rsidRPr="00A15BA4">
        <w:t>remove</w:t>
      </w:r>
      <w:r w:rsidR="000821DA">
        <w:t>,</w:t>
      </w:r>
      <w:r w:rsidRPr="00A15BA4">
        <w:t xml:space="preserve"> unintentionally produced POPs</w:t>
      </w:r>
      <w:r w:rsidR="000821DA">
        <w:t>.</w:t>
      </w:r>
      <w:r w:rsidRPr="00A15BA4">
        <w:t xml:space="preserve"> This can be achieved through </w:t>
      </w:r>
      <w:r w:rsidR="00133084">
        <w:t xml:space="preserve">the combined use of </w:t>
      </w:r>
      <w:r w:rsidRPr="00A15BA4">
        <w:t>cleaning equipment, including electrostatic precipitators, fabric filters, scrubbers, selective catalytic or non-catalytic reduction, and carbon adsorption. Depending upon their characteristics, bottom and fly ashes may require disposal within a specially engineered landfill or permanent storage in underground mines and formations</w:t>
      </w:r>
      <w:r w:rsidR="00133084" w:rsidRPr="005D4AFC">
        <w:t>,</w:t>
      </w:r>
      <w:r w:rsidR="00C7592D">
        <w:t xml:space="preserve"> </w:t>
      </w:r>
      <w:r w:rsidRPr="00A15BA4">
        <w:t>or may be used for backfilling in salt mines.</w:t>
      </w:r>
      <w:r w:rsidRPr="00BC5FD3">
        <w:rPr>
          <w:rStyle w:val="FootnoteReference"/>
          <w:color w:val="000000"/>
        </w:rPr>
        <w:footnoteReference w:id="64"/>
      </w:r>
      <w:r w:rsidRPr="00BC5FD3">
        <w:rPr>
          <w:color w:val="000000"/>
        </w:rPr>
        <w:t xml:space="preserve"> </w:t>
      </w:r>
    </w:p>
    <w:p w:rsidR="004756B6" w:rsidRPr="00A15BA4" w:rsidRDefault="004756B6" w:rsidP="00980527">
      <w:pPr>
        <w:pStyle w:val="Paralevel1"/>
        <w:tabs>
          <w:tab w:val="clear" w:pos="1843"/>
          <w:tab w:val="left" w:pos="1701"/>
        </w:tabs>
        <w:ind w:left="1134" w:firstLine="0"/>
      </w:pPr>
      <w:r w:rsidRPr="00A15BA4">
        <w:rPr>
          <w:i/>
        </w:rPr>
        <w:t>Energy requirements:</w:t>
      </w:r>
      <w:r w:rsidRPr="00A15BA4">
        <w:t xml:space="preserve"> The amount of combustion fuel required depends on the composition of the waste </w:t>
      </w:r>
      <w:r w:rsidR="00133084">
        <w:t xml:space="preserve">to be treated </w:t>
      </w:r>
      <w:r w:rsidRPr="00A15BA4">
        <w:t>and the flue</w:t>
      </w:r>
      <w:r w:rsidR="00D82BFA">
        <w:t xml:space="preserve"> </w:t>
      </w:r>
      <w:r w:rsidRPr="00A15BA4">
        <w:t xml:space="preserve">gas treatment technologies </w:t>
      </w:r>
      <w:r w:rsidR="00133084">
        <w:t xml:space="preserve">to be </w:t>
      </w:r>
      <w:r w:rsidRPr="00A15BA4">
        <w:t xml:space="preserve">applied. </w:t>
      </w:r>
    </w:p>
    <w:p w:rsidR="004756B6" w:rsidRPr="00A15BA4" w:rsidRDefault="004756B6" w:rsidP="00980527">
      <w:pPr>
        <w:pStyle w:val="Paralevel1"/>
        <w:tabs>
          <w:tab w:val="clear" w:pos="1843"/>
          <w:tab w:val="left" w:pos="1701"/>
        </w:tabs>
        <w:ind w:left="1134" w:firstLine="0"/>
        <w:rPr>
          <w:sz w:val="24"/>
          <w:szCs w:val="24"/>
        </w:rPr>
      </w:pPr>
      <w:r w:rsidRPr="00A15BA4">
        <w:rPr>
          <w:i/>
        </w:rPr>
        <w:t>Material requirements:</w:t>
      </w:r>
      <w:r w:rsidRPr="00A15BA4">
        <w:t xml:space="preserve"> Material requirements may include lime, sodium bicarbonate,</w:t>
      </w:r>
      <w:r w:rsidR="00BA6A13">
        <w:t xml:space="preserve"> </w:t>
      </w:r>
      <w:r w:rsidRPr="00A15BA4">
        <w:t>activated carbon and other suitable material</w:t>
      </w:r>
      <w:r w:rsidR="00BA6A13">
        <w:t>s</w:t>
      </w:r>
      <w:r w:rsidRPr="00A15BA4">
        <w:t xml:space="preserve"> for the removal of acid gases and other pollutants.</w:t>
      </w:r>
    </w:p>
    <w:p w:rsidR="004756B6" w:rsidRPr="00C52435" w:rsidRDefault="004756B6" w:rsidP="00980527">
      <w:pPr>
        <w:pStyle w:val="Paralevel1"/>
        <w:tabs>
          <w:tab w:val="clear" w:pos="1843"/>
          <w:tab w:val="left" w:pos="1701"/>
        </w:tabs>
        <w:ind w:left="1134" w:firstLine="0"/>
        <w:rPr>
          <w:sz w:val="24"/>
          <w:szCs w:val="24"/>
        </w:rPr>
      </w:pPr>
      <w:r w:rsidRPr="00EC4AF6">
        <w:rPr>
          <w:i/>
        </w:rPr>
        <w:t>Portability:</w:t>
      </w:r>
      <w:r w:rsidRPr="00FB5225">
        <w:t xml:space="preserve"> ASWI </w:t>
      </w:r>
      <w:r w:rsidR="005E3B23" w:rsidRPr="00C52435">
        <w:t xml:space="preserve">facilities </w:t>
      </w:r>
      <w:r w:rsidRPr="00C52435">
        <w:t xml:space="preserve">are fixed units. </w:t>
      </w:r>
    </w:p>
    <w:p w:rsidR="004756B6" w:rsidRPr="00EC4AF6" w:rsidRDefault="004756B6" w:rsidP="00980527">
      <w:pPr>
        <w:pStyle w:val="Paralevel1"/>
        <w:tabs>
          <w:tab w:val="clear" w:pos="1843"/>
          <w:tab w:val="left" w:pos="1701"/>
        </w:tabs>
        <w:ind w:left="1134" w:firstLine="0"/>
        <w:rPr>
          <w:sz w:val="24"/>
          <w:szCs w:val="24"/>
        </w:rPr>
      </w:pPr>
      <w:r w:rsidRPr="00CD0E42">
        <w:rPr>
          <w:i/>
        </w:rPr>
        <w:t>Health and safety:</w:t>
      </w:r>
      <w:r w:rsidRPr="00E03EFA">
        <w:t xml:space="preserve"> To ensure </w:t>
      </w:r>
      <w:r w:rsidR="00544503" w:rsidRPr="00A54595">
        <w:t xml:space="preserve">that </w:t>
      </w:r>
      <w:r w:rsidR="00363CB2" w:rsidRPr="0031057B">
        <w:t>appropriate</w:t>
      </w:r>
      <w:r w:rsidR="00EC4AF6" w:rsidRPr="00E94B3D">
        <w:t xml:space="preserve"> </w:t>
      </w:r>
      <w:r w:rsidRPr="00A6319E">
        <w:t xml:space="preserve">health and safety measures </w:t>
      </w:r>
      <w:r w:rsidR="00544503" w:rsidRPr="00041F1F">
        <w:t xml:space="preserve">are </w:t>
      </w:r>
      <w:r w:rsidR="00363CB2" w:rsidRPr="00416901">
        <w:t>taken</w:t>
      </w:r>
      <w:r w:rsidR="00544503" w:rsidRPr="001C2F56">
        <w:t xml:space="preserve">, </w:t>
      </w:r>
      <w:r w:rsidRPr="003E5D80">
        <w:t xml:space="preserve">ASWI </w:t>
      </w:r>
      <w:r w:rsidR="00544503" w:rsidRPr="00374A36">
        <w:t xml:space="preserve">plants </w:t>
      </w:r>
      <w:r w:rsidRPr="0042289F">
        <w:t xml:space="preserve">should be designed and operated </w:t>
      </w:r>
      <w:r w:rsidR="00405DFE" w:rsidRPr="00AE64F2">
        <w:t>in accordance with</w:t>
      </w:r>
      <w:r w:rsidRPr="0042289F">
        <w:t xml:space="preserve"> to the relevant chapters of </w:t>
      </w:r>
      <w:r w:rsidR="00A42891" w:rsidRPr="001B5056">
        <w:t xml:space="preserve">EU Directive </w:t>
      </w:r>
      <w:r w:rsidRPr="007E25F5">
        <w:t>2010/75/EU</w:t>
      </w:r>
      <w:r w:rsidR="00A42891" w:rsidRPr="00CC514B">
        <w:t xml:space="preserve"> on</w:t>
      </w:r>
      <w:r w:rsidR="00A42891">
        <w:t xml:space="preserve"> industrial emissions</w:t>
      </w:r>
      <w:r w:rsidRPr="00A15BA4">
        <w:t xml:space="preserve"> </w:t>
      </w:r>
      <w:r w:rsidR="00876889">
        <w:t xml:space="preserve">(integrated pollution prevention and control) </w:t>
      </w:r>
      <w:r w:rsidRPr="00AC5DD0">
        <w:t xml:space="preserve">and </w:t>
      </w:r>
      <w:r w:rsidR="00405DFE" w:rsidRPr="00405DFE">
        <w:t>the European Commission Best Available Techniques Reference Document (BREF) on Waste Incineration (See se</w:t>
      </w:r>
      <w:r w:rsidRPr="00AC5DD0">
        <w:t>ction 2.8.5</w:t>
      </w:r>
      <w:r w:rsidR="00AC5DD0">
        <w:t xml:space="preserve"> on </w:t>
      </w:r>
      <w:r w:rsidR="00405DFE" w:rsidRPr="00405DFE">
        <w:t>“overview of safety devices and measures.”</w:t>
      </w:r>
      <w:r w:rsidRPr="00AC5DD0">
        <w:t>)</w:t>
      </w:r>
      <w:r w:rsidR="00405DFE" w:rsidRPr="00405DFE">
        <w:t xml:space="preserve"> (European Commission, 2006)</w:t>
      </w:r>
    </w:p>
    <w:p w:rsidR="004756B6" w:rsidRPr="00A15BA4" w:rsidRDefault="004756B6" w:rsidP="00980527">
      <w:pPr>
        <w:pStyle w:val="Paralevel1"/>
        <w:tabs>
          <w:tab w:val="clear" w:pos="1843"/>
          <w:tab w:val="left" w:pos="1701"/>
        </w:tabs>
        <w:ind w:left="1134" w:firstLine="0"/>
      </w:pPr>
      <w:r w:rsidRPr="00FB5225">
        <w:rPr>
          <w:i/>
        </w:rPr>
        <w:t>Capacity:</w:t>
      </w:r>
      <w:r w:rsidRPr="00C52435">
        <w:t xml:space="preserve"> </w:t>
      </w:r>
      <w:r w:rsidR="00FD1124" w:rsidRPr="00C52435">
        <w:t xml:space="preserve">Each </w:t>
      </w:r>
      <w:r w:rsidRPr="00C52435">
        <w:t xml:space="preserve">ASWI </w:t>
      </w:r>
      <w:r w:rsidR="00FD1124" w:rsidRPr="00C52435">
        <w:t xml:space="preserve">facility </w:t>
      </w:r>
      <w:r w:rsidRPr="00C52435">
        <w:t>can treat between 30,000 and more than</w:t>
      </w:r>
      <w:r w:rsidRPr="00A15BA4">
        <w:t xml:space="preserve"> 1,000,000 </w:t>
      </w:r>
      <w:proofErr w:type="spellStart"/>
      <w:r w:rsidRPr="00A15BA4">
        <w:t>ton</w:t>
      </w:r>
      <w:r w:rsidR="00A6576D">
        <w:t>ne</w:t>
      </w:r>
      <w:r w:rsidRPr="00A15BA4">
        <w:t>s</w:t>
      </w:r>
      <w:proofErr w:type="spellEnd"/>
      <w:r w:rsidRPr="00A15BA4">
        <w:t xml:space="preserve"> </w:t>
      </w:r>
      <w:r w:rsidR="00FD1124" w:rsidRPr="0049179B">
        <w:t>of waste</w:t>
      </w:r>
      <w:r w:rsidR="00FD1124">
        <w:t xml:space="preserve"> </w:t>
      </w:r>
      <w:r w:rsidRPr="00A15BA4">
        <w:t>per year. Due to the high volume of HBCD</w:t>
      </w:r>
      <w:r w:rsidR="00E65671">
        <w:t>-</w:t>
      </w:r>
      <w:r w:rsidRPr="00A15BA4">
        <w:t>containing PS foams (which have densities between 15 and 40 kilogram/cubic meters)</w:t>
      </w:r>
      <w:r w:rsidR="0023067C">
        <w:t>,</w:t>
      </w:r>
      <w:r w:rsidRPr="00A15BA4">
        <w:t xml:space="preserve"> </w:t>
      </w:r>
      <w:r w:rsidR="0023067C" w:rsidRPr="00C7592D">
        <w:t xml:space="preserve">the use of </w:t>
      </w:r>
      <w:r w:rsidRPr="00C7592D">
        <w:t>1-2</w:t>
      </w:r>
      <w:r w:rsidR="0023067C" w:rsidRPr="00C7592D">
        <w:t xml:space="preserve"> per cent </w:t>
      </w:r>
      <w:r w:rsidRPr="00C7592D">
        <w:t>by weight of such foams</w:t>
      </w:r>
      <w:r w:rsidR="00B15B1F" w:rsidRPr="00C7592D">
        <w:t>,</w:t>
      </w:r>
      <w:r w:rsidRPr="00C7592D">
        <w:t xml:space="preserve"> </w:t>
      </w:r>
      <w:r w:rsidR="00B15B1F" w:rsidRPr="00C7592D">
        <w:t xml:space="preserve">which corresponds to about 15 </w:t>
      </w:r>
      <w:r w:rsidR="00C7592D">
        <w:t xml:space="preserve">per cent </w:t>
      </w:r>
      <w:r w:rsidR="00B15B1F" w:rsidRPr="00C7592D">
        <w:t xml:space="preserve">to 30 per cent by volume, </w:t>
      </w:r>
      <w:r w:rsidR="0023067C" w:rsidRPr="00C7592D">
        <w:t>is recommended</w:t>
      </w:r>
      <w:r w:rsidR="0023067C" w:rsidRPr="00A15BA4">
        <w:t xml:space="preserve"> </w:t>
      </w:r>
      <w:r w:rsidRPr="00A15BA4">
        <w:t>(Mark et al, 2015).</w:t>
      </w:r>
    </w:p>
    <w:p w:rsidR="004756B6" w:rsidRPr="00A15BA4" w:rsidRDefault="004756B6" w:rsidP="00980527">
      <w:pPr>
        <w:pStyle w:val="Paralevel1"/>
        <w:tabs>
          <w:tab w:val="clear" w:pos="1843"/>
          <w:tab w:val="left" w:pos="1701"/>
        </w:tabs>
        <w:ind w:left="1134" w:firstLine="0"/>
      </w:pPr>
      <w:r w:rsidRPr="00A15BA4">
        <w:rPr>
          <w:i/>
        </w:rPr>
        <w:t>Other practical issues:</w:t>
      </w:r>
      <w:r w:rsidRPr="00A15BA4">
        <w:t xml:space="preserve"> </w:t>
      </w:r>
      <w:r w:rsidR="00EE041B">
        <w:t>There are no practic</w:t>
      </w:r>
      <w:r w:rsidR="00B15B1F">
        <w:t>al</w:t>
      </w:r>
      <w:r w:rsidR="00EE041B">
        <w:t xml:space="preserve"> issues </w:t>
      </w:r>
      <w:r w:rsidRPr="00A15BA4">
        <w:t>to report at this time</w:t>
      </w:r>
      <w:r w:rsidR="00EE041B">
        <w:t>.</w:t>
      </w:r>
    </w:p>
    <w:p w:rsidR="004756B6" w:rsidRPr="002C155D" w:rsidRDefault="004756B6" w:rsidP="00980527">
      <w:pPr>
        <w:pStyle w:val="Paralevel1"/>
        <w:tabs>
          <w:tab w:val="clear" w:pos="1843"/>
          <w:tab w:val="left" w:pos="1701"/>
        </w:tabs>
        <w:ind w:left="1134" w:firstLine="0"/>
      </w:pPr>
      <w:r w:rsidRPr="00A15BA4">
        <w:rPr>
          <w:i/>
        </w:rPr>
        <w:t>State of commercialization:</w:t>
      </w:r>
      <w:r w:rsidRPr="00A15BA4">
        <w:t xml:space="preserve"> There is a long history of experience with municipal waste incineration.</w:t>
      </w:r>
      <w:r w:rsidRPr="00BC5FD3">
        <w:rPr>
          <w:rStyle w:val="FootnoteReference"/>
          <w:color w:val="000000"/>
        </w:rPr>
        <w:footnoteReference w:id="65"/>
      </w:r>
      <w:r w:rsidRPr="00A15BA4">
        <w:t xml:space="preserve"> Currently, some ASWI </w:t>
      </w:r>
      <w:r w:rsidR="005E3B23">
        <w:t xml:space="preserve">facilities </w:t>
      </w:r>
      <w:r w:rsidRPr="00A15BA4">
        <w:t>are operating in Europe</w:t>
      </w:r>
      <w:r w:rsidRPr="002C155D">
        <w:t xml:space="preserve">. </w:t>
      </w:r>
    </w:p>
    <w:p w:rsidR="005D256C" w:rsidRDefault="00890CDD">
      <w:pPr>
        <w:pStyle w:val="Heading4"/>
        <w:spacing w:before="240" w:after="120"/>
        <w:ind w:left="1134" w:hanging="510"/>
      </w:pPr>
      <w:bookmarkStart w:id="721" w:name="_Hlt82303035"/>
      <w:bookmarkStart w:id="722" w:name="_Toc145395145"/>
      <w:bookmarkStart w:id="723" w:name="_Toc161804598"/>
      <w:bookmarkStart w:id="724" w:name="_Toc437340572"/>
      <w:bookmarkStart w:id="725" w:name="_Hlt82302891"/>
      <w:r w:rsidRPr="00E41CFD">
        <w:rPr>
          <w:szCs w:val="20"/>
        </w:rPr>
        <w:t>(</w:t>
      </w:r>
      <w:r w:rsidR="006E7C79">
        <w:rPr>
          <w:szCs w:val="20"/>
        </w:rPr>
        <w:t>c</w:t>
      </w:r>
      <w:r w:rsidRPr="00E41CFD">
        <w:rPr>
          <w:szCs w:val="20"/>
        </w:rPr>
        <w:t>)</w:t>
      </w:r>
      <w:r w:rsidRPr="00E41CFD">
        <w:rPr>
          <w:szCs w:val="20"/>
        </w:rPr>
        <w:tab/>
        <w:t>Ba</w:t>
      </w:r>
      <w:bookmarkStart w:id="726" w:name="_Hlt81518950"/>
      <w:r w:rsidRPr="00E41CFD">
        <w:rPr>
          <w:szCs w:val="20"/>
        </w:rPr>
        <w:t>s</w:t>
      </w:r>
      <w:bookmarkEnd w:id="726"/>
      <w:r w:rsidRPr="00E41CFD">
        <w:rPr>
          <w:szCs w:val="20"/>
        </w:rPr>
        <w:t>e-catalysed</w:t>
      </w:r>
      <w:bookmarkEnd w:id="721"/>
      <w:r w:rsidRPr="00E41CFD">
        <w:rPr>
          <w:szCs w:val="20"/>
        </w:rPr>
        <w:t xml:space="preserve"> decomposition (BCD)</w:t>
      </w:r>
      <w:r w:rsidRPr="00E41CFD">
        <w:rPr>
          <w:szCs w:val="20"/>
          <w:vertAlign w:val="superscript"/>
        </w:rPr>
        <w:footnoteReference w:id="66"/>
      </w:r>
      <w:bookmarkEnd w:id="720"/>
      <w:bookmarkEnd w:id="722"/>
      <w:bookmarkEnd w:id="723"/>
      <w:bookmarkEnd w:id="724"/>
    </w:p>
    <w:p w:rsidR="00890CDD" w:rsidRPr="00E41CFD" w:rsidRDefault="00890CDD" w:rsidP="00980527">
      <w:pPr>
        <w:pStyle w:val="Paralevel1"/>
        <w:tabs>
          <w:tab w:val="clear" w:pos="1843"/>
          <w:tab w:val="left" w:pos="1701"/>
        </w:tabs>
        <w:ind w:left="1134" w:firstLine="0"/>
      </w:pPr>
      <w:r w:rsidRPr="00E41CFD">
        <w:rPr>
          <w:i/>
          <w:iCs/>
        </w:rPr>
        <w:t>Process des</w:t>
      </w:r>
      <w:bookmarkEnd w:id="725"/>
      <w:r w:rsidRPr="00E41CFD">
        <w:rPr>
          <w:i/>
          <w:iCs/>
        </w:rPr>
        <w:t>cription</w:t>
      </w:r>
      <w:r w:rsidRPr="00E41CFD">
        <w:t xml:space="preserve">: The BCD process involves treatment of wastes in the presence of a reagent mixture consisting of </w:t>
      </w:r>
      <w:proofErr w:type="gramStart"/>
      <w:r w:rsidR="003B2AB9">
        <w:t xml:space="preserve">a </w:t>
      </w:r>
      <w:r w:rsidRPr="00E41CFD">
        <w:t>hydrogen</w:t>
      </w:r>
      <w:proofErr w:type="gramEnd"/>
      <w:r w:rsidRPr="00E41CFD">
        <w:t xml:space="preserve">-donor oil, </w:t>
      </w:r>
      <w:r w:rsidR="003B2AB9">
        <w:t xml:space="preserve">an </w:t>
      </w:r>
      <w:r w:rsidRPr="00E41CFD">
        <w:t>alkali metal hydroxide and a proprietary catalyst. When the mixture is heated to above 300</w:t>
      </w:r>
      <w:r w:rsidR="009D56A3">
        <w:t xml:space="preserve"> </w:t>
      </w:r>
      <w:r w:rsidRPr="00E41CFD">
        <w:t xml:space="preserve">°C, the reagent produces highly reactive atomic hydrogen. The atomic hydrogen reacts with the waste to remove constituents that confer toxicity to </w:t>
      </w:r>
      <w:r w:rsidR="003B2AB9">
        <w:t xml:space="preserve">the </w:t>
      </w:r>
      <w:r w:rsidRPr="00E41CFD">
        <w:t xml:space="preserve">compounds. </w:t>
      </w:r>
    </w:p>
    <w:p w:rsidR="00890CDD" w:rsidRPr="00E41CFD" w:rsidRDefault="00890CDD" w:rsidP="00980527">
      <w:pPr>
        <w:pStyle w:val="Paralevel1"/>
        <w:tabs>
          <w:tab w:val="clear" w:pos="1843"/>
          <w:tab w:val="left" w:pos="1701"/>
        </w:tabs>
        <w:ind w:left="1134" w:firstLine="0"/>
      </w:pPr>
      <w:r w:rsidRPr="00E41CFD">
        <w:rPr>
          <w:i/>
          <w:iCs/>
        </w:rPr>
        <w:t>Efficiency</w:t>
      </w:r>
      <w:r w:rsidRPr="00E41CFD">
        <w:t xml:space="preserve">: DEs of 99.99–99.9999 </w:t>
      </w:r>
      <w:r w:rsidR="003B2AB9">
        <w:t>per cent</w:t>
      </w:r>
      <w:r w:rsidRPr="00E41CFD">
        <w:t xml:space="preserve"> have been reported for DDT, PCBs, PCDDs and PCDFs (UNEP, 2000). DEs greater than 99.999 </w:t>
      </w:r>
      <w:r w:rsidR="003B2AB9">
        <w:t>per cent</w:t>
      </w:r>
      <w:r w:rsidRPr="00E41CFD">
        <w:t xml:space="preserve"> and DREs greater than 99.9999 </w:t>
      </w:r>
      <w:r w:rsidR="003B2AB9">
        <w:t>per cent</w:t>
      </w:r>
      <w:r w:rsidRPr="00E41CFD">
        <w:t xml:space="preserve"> have also been reported for chlordane </w:t>
      </w:r>
      <w:r w:rsidR="00D26435">
        <w:t>and HCH</w:t>
      </w:r>
      <w:r w:rsidR="009B25FD">
        <w:t xml:space="preserve"> </w:t>
      </w:r>
      <w:r w:rsidRPr="00E41CFD">
        <w:t xml:space="preserve">(Ministry of the Environment of Japan, 2004). It has also been reported that reduction of chlorinated </w:t>
      </w:r>
      <w:proofErr w:type="spellStart"/>
      <w:r w:rsidRPr="00E41CFD">
        <w:t>organics</w:t>
      </w:r>
      <w:proofErr w:type="spellEnd"/>
      <w:r w:rsidRPr="00E41CFD">
        <w:t xml:space="preserve"> to less than 2 mg/kg is achievable (UNEP, 2001). </w:t>
      </w:r>
    </w:p>
    <w:p w:rsidR="00890CDD" w:rsidRPr="00E41CFD" w:rsidRDefault="00890CDD" w:rsidP="00B12EBC">
      <w:pPr>
        <w:pStyle w:val="Paralevel1"/>
        <w:tabs>
          <w:tab w:val="clear" w:pos="1843"/>
          <w:tab w:val="left" w:pos="1701"/>
        </w:tabs>
        <w:ind w:left="1134" w:firstLine="0"/>
      </w:pPr>
      <w:r w:rsidRPr="00A6576D">
        <w:rPr>
          <w:i/>
          <w:iCs/>
        </w:rPr>
        <w:t>Waste types</w:t>
      </w:r>
      <w:r w:rsidRPr="00A6576D">
        <w:t>: BCD should be applicable to other POPs in addition to the one</w:t>
      </w:r>
      <w:r w:rsidR="00131060" w:rsidRPr="00A6576D">
        <w:t>s</w:t>
      </w:r>
      <w:r w:rsidRPr="00A6576D">
        <w:t xml:space="preserve"> listed abov</w:t>
      </w:r>
      <w:r w:rsidR="00AE64F2" w:rsidRPr="00A6576D">
        <w:t>e</w:t>
      </w:r>
      <w:r w:rsidRPr="00A6576D">
        <w:t xml:space="preserve"> </w:t>
      </w:r>
      <w:r w:rsidR="00FE672F" w:rsidRPr="00A6576D">
        <w:t xml:space="preserve">(i.e., </w:t>
      </w:r>
      <w:r w:rsidR="00F75DC5" w:rsidRPr="00A6576D">
        <w:t>DDT, PCB</w:t>
      </w:r>
      <w:r w:rsidR="00405DFE" w:rsidRPr="00A6576D">
        <w:t>s</w:t>
      </w:r>
      <w:r w:rsidR="00F75DC5" w:rsidRPr="00A6576D">
        <w:t>, PCDD</w:t>
      </w:r>
      <w:r w:rsidR="00405DFE" w:rsidRPr="00A6576D">
        <w:t>s</w:t>
      </w:r>
      <w:r w:rsidR="00F75DC5" w:rsidRPr="00A6576D">
        <w:t xml:space="preserve"> </w:t>
      </w:r>
      <w:r w:rsidR="00405DFE" w:rsidRPr="00A6576D">
        <w:t>and</w:t>
      </w:r>
      <w:r w:rsidR="00F75DC5" w:rsidRPr="00A6576D">
        <w:t xml:space="preserve"> PCDF</w:t>
      </w:r>
      <w:r w:rsidR="00D932AF" w:rsidRPr="00A6576D">
        <w:t>s</w:t>
      </w:r>
      <w:r w:rsidR="00405DFE" w:rsidRPr="00A6576D">
        <w:t>)</w:t>
      </w:r>
      <w:r w:rsidR="00FE672F" w:rsidRPr="00A6576D">
        <w:t xml:space="preserve"> </w:t>
      </w:r>
      <w:r w:rsidRPr="00A6576D">
        <w:t xml:space="preserve">(UNEP, </w:t>
      </w:r>
      <w:r w:rsidR="003607FF" w:rsidRPr="00A6576D">
        <w:t xml:space="preserve">2004a </w:t>
      </w:r>
      <w:r w:rsidRPr="00A6576D">
        <w:t xml:space="preserve">and </w:t>
      </w:r>
      <w:proofErr w:type="spellStart"/>
      <w:r w:rsidRPr="00A6576D">
        <w:t>Vijgen</w:t>
      </w:r>
      <w:proofErr w:type="spellEnd"/>
      <w:r w:rsidRPr="00A6576D">
        <w:t>, 2002). BCD should be capable of treating wastes with a high POP concentration, with demonstrated</w:t>
      </w:r>
      <w:r w:rsidRPr="00E41CFD">
        <w:t xml:space="preserve"> applicability to wastes with a PCB content of above 30 </w:t>
      </w:r>
      <w:r w:rsidR="00F75DC5">
        <w:t>per cent</w:t>
      </w:r>
      <w:r w:rsidRPr="00E41CFD">
        <w:t xml:space="preserve"> </w:t>
      </w:r>
      <w:r w:rsidR="00800448" w:rsidRPr="00DD1B87">
        <w:t>by weight</w:t>
      </w:r>
      <w:r w:rsidR="000E4C27" w:rsidRPr="00DD1B87">
        <w:t xml:space="preserve"> </w:t>
      </w:r>
      <w:r w:rsidRPr="00DD1B87">
        <w:t>(</w:t>
      </w:r>
      <w:proofErr w:type="spellStart"/>
      <w:r w:rsidRPr="00DD1B87">
        <w:t>Vijgen</w:t>
      </w:r>
      <w:proofErr w:type="spellEnd"/>
      <w:r w:rsidRPr="00DD1B87">
        <w:t xml:space="preserve">, 2002). </w:t>
      </w:r>
      <w:r w:rsidR="00785259">
        <w:t xml:space="preserve">Although there have been reports that </w:t>
      </w:r>
      <w:r w:rsidRPr="00DD1B87">
        <w:t>the formation of salt within the treated mixtur</w:t>
      </w:r>
      <w:r w:rsidRPr="00E41CFD">
        <w:t xml:space="preserve">e could limit the concentration of halogenated material </w:t>
      </w:r>
      <w:r w:rsidR="00F75DC5" w:rsidRPr="008C3A5C">
        <w:t xml:space="preserve">that could be </w:t>
      </w:r>
      <w:r w:rsidRPr="008C3A5C">
        <w:t>treated</w:t>
      </w:r>
      <w:r w:rsidR="00F75DC5" w:rsidRPr="008C3A5C">
        <w:t xml:space="preserve"> </w:t>
      </w:r>
      <w:r w:rsidR="00405DFE" w:rsidRPr="00405DFE">
        <w:t xml:space="preserve">with </w:t>
      </w:r>
      <w:r w:rsidR="00F75DC5" w:rsidRPr="008C3A5C">
        <w:t>BCD</w:t>
      </w:r>
      <w:r w:rsidR="00785259">
        <w:t>,</w:t>
      </w:r>
      <w:r w:rsidR="00785259" w:rsidRPr="007B4400">
        <w:t xml:space="preserve"> </w:t>
      </w:r>
      <w:r w:rsidR="00785259">
        <w:t>m</w:t>
      </w:r>
      <w:r w:rsidR="00785259" w:rsidRPr="00E41CFD">
        <w:t>ore recent</w:t>
      </w:r>
      <w:r w:rsidR="00785259">
        <w:t xml:space="preserve"> reports suggest </w:t>
      </w:r>
      <w:r w:rsidR="00785259" w:rsidRPr="00E41CFD">
        <w:t xml:space="preserve">that this problem has been </w:t>
      </w:r>
      <w:r w:rsidR="00785259" w:rsidRPr="00A2113D">
        <w:t>overcome</w:t>
      </w:r>
      <w:r w:rsidR="00B12EBC" w:rsidRPr="00A2113D">
        <w:t xml:space="preserve"> (s</w:t>
      </w:r>
      <w:r w:rsidR="00B12EBC" w:rsidRPr="00A2113D">
        <w:rPr>
          <w:rStyle w:val="FootnoteReference"/>
          <w:szCs w:val="20"/>
          <w:vertAlign w:val="baseline"/>
        </w:rPr>
        <w:t>ee paragraph</w:t>
      </w:r>
      <w:r w:rsidR="00B12EBC" w:rsidRPr="00AB7B46">
        <w:t xml:space="preserve"> 197 below</w:t>
      </w:r>
      <w:r w:rsidR="00B12EBC">
        <w:t>)</w:t>
      </w:r>
      <w:r w:rsidR="00785259" w:rsidRPr="00E41CFD">
        <w:t>.</w:t>
      </w:r>
    </w:p>
    <w:p w:rsidR="00890CDD" w:rsidRPr="00E41CFD" w:rsidRDefault="00890CDD" w:rsidP="00980527">
      <w:pPr>
        <w:pStyle w:val="Paralevel1"/>
        <w:tabs>
          <w:tab w:val="clear" w:pos="1843"/>
          <w:tab w:val="left" w:pos="1701"/>
        </w:tabs>
        <w:ind w:left="1134" w:firstLine="0"/>
      </w:pPr>
      <w:r w:rsidRPr="00E41CFD">
        <w:rPr>
          <w:i/>
          <w:iCs/>
        </w:rPr>
        <w:t>Pre-treatment</w:t>
      </w:r>
      <w:r w:rsidRPr="00E41CFD">
        <w:t>: Soils may be treated directly. Different types of soil pre-treatment may be necessary:</w:t>
      </w:r>
    </w:p>
    <w:p w:rsidR="00890CDD" w:rsidRPr="00E41CFD" w:rsidRDefault="00890CDD" w:rsidP="0080213C">
      <w:pPr>
        <w:tabs>
          <w:tab w:val="clear" w:pos="1247"/>
          <w:tab w:val="clear" w:pos="1814"/>
          <w:tab w:val="clear" w:pos="2381"/>
          <w:tab w:val="left" w:pos="2268"/>
        </w:tabs>
        <w:spacing w:after="120"/>
        <w:ind w:left="1134" w:firstLine="567"/>
      </w:pPr>
      <w:r w:rsidRPr="00E41CFD">
        <w:t>(a)</w:t>
      </w:r>
      <w:r w:rsidRPr="00E41CFD">
        <w:tab/>
        <w:t>Larger particles may need to be removed by sifting and crushed to reduce their size; or</w:t>
      </w:r>
    </w:p>
    <w:p w:rsidR="00890CDD" w:rsidRPr="00E41CFD" w:rsidRDefault="00890CDD" w:rsidP="0080213C">
      <w:pPr>
        <w:tabs>
          <w:tab w:val="clear" w:pos="1247"/>
          <w:tab w:val="clear" w:pos="1814"/>
          <w:tab w:val="clear" w:pos="2381"/>
          <w:tab w:val="left" w:pos="2268"/>
        </w:tabs>
        <w:spacing w:after="120"/>
        <w:ind w:left="1134" w:firstLine="567"/>
      </w:pPr>
      <w:r w:rsidRPr="00E41CFD">
        <w:t>(b)</w:t>
      </w:r>
      <w:r w:rsidRPr="00E41CFD">
        <w:tab/>
      </w:r>
      <w:proofErr w:type="gramStart"/>
      <w:r w:rsidRPr="00E41CFD">
        <w:t>pH</w:t>
      </w:r>
      <w:proofErr w:type="gramEnd"/>
      <w:r w:rsidRPr="00E41CFD">
        <w:t xml:space="preserve"> and moisture content may need to be adjusted.</w:t>
      </w:r>
    </w:p>
    <w:p w:rsidR="00890CDD" w:rsidRPr="00E41CFD" w:rsidRDefault="00890CDD" w:rsidP="00980527">
      <w:pPr>
        <w:pStyle w:val="Paralevel1"/>
        <w:tabs>
          <w:tab w:val="clear" w:pos="1843"/>
          <w:tab w:val="left" w:pos="1701"/>
        </w:tabs>
        <w:ind w:left="1134" w:firstLine="0"/>
      </w:pPr>
      <w:r w:rsidRPr="00E41CFD">
        <w:rPr>
          <w:i/>
          <w:iCs/>
        </w:rPr>
        <w:t>Thermal desorption</w:t>
      </w:r>
      <w:r w:rsidRPr="00E41CFD">
        <w:t xml:space="preserve"> has also been used in conjunction with BCD to remove POPs from soils prior to treatment. In these situations, the soil is pre-mixed with sodium bicarbonate prior to being fed into the thermal desorption unit. Water will need to be evaporated from aqueous media, including wet sludge, prior to treatment. Capacitors can be treated following size reduction through shredding. If volatile solvents are present, </w:t>
      </w:r>
      <w:r w:rsidR="00A104B8" w:rsidRPr="00C52435">
        <w:t>as is the case</w:t>
      </w:r>
      <w:r w:rsidR="00A104B8">
        <w:t xml:space="preserve"> </w:t>
      </w:r>
      <w:r w:rsidRPr="00E41CFD">
        <w:t xml:space="preserve">with pesticides, they should be removed by distillation prior to treatment </w:t>
      </w:r>
      <w:r w:rsidRPr="00A90F61">
        <w:t>(</w:t>
      </w:r>
      <w:r w:rsidRPr="00A90F61">
        <w:rPr>
          <w:rStyle w:val="FootnoteReference"/>
          <w:szCs w:val="20"/>
          <w:vertAlign w:val="baseline"/>
        </w:rPr>
        <w:t>CMPS&amp;F – Environment Australia, 1997</w:t>
      </w:r>
      <w:r w:rsidRPr="00E41CFD">
        <w:rPr>
          <w:sz w:val="18"/>
          <w:szCs w:val="18"/>
        </w:rPr>
        <w:t>).</w:t>
      </w:r>
    </w:p>
    <w:p w:rsidR="00890CDD" w:rsidRPr="00E41CFD" w:rsidRDefault="00890CDD" w:rsidP="00980527">
      <w:pPr>
        <w:pStyle w:val="Paralevel1"/>
        <w:tabs>
          <w:tab w:val="clear" w:pos="1843"/>
          <w:tab w:val="left" w:pos="1701"/>
        </w:tabs>
        <w:ind w:left="1134" w:firstLine="0"/>
      </w:pPr>
      <w:r w:rsidRPr="00E41CFD">
        <w:rPr>
          <w:i/>
          <w:iCs/>
        </w:rPr>
        <w:t>Emissions and residues</w:t>
      </w:r>
      <w:r w:rsidRPr="00E41CFD">
        <w:t xml:space="preserve">: Air emissions are expected to be relatively minor. The potential to form PCDDs and PCDFs during the BCD process is relatively low. However, it has been noted that PCDDs can be formed from </w:t>
      </w:r>
      <w:proofErr w:type="spellStart"/>
      <w:r w:rsidRPr="00E41CFD">
        <w:t>chlorophenols</w:t>
      </w:r>
      <w:proofErr w:type="spellEnd"/>
      <w:r w:rsidRPr="00E41CFD">
        <w:t xml:space="preserve"> under alkaline conditions at temperatures as low as 150</w:t>
      </w:r>
      <w:r w:rsidR="009D56A3">
        <w:t xml:space="preserve"> </w:t>
      </w:r>
      <w:r w:rsidRPr="00E41CFD">
        <w:t xml:space="preserve">°C (Weber, 2004). Other residues produced during the BCD reaction include sludge containing primarily water, salt, unused hydrogen-donor oil and carbon residue. The vendor claims that the carbon </w:t>
      </w:r>
      <w:r>
        <w:t>residue is inert and non-toxic.</w:t>
      </w:r>
      <w:r w:rsidRPr="00E41CFD">
        <w:t xml:space="preserve"> For further details, refer to the literature produced by BCD Group, Inc.</w:t>
      </w:r>
    </w:p>
    <w:p w:rsidR="00890CDD" w:rsidRPr="00E41CFD" w:rsidRDefault="00890CDD" w:rsidP="00980527">
      <w:pPr>
        <w:pStyle w:val="Paralevel1"/>
        <w:tabs>
          <w:tab w:val="clear" w:pos="1843"/>
          <w:tab w:val="left" w:pos="1701"/>
        </w:tabs>
        <w:ind w:left="1134" w:firstLine="0"/>
      </w:pPr>
      <w:r w:rsidRPr="00E41CFD">
        <w:rPr>
          <w:i/>
          <w:iCs/>
        </w:rPr>
        <w:t>Release control and post-treatment</w:t>
      </w:r>
      <w:r w:rsidRPr="00E41CFD">
        <w:t>: Depending on the type of hydrogen-donor oil used, the slurry residue may be treated in different ways. If No. 6 fuel oil has been used, the sludge may be disposed of as a fuel in a cement kiln. If more refined oils are used, these may be removed from the sludge by gravity or centrifuge separation. The oils can then be reused and the remaining sludge can be further treated for use as a neutralizing agent</w:t>
      </w:r>
      <w:r w:rsidR="00252380">
        <w:t>,</w:t>
      </w:r>
      <w:r w:rsidRPr="00E41CFD">
        <w:t xml:space="preserve"> or disposed of in a landfill (UNEP, 2004</w:t>
      </w:r>
      <w:r w:rsidR="003607FF">
        <w:t>a</w:t>
      </w:r>
      <w:r w:rsidRPr="00E41CFD">
        <w:t>). In addition, BCD plants are equipped with activated carbon traps to minimize releases of volatile organic</w:t>
      </w:r>
      <w:r w:rsidR="00252380">
        <w:t xml:space="preserve"> </w:t>
      </w:r>
      <w:r w:rsidR="00252380" w:rsidRPr="00AB7B46">
        <w:t>compounds</w:t>
      </w:r>
      <w:r w:rsidRPr="00E41CFD">
        <w:t xml:space="preserve"> in gaseous emissions. </w:t>
      </w:r>
    </w:p>
    <w:p w:rsidR="00890CDD" w:rsidRPr="00E41CFD" w:rsidRDefault="00890CDD" w:rsidP="00980527">
      <w:pPr>
        <w:pStyle w:val="Paralevel1"/>
        <w:tabs>
          <w:tab w:val="clear" w:pos="1843"/>
          <w:tab w:val="left" w:pos="1701"/>
        </w:tabs>
        <w:ind w:left="1134" w:firstLine="0"/>
      </w:pPr>
      <w:r w:rsidRPr="00E41CFD">
        <w:rPr>
          <w:i/>
          <w:iCs/>
        </w:rPr>
        <w:t>Energy requirements</w:t>
      </w:r>
      <w:r w:rsidRPr="00E41CFD">
        <w:t>: Energy requirements are expected to be relatively low owing to the low operating temperatures associated with the BCD process.</w:t>
      </w:r>
    </w:p>
    <w:p w:rsidR="00890CDD" w:rsidRPr="00E41CFD" w:rsidRDefault="00890CDD" w:rsidP="00980527">
      <w:pPr>
        <w:pStyle w:val="Paralevel1"/>
        <w:tabs>
          <w:tab w:val="clear" w:pos="1843"/>
          <w:tab w:val="left" w:pos="1701"/>
        </w:tabs>
        <w:ind w:left="1134" w:firstLine="0"/>
      </w:pPr>
      <w:r w:rsidRPr="00E41CFD">
        <w:t xml:space="preserve">Material requirements: </w:t>
      </w:r>
    </w:p>
    <w:p w:rsidR="00890CDD" w:rsidRPr="00E41CFD" w:rsidRDefault="00890CDD" w:rsidP="0080213C">
      <w:pPr>
        <w:tabs>
          <w:tab w:val="clear" w:pos="1247"/>
          <w:tab w:val="clear" w:pos="1814"/>
          <w:tab w:val="clear" w:pos="2381"/>
          <w:tab w:val="left" w:pos="2268"/>
        </w:tabs>
        <w:spacing w:after="120"/>
        <w:ind w:left="1134" w:firstLine="567"/>
      </w:pPr>
      <w:r w:rsidRPr="00E41CFD">
        <w:t>(a)</w:t>
      </w:r>
      <w:r w:rsidRPr="00E41CFD">
        <w:tab/>
        <w:t>Hydrogen-donor oil;</w:t>
      </w:r>
    </w:p>
    <w:p w:rsidR="00890CDD" w:rsidRPr="00E41CFD" w:rsidRDefault="00890CDD" w:rsidP="0080213C">
      <w:pPr>
        <w:tabs>
          <w:tab w:val="clear" w:pos="1247"/>
          <w:tab w:val="clear" w:pos="1814"/>
          <w:tab w:val="clear" w:pos="2381"/>
          <w:tab w:val="left" w:pos="2268"/>
        </w:tabs>
        <w:spacing w:after="120"/>
        <w:ind w:left="1134" w:firstLine="567"/>
      </w:pPr>
      <w:r w:rsidRPr="00E41CFD">
        <w:t>(b)</w:t>
      </w:r>
      <w:r w:rsidRPr="00E41CFD">
        <w:tab/>
        <w:t>Alkali or alkaline earth metal carbonate, bicarbonate or hydroxide, such as sodium bicarbonate. The amount of alkali required is dependent on the concentration of the halogenated contaminant contained in the medium (</w:t>
      </w:r>
      <w:r w:rsidRPr="00E41CFD">
        <w:rPr>
          <w:rStyle w:val="FootnoteReference"/>
          <w:rFonts w:eastAsia="SimSun"/>
          <w:szCs w:val="20"/>
          <w:vertAlign w:val="baseline"/>
        </w:rPr>
        <w:t>CMPS&amp;F – Environment Australia, 1997</w:t>
      </w:r>
      <w:r w:rsidRPr="00E41CFD">
        <w:t xml:space="preserve">). Amounts range from </w:t>
      </w:r>
      <w:proofErr w:type="gramStart"/>
      <w:r w:rsidRPr="00E41CFD">
        <w:t xml:space="preserve">1  </w:t>
      </w:r>
      <w:r w:rsidR="00252380">
        <w:t>per</w:t>
      </w:r>
      <w:proofErr w:type="gramEnd"/>
      <w:r w:rsidR="00252380">
        <w:t xml:space="preserve"> cent </w:t>
      </w:r>
      <w:r w:rsidRPr="00E41CFD">
        <w:t xml:space="preserve">to about 20 </w:t>
      </w:r>
      <w:r w:rsidR="00252380">
        <w:t>per cent</w:t>
      </w:r>
      <w:r w:rsidRPr="00E41CFD">
        <w:t xml:space="preserve"> by weight of the contaminated medium; and</w:t>
      </w:r>
    </w:p>
    <w:p w:rsidR="00890CDD" w:rsidRPr="00E41CFD" w:rsidRDefault="00890CDD" w:rsidP="0080213C">
      <w:pPr>
        <w:tabs>
          <w:tab w:val="clear" w:pos="1247"/>
          <w:tab w:val="clear" w:pos="1814"/>
          <w:tab w:val="clear" w:pos="2381"/>
          <w:tab w:val="left" w:pos="2268"/>
        </w:tabs>
        <w:spacing w:after="120"/>
        <w:ind w:left="1134" w:firstLine="567"/>
      </w:pPr>
      <w:r w:rsidRPr="00E41CFD">
        <w:t>(c)</w:t>
      </w:r>
      <w:r w:rsidRPr="00E41CFD">
        <w:tab/>
        <w:t xml:space="preserve">Proprietary catalyst amounting to 1 </w:t>
      </w:r>
      <w:r w:rsidR="00252380">
        <w:t>per cent</w:t>
      </w:r>
      <w:r w:rsidRPr="00E41CFD">
        <w:t xml:space="preserve"> by volume of the hydrogen donor oil.</w:t>
      </w:r>
    </w:p>
    <w:p w:rsidR="00890CDD" w:rsidRPr="00E41CFD" w:rsidRDefault="00890CDD" w:rsidP="00980527">
      <w:pPr>
        <w:pStyle w:val="Paralevel1"/>
        <w:tabs>
          <w:tab w:val="clear" w:pos="1843"/>
          <w:tab w:val="left" w:pos="1701"/>
        </w:tabs>
        <w:ind w:left="1134" w:firstLine="0"/>
      </w:pPr>
      <w:r w:rsidRPr="00E41CFD">
        <w:t xml:space="preserve">The </w:t>
      </w:r>
      <w:r w:rsidRPr="00E41CFD">
        <w:rPr>
          <w:i/>
          <w:iCs/>
        </w:rPr>
        <w:t>equipment</w:t>
      </w:r>
      <w:r w:rsidRPr="00E41CFD">
        <w:t xml:space="preserve"> associated with this process is thought to be readily available (</w:t>
      </w:r>
      <w:proofErr w:type="spellStart"/>
      <w:r w:rsidRPr="00E41CFD">
        <w:t>Rahuman</w:t>
      </w:r>
      <w:proofErr w:type="spellEnd"/>
      <w:r w:rsidRPr="00E41CFD">
        <w:t xml:space="preserve"> et al, 2000). </w:t>
      </w:r>
    </w:p>
    <w:p w:rsidR="00890CDD" w:rsidRPr="00E41CFD" w:rsidRDefault="00890CDD" w:rsidP="00980527">
      <w:pPr>
        <w:pStyle w:val="Paralevel1"/>
        <w:tabs>
          <w:tab w:val="clear" w:pos="1843"/>
          <w:tab w:val="left" w:pos="1701"/>
        </w:tabs>
        <w:ind w:left="1134" w:firstLine="0"/>
      </w:pPr>
      <w:r w:rsidRPr="00E41CFD">
        <w:rPr>
          <w:i/>
          <w:iCs/>
        </w:rPr>
        <w:t>Portability</w:t>
      </w:r>
      <w:r w:rsidRPr="00E41CFD">
        <w:t>: Modular, transportable and fixed plants have been built.</w:t>
      </w:r>
    </w:p>
    <w:p w:rsidR="00890CDD" w:rsidRPr="00E41CFD" w:rsidRDefault="00890CDD" w:rsidP="00980527">
      <w:pPr>
        <w:pStyle w:val="Paralevel1"/>
        <w:tabs>
          <w:tab w:val="clear" w:pos="1843"/>
          <w:tab w:val="left" w:pos="1701"/>
        </w:tabs>
        <w:ind w:left="1134" w:firstLine="0"/>
      </w:pPr>
      <w:r w:rsidRPr="00E41CFD">
        <w:rPr>
          <w:i/>
          <w:iCs/>
        </w:rPr>
        <w:t>Health and safety</w:t>
      </w:r>
      <w:r w:rsidRPr="00E41CFD">
        <w:t xml:space="preserve">: In general, the health and safety risks associated with operation of this technology are thought to be low, although a BCD plant in Melbourne, Australia, was rendered inoperable following a fire in 1995. The fire is thought to have resulted from the operation of a storage vessel without a nitrogen blanket. Some associated pre-treatments such as alkaline pre-treatment of capacitors and solvent extraction </w:t>
      </w:r>
      <w:r w:rsidR="007C6474">
        <w:t xml:space="preserve">present </w:t>
      </w:r>
      <w:r w:rsidRPr="00E41CFD">
        <w:t xml:space="preserve">significant </w:t>
      </w:r>
      <w:r w:rsidR="007C6474">
        <w:t xml:space="preserve">risks of </w:t>
      </w:r>
      <w:r w:rsidRPr="00E41CFD">
        <w:t>fire and explosion</w:t>
      </w:r>
      <w:r w:rsidR="007C6474">
        <w:t xml:space="preserve">s, but those risks </w:t>
      </w:r>
      <w:r w:rsidRPr="00E41CFD">
        <w:t>can be minimized through the application of appropriate precautions (</w:t>
      </w:r>
      <w:r w:rsidRPr="00E41CFD">
        <w:rPr>
          <w:rStyle w:val="FootnoteReference"/>
          <w:vertAlign w:val="baseline"/>
        </w:rPr>
        <w:t>CMPS&amp;F – Environment Australia, 1997</w:t>
      </w:r>
      <w:r w:rsidRPr="00E41CFD">
        <w:t xml:space="preserve">). </w:t>
      </w:r>
    </w:p>
    <w:p w:rsidR="00890CDD" w:rsidRPr="00E41CFD" w:rsidRDefault="00890CDD" w:rsidP="00980527">
      <w:pPr>
        <w:pStyle w:val="Paralevel1"/>
        <w:tabs>
          <w:tab w:val="clear" w:pos="1843"/>
          <w:tab w:val="left" w:pos="1701"/>
        </w:tabs>
        <w:ind w:left="1134" w:firstLine="0"/>
      </w:pPr>
      <w:r w:rsidRPr="00E41CFD">
        <w:rPr>
          <w:i/>
          <w:iCs/>
        </w:rPr>
        <w:t>Capacity</w:t>
      </w:r>
      <w:r w:rsidRPr="00E41CFD">
        <w:t xml:space="preserve">: BCD can process </w:t>
      </w:r>
      <w:r w:rsidR="00427CED">
        <w:t xml:space="preserve">up to </w:t>
      </w:r>
      <w:r w:rsidRPr="00E41CFD">
        <w:t xml:space="preserve">2,500 </w:t>
      </w:r>
      <w:r w:rsidRPr="00AB7B46">
        <w:t xml:space="preserve">gallons </w:t>
      </w:r>
      <w:r w:rsidR="00427CED" w:rsidRPr="00AB7B46">
        <w:t xml:space="preserve">of waste </w:t>
      </w:r>
      <w:r w:rsidRPr="00AB7B46">
        <w:t>per</w:t>
      </w:r>
      <w:r w:rsidRPr="00E41CFD">
        <w:t xml:space="preserve"> batch</w:t>
      </w:r>
      <w:r w:rsidR="00427CED">
        <w:t xml:space="preserve"> and </w:t>
      </w:r>
      <w:r w:rsidR="00C52435">
        <w:t xml:space="preserve">can </w:t>
      </w:r>
      <w:r w:rsidRPr="00E41CFD">
        <w:t>treat two–four batches per day (</w:t>
      </w:r>
      <w:proofErr w:type="spellStart"/>
      <w:r w:rsidRPr="00E41CFD">
        <w:t>Vijgen</w:t>
      </w:r>
      <w:proofErr w:type="spellEnd"/>
      <w:r w:rsidRPr="00E41CFD">
        <w:t xml:space="preserve">, 2002). </w:t>
      </w:r>
    </w:p>
    <w:p w:rsidR="00890CDD" w:rsidRPr="00E41CFD" w:rsidRDefault="00890CDD" w:rsidP="00980527">
      <w:pPr>
        <w:pStyle w:val="Paralevel1"/>
        <w:tabs>
          <w:tab w:val="clear" w:pos="1843"/>
          <w:tab w:val="left" w:pos="1701"/>
        </w:tabs>
        <w:ind w:left="1134" w:firstLine="0"/>
      </w:pPr>
      <w:r w:rsidRPr="00E41CFD">
        <w:rPr>
          <w:i/>
          <w:iCs/>
        </w:rPr>
        <w:t>Other practical issues</w:t>
      </w:r>
      <w:r w:rsidRPr="00E41CFD">
        <w:t>: Since the BCD process involves stripping chlorine from the waste compound, the treatment process may result in an increased concentration of lower-chlorinated species. This can be of potential concern in the treatment of PCDDs and PCDFs, where lower</w:t>
      </w:r>
      <w:r w:rsidRPr="00E41CFD">
        <w:noBreakHyphen/>
      </w:r>
      <w:proofErr w:type="spellStart"/>
      <w:r w:rsidRPr="00E41CFD">
        <w:t>chlorinated</w:t>
      </w:r>
      <w:proofErr w:type="spellEnd"/>
      <w:r w:rsidRPr="00E41CFD">
        <w:t xml:space="preserve"> congeners are more toxic than higher-chlorinated congeners. It is therefore important that the process be appropriately monitored to ensure that the reaction </w:t>
      </w:r>
      <w:r w:rsidR="007B4400">
        <w:t xml:space="preserve">reaches </w:t>
      </w:r>
      <w:r w:rsidRPr="00E41CFD">
        <w:t xml:space="preserve">completion. In the past, it </w:t>
      </w:r>
      <w:r w:rsidR="00B017F7">
        <w:t xml:space="preserve">was </w:t>
      </w:r>
      <w:r w:rsidRPr="00E41CFD">
        <w:t>reported that the BCD process was unable to treat high-concentration wastes because of salt build-</w:t>
      </w:r>
      <w:proofErr w:type="gramStart"/>
      <w:r w:rsidRPr="00E41CFD">
        <w:t>up</w:t>
      </w:r>
      <w:proofErr w:type="gramEnd"/>
      <w:r w:rsidRPr="00E41CFD">
        <w:rPr>
          <w:rStyle w:val="FootnoteReference"/>
          <w:sz w:val="18"/>
          <w:vertAlign w:val="baseline"/>
        </w:rPr>
        <w:t xml:space="preserve"> </w:t>
      </w:r>
      <w:r w:rsidR="00405DFE" w:rsidRPr="00405DFE">
        <w:t>(</w:t>
      </w:r>
      <w:r w:rsidR="00405DFE" w:rsidRPr="00405DFE">
        <w:rPr>
          <w:rStyle w:val="FootnoteReference"/>
          <w:szCs w:val="20"/>
          <w:vertAlign w:val="baseline"/>
        </w:rPr>
        <w:t>CMPS&amp;F – Environment Australia, 1997)</w:t>
      </w:r>
      <w:r w:rsidRPr="007B4400">
        <w:t xml:space="preserve">. </w:t>
      </w:r>
      <w:r w:rsidRPr="00E41CFD">
        <w:t>More recently, however, it has been reported that this problem has been overcome (</w:t>
      </w:r>
      <w:proofErr w:type="spellStart"/>
      <w:r w:rsidRPr="00E41CFD">
        <w:t>Vijgen</w:t>
      </w:r>
      <w:proofErr w:type="spellEnd"/>
      <w:r w:rsidRPr="00E41CFD">
        <w:t>, 2002 and UNEP</w:t>
      </w:r>
      <w:r>
        <w:t>,</w:t>
      </w:r>
      <w:r w:rsidRPr="00E41CFD">
        <w:t xml:space="preserve"> 2004</w:t>
      </w:r>
      <w:r w:rsidR="003607FF">
        <w:t>a</w:t>
      </w:r>
      <w:r w:rsidRPr="00E41CFD">
        <w:t>).</w:t>
      </w:r>
      <w:r w:rsidRPr="00E41CFD">
        <w:rPr>
          <w:vertAlign w:val="superscript"/>
        </w:rPr>
        <w:t xml:space="preserve"> </w:t>
      </w:r>
    </w:p>
    <w:p w:rsidR="00890CDD" w:rsidRPr="00E41CFD" w:rsidRDefault="00890CDD" w:rsidP="00980527">
      <w:pPr>
        <w:pStyle w:val="Paralevel1"/>
        <w:tabs>
          <w:tab w:val="clear" w:pos="1843"/>
          <w:tab w:val="left" w:pos="1701"/>
        </w:tabs>
        <w:ind w:left="1134" w:firstLine="0"/>
      </w:pPr>
      <w:r w:rsidRPr="00E41CFD">
        <w:rPr>
          <w:i/>
          <w:iCs/>
        </w:rPr>
        <w:t>State of commercialization</w:t>
      </w:r>
      <w:r w:rsidRPr="00E41CFD">
        <w:t xml:space="preserve">: BCD has been used at two commercial operations in Australia, </w:t>
      </w:r>
      <w:r w:rsidR="00C52435">
        <w:t xml:space="preserve">one of which </w:t>
      </w:r>
      <w:r w:rsidR="00405DFE" w:rsidRPr="00405DFE">
        <w:t xml:space="preserve">is </w:t>
      </w:r>
      <w:r w:rsidRPr="00C52435">
        <w:t>still</w:t>
      </w:r>
      <w:r w:rsidRPr="00CD0E42">
        <w:rPr>
          <w:iCs/>
        </w:rPr>
        <w:t xml:space="preserve"> </w:t>
      </w:r>
      <w:r w:rsidRPr="00E03EFA">
        <w:t>op</w:t>
      </w:r>
      <w:r w:rsidRPr="00A54595">
        <w:t>erating</w:t>
      </w:r>
      <w:r w:rsidRPr="00E41CFD">
        <w:t xml:space="preserve">. Another commercial system has been operating in Mexico since 1999. In addition, BCD systems have been used </w:t>
      </w:r>
      <w:r w:rsidR="005D34E9">
        <w:t xml:space="preserve">in </w:t>
      </w:r>
      <w:r w:rsidRPr="00E41CFD">
        <w:t>short-term projects in Australia, Spain an</w:t>
      </w:r>
      <w:r>
        <w:t>d the United States of America.</w:t>
      </w:r>
    </w:p>
    <w:p w:rsidR="005D256C" w:rsidRDefault="00890CDD">
      <w:pPr>
        <w:pStyle w:val="Heading4"/>
        <w:spacing w:before="240" w:after="120"/>
        <w:ind w:left="1134" w:hanging="510"/>
      </w:pPr>
      <w:bookmarkStart w:id="727" w:name="_Toc145395146"/>
      <w:bookmarkStart w:id="728" w:name="_Toc161804599"/>
      <w:bookmarkStart w:id="729" w:name="_Toc405988679"/>
      <w:bookmarkStart w:id="730" w:name="_Toc437340573"/>
      <w:r w:rsidRPr="00E41CFD">
        <w:rPr>
          <w:szCs w:val="20"/>
        </w:rPr>
        <w:t>(</w:t>
      </w:r>
      <w:r w:rsidR="006E7C79">
        <w:rPr>
          <w:szCs w:val="20"/>
        </w:rPr>
        <w:t>d</w:t>
      </w:r>
      <w:r w:rsidRPr="00E41CFD">
        <w:rPr>
          <w:szCs w:val="20"/>
        </w:rPr>
        <w:t>)</w:t>
      </w:r>
      <w:r w:rsidRPr="00E41CFD">
        <w:rPr>
          <w:szCs w:val="20"/>
        </w:rPr>
        <w:tab/>
        <w:t xml:space="preserve">Catalytic </w:t>
      </w:r>
      <w:proofErr w:type="spellStart"/>
      <w:r w:rsidRPr="00E41CFD">
        <w:t>hydrodechlorination</w:t>
      </w:r>
      <w:proofErr w:type="spellEnd"/>
      <w:r w:rsidRPr="00E41CFD">
        <w:rPr>
          <w:szCs w:val="20"/>
        </w:rPr>
        <w:t xml:space="preserve"> (CHD)</w:t>
      </w:r>
      <w:bookmarkEnd w:id="727"/>
      <w:bookmarkEnd w:id="728"/>
      <w:bookmarkEnd w:id="729"/>
      <w:bookmarkEnd w:id="730"/>
      <w:r w:rsidR="00B27919">
        <w:rPr>
          <w:szCs w:val="20"/>
        </w:rPr>
        <w:t xml:space="preserve"> </w:t>
      </w:r>
    </w:p>
    <w:p w:rsidR="00890CDD" w:rsidRPr="00E41CFD" w:rsidRDefault="00890CDD" w:rsidP="00980527">
      <w:pPr>
        <w:pStyle w:val="Paralevel1"/>
        <w:tabs>
          <w:tab w:val="clear" w:pos="1843"/>
          <w:tab w:val="left" w:pos="1701"/>
        </w:tabs>
        <w:ind w:left="1134" w:firstLine="0"/>
      </w:pPr>
      <w:r w:rsidRPr="00E41CFD">
        <w:rPr>
          <w:bCs/>
          <w:i/>
          <w:iCs/>
        </w:rPr>
        <w:t>Process description</w:t>
      </w:r>
      <w:r w:rsidRPr="00E41CFD">
        <w:t xml:space="preserve">: CHD involves the treatment of wastes with hydrogen gas and </w:t>
      </w:r>
      <w:r w:rsidR="00CB6684">
        <w:t xml:space="preserve">a </w:t>
      </w:r>
      <w:r w:rsidRPr="00E41CFD">
        <w:t>palladium on carbon (Pd/C) catalyst dispersed in paraffin oil. Hydrogen reacts with chlorine in halogenated waste to produce hydrogen chloride (</w:t>
      </w:r>
      <w:proofErr w:type="spellStart"/>
      <w:r w:rsidRPr="00E41CFD">
        <w:t>HCl</w:t>
      </w:r>
      <w:proofErr w:type="spellEnd"/>
      <w:r w:rsidRPr="00E41CFD">
        <w:t xml:space="preserve">) and non-halogenated waste. In the case of PCBs, biphenyl is the main product. The process operates at atmospheric pressure and </w:t>
      </w:r>
      <w:r w:rsidR="001234F0">
        <w:t xml:space="preserve">at </w:t>
      </w:r>
      <w:r w:rsidRPr="00E41CFD">
        <w:t xml:space="preserve">temperatures </w:t>
      </w:r>
      <w:r w:rsidR="001234F0">
        <w:t xml:space="preserve">of </w:t>
      </w:r>
      <w:r w:rsidRPr="00E41CFD">
        <w:t xml:space="preserve">between 180°C and 260°C (Sakai, Peter and </w:t>
      </w:r>
      <w:proofErr w:type="spellStart"/>
      <w:r w:rsidRPr="00E41CFD">
        <w:t>Oono</w:t>
      </w:r>
      <w:proofErr w:type="spellEnd"/>
      <w:r w:rsidRPr="00E41CFD">
        <w:t xml:space="preserve">, 2001; </w:t>
      </w:r>
      <w:proofErr w:type="spellStart"/>
      <w:r w:rsidRPr="00E41CFD">
        <w:t>Noma</w:t>
      </w:r>
      <w:proofErr w:type="spellEnd"/>
      <w:r w:rsidRPr="00E41CFD">
        <w:t xml:space="preserve">, Sakai and </w:t>
      </w:r>
      <w:proofErr w:type="spellStart"/>
      <w:r w:rsidRPr="00E41CFD">
        <w:t>Oono</w:t>
      </w:r>
      <w:proofErr w:type="spellEnd"/>
      <w:r w:rsidRPr="00E41CFD">
        <w:t xml:space="preserve">, 2002; and </w:t>
      </w:r>
      <w:proofErr w:type="spellStart"/>
      <w:r w:rsidRPr="00E41CFD">
        <w:t>Noma</w:t>
      </w:r>
      <w:proofErr w:type="spellEnd"/>
      <w:r w:rsidRPr="00E41CFD">
        <w:t xml:space="preserve">, Sakai and </w:t>
      </w:r>
      <w:proofErr w:type="spellStart"/>
      <w:r w:rsidRPr="00E41CFD">
        <w:t>Oono</w:t>
      </w:r>
      <w:proofErr w:type="spellEnd"/>
      <w:r w:rsidRPr="00E41CFD">
        <w:t xml:space="preserve">, 2003a and 2003b). </w:t>
      </w:r>
    </w:p>
    <w:p w:rsidR="00890CDD" w:rsidRPr="00E41CFD" w:rsidRDefault="00890CDD" w:rsidP="00980527">
      <w:pPr>
        <w:pStyle w:val="Paralevel1"/>
        <w:tabs>
          <w:tab w:val="clear" w:pos="1843"/>
          <w:tab w:val="left" w:pos="1701"/>
        </w:tabs>
        <w:ind w:left="1134" w:firstLine="0"/>
      </w:pPr>
      <w:r w:rsidRPr="00E41CFD">
        <w:rPr>
          <w:bCs/>
          <w:i/>
          <w:iCs/>
        </w:rPr>
        <w:t>Efficiency</w:t>
      </w:r>
      <w:r w:rsidRPr="00E41CFD">
        <w:rPr>
          <w:bCs/>
        </w:rPr>
        <w:t>:</w:t>
      </w:r>
      <w:r w:rsidRPr="00E41CFD">
        <w:t xml:space="preserve"> DEs of 99.98–99.9999 </w:t>
      </w:r>
      <w:r w:rsidR="001234F0">
        <w:t>per cent</w:t>
      </w:r>
      <w:r w:rsidRPr="00E41CFD">
        <w:t xml:space="preserve"> have been reported for PCBs. It has also been reported that a reduction of the PCB content to less than 0.5 mg/kg is achievable. </w:t>
      </w:r>
    </w:p>
    <w:p w:rsidR="00890CDD" w:rsidRPr="00E41CFD" w:rsidRDefault="00890CDD" w:rsidP="00980527">
      <w:pPr>
        <w:pStyle w:val="Paralevel1"/>
        <w:tabs>
          <w:tab w:val="clear" w:pos="1843"/>
          <w:tab w:val="left" w:pos="1701"/>
        </w:tabs>
        <w:ind w:left="1134" w:firstLine="0"/>
      </w:pPr>
      <w:r w:rsidRPr="00E41CFD">
        <w:rPr>
          <w:i/>
          <w:iCs/>
        </w:rPr>
        <w:t>Waste types</w:t>
      </w:r>
      <w:r w:rsidRPr="00E41CFD">
        <w:t xml:space="preserve">: CHD has been demonstrated with PCBs removed from used capacitors. PCDDs and PCDFs contained in PCBs as impurities have also been </w:t>
      </w:r>
      <w:proofErr w:type="spellStart"/>
      <w:r w:rsidRPr="00E41CFD">
        <w:t>dechlorinated</w:t>
      </w:r>
      <w:proofErr w:type="spellEnd"/>
      <w:r w:rsidRPr="00E41CFD">
        <w:t xml:space="preserve">. A vendor has also claimed that chlorinated wastes in liquid state or dissolved in solvents can be treated </w:t>
      </w:r>
      <w:r w:rsidR="00B93132" w:rsidRPr="00572A03">
        <w:t>using</w:t>
      </w:r>
      <w:r w:rsidR="00B93132">
        <w:t xml:space="preserve"> </w:t>
      </w:r>
      <w:r w:rsidRPr="00E41CFD">
        <w:t>CHD.</w:t>
      </w:r>
      <w:r w:rsidR="00B93132">
        <w:t xml:space="preserve"> </w:t>
      </w:r>
    </w:p>
    <w:p w:rsidR="00890CDD" w:rsidRPr="00E41CFD" w:rsidRDefault="00890CDD" w:rsidP="00980527">
      <w:pPr>
        <w:pStyle w:val="Paralevel1"/>
        <w:tabs>
          <w:tab w:val="clear" w:pos="1843"/>
          <w:tab w:val="left" w:pos="1701"/>
        </w:tabs>
        <w:ind w:left="1134" w:firstLine="0"/>
      </w:pPr>
      <w:r w:rsidRPr="00E41CFD">
        <w:rPr>
          <w:i/>
          <w:iCs/>
        </w:rPr>
        <w:t>Pre-treatment</w:t>
      </w:r>
      <w:r w:rsidRPr="00E41CFD">
        <w:t>: PCBs and PCDDs/PCDFs must be extracted using solvents or isolated by vaporization. Substances with low boiling points such as water or alcohols should be removed by distillation prior to treatment.</w:t>
      </w:r>
    </w:p>
    <w:p w:rsidR="00890CDD" w:rsidRPr="00E41CFD" w:rsidRDefault="00890CDD" w:rsidP="00980527">
      <w:pPr>
        <w:pStyle w:val="Paralevel1"/>
        <w:tabs>
          <w:tab w:val="clear" w:pos="1843"/>
          <w:tab w:val="left" w:pos="1701"/>
        </w:tabs>
        <w:ind w:left="1134" w:firstLine="0"/>
      </w:pPr>
      <w:r w:rsidRPr="00E41CFD">
        <w:rPr>
          <w:i/>
          <w:iCs/>
        </w:rPr>
        <w:t>Emission and residues</w:t>
      </w:r>
      <w:r w:rsidRPr="00E41CFD">
        <w:t xml:space="preserve">: No emissions would occur during the </w:t>
      </w:r>
      <w:proofErr w:type="spellStart"/>
      <w:r w:rsidRPr="00E41CFD">
        <w:t>dechlorination</w:t>
      </w:r>
      <w:proofErr w:type="spellEnd"/>
      <w:r w:rsidRPr="00E41CFD">
        <w:t xml:space="preserve"> reaction because it takes place in the closed hydrogen circulation system. </w:t>
      </w:r>
      <w:proofErr w:type="spellStart"/>
      <w:r w:rsidRPr="00E41CFD">
        <w:t>HCl</w:t>
      </w:r>
      <w:proofErr w:type="spellEnd"/>
      <w:r w:rsidRPr="00E41CFD">
        <w:t xml:space="preserve"> is not discharged from the reaction because it is collected with water as hydrochloric acid within the circulation system. Biphenyl isolated after the reaction by distillation does not contain any toxic materials.</w:t>
      </w:r>
    </w:p>
    <w:p w:rsidR="00890CDD" w:rsidRPr="00E41CFD" w:rsidRDefault="00890CDD" w:rsidP="00980527">
      <w:pPr>
        <w:pStyle w:val="Paralevel1"/>
        <w:tabs>
          <w:tab w:val="clear" w:pos="1843"/>
          <w:tab w:val="left" w:pos="1701"/>
        </w:tabs>
        <w:ind w:left="1134" w:firstLine="0"/>
      </w:pPr>
      <w:r w:rsidRPr="00E41CFD">
        <w:rPr>
          <w:i/>
          <w:iCs/>
        </w:rPr>
        <w:t>Release control and post-treatment</w:t>
      </w:r>
      <w:r w:rsidRPr="00E41CFD">
        <w:t xml:space="preserve">: Biphenyl, the main product, is separated out from the reaction solvent by distillation after the reaction, and the catalyst and reaction solvent are reused </w:t>
      </w:r>
      <w:r w:rsidR="00CB6684">
        <w:t>in</w:t>
      </w:r>
      <w:r w:rsidRPr="00E41CFD">
        <w:t xml:space="preserve"> the next reaction.</w:t>
      </w:r>
    </w:p>
    <w:p w:rsidR="00890CDD" w:rsidRPr="00E41CFD" w:rsidRDefault="00890CDD" w:rsidP="00980527">
      <w:pPr>
        <w:pStyle w:val="Paralevel1"/>
        <w:tabs>
          <w:tab w:val="clear" w:pos="1843"/>
          <w:tab w:val="left" w:pos="1701"/>
        </w:tabs>
        <w:ind w:left="1134" w:firstLine="0"/>
      </w:pPr>
      <w:r w:rsidRPr="00E41CFD">
        <w:rPr>
          <w:i/>
          <w:iCs/>
        </w:rPr>
        <w:t>Energy requirements</w:t>
      </w:r>
      <w:r w:rsidRPr="00E41CFD">
        <w:t>: Energy requirements are expected to be relatively low owing to the low operating temperatures associated with the CHD process.</w:t>
      </w:r>
    </w:p>
    <w:p w:rsidR="00890CDD" w:rsidRPr="00E41CFD" w:rsidRDefault="00890CDD" w:rsidP="00980527">
      <w:pPr>
        <w:pStyle w:val="Paralevel1"/>
        <w:tabs>
          <w:tab w:val="clear" w:pos="1843"/>
          <w:tab w:val="left" w:pos="1701"/>
        </w:tabs>
        <w:ind w:left="1134" w:firstLine="0"/>
      </w:pPr>
      <w:r w:rsidRPr="00E41CFD">
        <w:rPr>
          <w:i/>
          <w:iCs/>
        </w:rPr>
        <w:t>Material requirements</w:t>
      </w:r>
      <w:r w:rsidRPr="00E41CFD">
        <w:t xml:space="preserve">: The CHD process requires the same number of atoms of hydrogen as those of chlorine in the PCBs, and also 0.5 </w:t>
      </w:r>
      <w:r w:rsidR="00C9543E">
        <w:t>per cent</w:t>
      </w:r>
      <w:r w:rsidRPr="00E41CFD">
        <w:t xml:space="preserve"> by weight of catalyst.</w:t>
      </w:r>
    </w:p>
    <w:p w:rsidR="00890CDD" w:rsidRPr="00E41CFD" w:rsidRDefault="00890CDD" w:rsidP="00980527">
      <w:pPr>
        <w:pStyle w:val="Paralevel1"/>
        <w:tabs>
          <w:tab w:val="clear" w:pos="1843"/>
          <w:tab w:val="left" w:pos="1701"/>
        </w:tabs>
        <w:ind w:left="1134" w:firstLine="0"/>
      </w:pPr>
      <w:r w:rsidRPr="00E41CFD">
        <w:rPr>
          <w:i/>
          <w:iCs/>
        </w:rPr>
        <w:t>Portability</w:t>
      </w:r>
      <w:r w:rsidRPr="00E41CFD">
        <w:t>: CHD is available in fixed and transportable configurations depending on the volume of PCBs to be treated.</w:t>
      </w:r>
    </w:p>
    <w:p w:rsidR="00890CDD" w:rsidRPr="00E41CFD" w:rsidRDefault="00890CDD" w:rsidP="00980527">
      <w:pPr>
        <w:pStyle w:val="Paralevel1"/>
        <w:tabs>
          <w:tab w:val="clear" w:pos="1843"/>
          <w:tab w:val="left" w:pos="1701"/>
        </w:tabs>
        <w:ind w:left="1134" w:firstLine="0"/>
      </w:pPr>
      <w:r w:rsidRPr="00E41CFD">
        <w:rPr>
          <w:i/>
          <w:iCs/>
        </w:rPr>
        <w:t>Health and safety</w:t>
      </w:r>
      <w:r w:rsidRPr="00E41CFD">
        <w:t>: The use of hydrogen gas requires adequate controls and safeguards to ensure that explosive air-hydrogen mixtures are not formed.</w:t>
      </w:r>
    </w:p>
    <w:p w:rsidR="00890CDD" w:rsidRPr="00E41CFD" w:rsidRDefault="00890CDD" w:rsidP="00980527">
      <w:pPr>
        <w:pStyle w:val="Paralevel1"/>
        <w:tabs>
          <w:tab w:val="clear" w:pos="1843"/>
          <w:tab w:val="left" w:pos="1701"/>
        </w:tabs>
        <w:ind w:left="1134" w:firstLine="0"/>
      </w:pPr>
      <w:r w:rsidRPr="00E41CFD">
        <w:rPr>
          <w:i/>
          <w:iCs/>
        </w:rPr>
        <w:t>Capacity</w:t>
      </w:r>
      <w:r w:rsidRPr="00E41CFD">
        <w:t xml:space="preserve">: In Japan, a plant capable of treating 2 Mg PCB per day using the CHD process was constructed and is in operation. Plants are </w:t>
      </w:r>
      <w:r w:rsidR="00383979">
        <w:t xml:space="preserve">also </w:t>
      </w:r>
      <w:r w:rsidR="00C52435">
        <w:t xml:space="preserve">operated </w:t>
      </w:r>
      <w:r w:rsidRPr="00E41CFD">
        <w:t xml:space="preserve">in Canton, </w:t>
      </w:r>
      <w:r w:rsidR="009F34BC">
        <w:t xml:space="preserve">United States </w:t>
      </w:r>
      <w:r w:rsidR="009E662D">
        <w:t>of America</w:t>
      </w:r>
      <w:r w:rsidR="00C52435">
        <w:t>,</w:t>
      </w:r>
      <w:r w:rsidR="009E662D">
        <w:t xml:space="preserve"> </w:t>
      </w:r>
      <w:r w:rsidRPr="00E41CFD">
        <w:t xml:space="preserve">and Young, </w:t>
      </w:r>
      <w:r w:rsidRPr="006B7DC1">
        <w:t>Australia.</w:t>
      </w:r>
      <w:r w:rsidR="00FA42EF" w:rsidRPr="00FA42EF">
        <w:t xml:space="preserve"> There is no information on the </w:t>
      </w:r>
      <w:r w:rsidR="00383979" w:rsidRPr="00C52435">
        <w:t xml:space="preserve">treatment </w:t>
      </w:r>
      <w:r w:rsidR="00FA42EF" w:rsidRPr="00C52435">
        <w:t>capacit</w:t>
      </w:r>
      <w:r w:rsidR="00383979" w:rsidRPr="00CD0E42">
        <w:t>ies</w:t>
      </w:r>
      <w:r w:rsidR="00FA42EF" w:rsidRPr="00FA42EF">
        <w:t xml:space="preserve"> of those plants.</w:t>
      </w:r>
    </w:p>
    <w:p w:rsidR="00890CDD" w:rsidRPr="00E41CFD" w:rsidRDefault="00890CDD" w:rsidP="00980527">
      <w:pPr>
        <w:pStyle w:val="Paralevel1"/>
        <w:tabs>
          <w:tab w:val="clear" w:pos="1843"/>
          <w:tab w:val="left" w:pos="1701"/>
        </w:tabs>
        <w:ind w:left="1134" w:firstLine="0"/>
      </w:pPr>
      <w:r w:rsidRPr="00E41CFD">
        <w:rPr>
          <w:i/>
          <w:iCs/>
        </w:rPr>
        <w:t>Other practical issues</w:t>
      </w:r>
      <w:r w:rsidRPr="00E41CFD">
        <w:t xml:space="preserve">: There are many reports about PCB </w:t>
      </w:r>
      <w:proofErr w:type="spellStart"/>
      <w:r w:rsidRPr="00E41CFD">
        <w:t>dechlorination</w:t>
      </w:r>
      <w:proofErr w:type="spellEnd"/>
      <w:r w:rsidRPr="00E41CFD">
        <w:t xml:space="preserve"> </w:t>
      </w:r>
      <w:r w:rsidRPr="00C52435">
        <w:t xml:space="preserve">using </w:t>
      </w:r>
      <w:r w:rsidRPr="00CD0E42">
        <w:t>CHD</w:t>
      </w:r>
      <w:r w:rsidRPr="00E41CFD">
        <w:t>. Generally, Pd/C catalyst</w:t>
      </w:r>
      <w:r w:rsidR="00CB6684">
        <w:t>s</w:t>
      </w:r>
      <w:r w:rsidRPr="00E41CFD">
        <w:t xml:space="preserve"> show the largest degradation rate</w:t>
      </w:r>
      <w:r w:rsidR="00CB6684">
        <w:t>s</w:t>
      </w:r>
      <w:r w:rsidRPr="00E41CFD">
        <w:t xml:space="preserve"> compared to the other supported metal catalysts. Reaction temperature</w:t>
      </w:r>
      <w:r w:rsidR="00CB6684">
        <w:t>s</w:t>
      </w:r>
      <w:r w:rsidRPr="00E41CFD">
        <w:t xml:space="preserve"> can be increased to 260°C when paraffin oil is used as </w:t>
      </w:r>
      <w:r w:rsidR="00CB6684">
        <w:t xml:space="preserve">a </w:t>
      </w:r>
      <w:r w:rsidRPr="00E41CFD">
        <w:t>reaction solvent.</w:t>
      </w:r>
    </w:p>
    <w:p w:rsidR="00890CDD" w:rsidRPr="00E41CFD" w:rsidRDefault="00890CDD" w:rsidP="00980527">
      <w:pPr>
        <w:pStyle w:val="Paralevel1"/>
        <w:tabs>
          <w:tab w:val="clear" w:pos="1843"/>
          <w:tab w:val="left" w:pos="1701"/>
        </w:tabs>
        <w:ind w:left="1134" w:firstLine="0"/>
      </w:pPr>
      <w:r w:rsidRPr="00E41CFD">
        <w:rPr>
          <w:i/>
          <w:iCs/>
        </w:rPr>
        <w:t>State of commercialization</w:t>
      </w:r>
      <w:r w:rsidRPr="00E41CFD">
        <w:t xml:space="preserve">: In Japan, a commercial-scale plant was constructed at </w:t>
      </w:r>
      <w:r w:rsidR="00EE394F" w:rsidRPr="00EE394F">
        <w:t>the Japan Environmental Storage &amp; Safety Corporation</w:t>
      </w:r>
      <w:r w:rsidR="00EE394F">
        <w:t xml:space="preserve"> (</w:t>
      </w:r>
      <w:r w:rsidRPr="00EE394F">
        <w:t>JESCO</w:t>
      </w:r>
      <w:r w:rsidR="00EE394F">
        <w:t>)</w:t>
      </w:r>
      <w:r w:rsidRPr="00EE394F">
        <w:t xml:space="preserve"> Osaka facility in 2006 and P</w:t>
      </w:r>
      <w:r w:rsidRPr="00E41CFD">
        <w:t xml:space="preserve">CB extracted from transformers and capacitors are treated </w:t>
      </w:r>
      <w:r w:rsidR="00BB610A">
        <w:t xml:space="preserve">using </w:t>
      </w:r>
      <w:r w:rsidRPr="00E41CFD">
        <w:t>the CHD process (JESCO, 2009</w:t>
      </w:r>
      <w:r w:rsidR="008B18BC">
        <w:t>c</w:t>
      </w:r>
      <w:r w:rsidRPr="00E41CFD">
        <w:t>).</w:t>
      </w:r>
    </w:p>
    <w:p w:rsidR="00890CDD" w:rsidRPr="00E41CFD" w:rsidRDefault="00890CDD" w:rsidP="00980527">
      <w:pPr>
        <w:pStyle w:val="Paralevel1"/>
        <w:tabs>
          <w:tab w:val="clear" w:pos="1843"/>
          <w:tab w:val="left" w:pos="1701"/>
        </w:tabs>
        <w:ind w:left="1134" w:firstLine="0"/>
      </w:pPr>
      <w:r w:rsidRPr="00E41CFD">
        <w:rPr>
          <w:i/>
          <w:iCs/>
        </w:rPr>
        <w:t>Additional information</w:t>
      </w:r>
      <w:r w:rsidRPr="00E41CFD">
        <w:t>: For further information, see the Technical Guideline for Treatment of PCBs in Japan, revised edition (Japan Industrial Waste Management Foundation, 2005).</w:t>
      </w:r>
    </w:p>
    <w:p w:rsidR="005D256C" w:rsidRDefault="00890CDD">
      <w:pPr>
        <w:pStyle w:val="Heading4"/>
        <w:spacing w:before="240" w:after="120"/>
        <w:ind w:left="1134" w:hanging="510"/>
      </w:pPr>
      <w:bookmarkStart w:id="731" w:name="_Toc145395147"/>
      <w:bookmarkStart w:id="732" w:name="_Toc161804600"/>
      <w:bookmarkStart w:id="733" w:name="_Toc405988680"/>
      <w:bookmarkStart w:id="734" w:name="_Toc437340574"/>
      <w:r w:rsidRPr="00E41CFD">
        <w:rPr>
          <w:szCs w:val="20"/>
        </w:rPr>
        <w:t>(</w:t>
      </w:r>
      <w:r w:rsidR="006E7C79">
        <w:rPr>
          <w:szCs w:val="20"/>
        </w:rPr>
        <w:t>e</w:t>
      </w:r>
      <w:r w:rsidRPr="00E41CFD">
        <w:rPr>
          <w:szCs w:val="20"/>
        </w:rPr>
        <w:t>)</w:t>
      </w:r>
      <w:r w:rsidRPr="00E41CFD">
        <w:rPr>
          <w:szCs w:val="20"/>
        </w:rPr>
        <w:tab/>
        <w:t xml:space="preserve">Cement kiln </w:t>
      </w:r>
      <w:r w:rsidRPr="00E41CFD">
        <w:t>co</w:t>
      </w:r>
      <w:r w:rsidRPr="00E41CFD">
        <w:rPr>
          <w:szCs w:val="20"/>
        </w:rPr>
        <w:t>-incineration</w:t>
      </w:r>
      <w:bookmarkEnd w:id="731"/>
      <w:bookmarkEnd w:id="732"/>
      <w:bookmarkEnd w:id="733"/>
      <w:bookmarkEnd w:id="734"/>
      <w:r w:rsidR="00B12EBC" w:rsidRPr="00B12EBC">
        <w:rPr>
          <w:rStyle w:val="FootnoteReference"/>
          <w:b w:val="0"/>
          <w:bCs/>
        </w:rPr>
        <w:footnoteReference w:customMarkFollows="1" w:id="67"/>
        <w:t>67</w:t>
      </w:r>
      <w:r w:rsidR="0081513E" w:rsidRPr="00B12EBC">
        <w:rPr>
          <w:b w:val="0"/>
          <w:bCs/>
          <w:szCs w:val="20"/>
        </w:rPr>
        <w:t xml:space="preserve"> </w:t>
      </w:r>
    </w:p>
    <w:p w:rsidR="00890CDD" w:rsidRPr="00E41CFD" w:rsidRDefault="00890CDD" w:rsidP="00980527">
      <w:pPr>
        <w:pStyle w:val="Paralevel1"/>
        <w:tabs>
          <w:tab w:val="clear" w:pos="1843"/>
          <w:tab w:val="left" w:pos="1701"/>
        </w:tabs>
        <w:ind w:left="1134" w:firstLine="0"/>
      </w:pPr>
      <w:r w:rsidRPr="00E41CFD">
        <w:rPr>
          <w:i/>
        </w:rPr>
        <w:t>Process description</w:t>
      </w:r>
      <w:r w:rsidRPr="00E41CFD">
        <w:rPr>
          <w:iCs/>
        </w:rPr>
        <w:t>:</w:t>
      </w:r>
      <w:r w:rsidRPr="00E41CFD">
        <w:t xml:space="preserve"> Cement kilns typically consist of a long cylinder of 50–150 </w:t>
      </w:r>
      <w:proofErr w:type="spellStart"/>
      <w:r w:rsidRPr="00E41CFD">
        <w:t>metres</w:t>
      </w:r>
      <w:proofErr w:type="spellEnd"/>
      <w:r w:rsidR="00E03EFA">
        <w:t xml:space="preserve"> in length</w:t>
      </w:r>
      <w:r w:rsidRPr="00E41CFD">
        <w:t xml:space="preserve">, inclined </w:t>
      </w:r>
      <w:r w:rsidRPr="00E03EFA">
        <w:t xml:space="preserve">slightly from the horizontal (3 </w:t>
      </w:r>
      <w:r w:rsidR="00EF5B6F" w:rsidRPr="00E03EFA">
        <w:t>per cent</w:t>
      </w:r>
      <w:r w:rsidRPr="00E03EFA">
        <w:t xml:space="preserve"> to 4 </w:t>
      </w:r>
      <w:r w:rsidR="00EF5B6F" w:rsidRPr="00E03EFA">
        <w:t>per cent</w:t>
      </w:r>
      <w:r w:rsidRPr="00E03EFA">
        <w:t xml:space="preserve"> gradient</w:t>
      </w:r>
      <w:r w:rsidRPr="00E41CFD">
        <w:t>), which is rotated at about 1</w:t>
      </w:r>
      <w:r w:rsidRPr="00E41CFD">
        <w:noBreakHyphen/>
        <w:t xml:space="preserve">4 revolutions per minute. Raw materials such as limestone, silica, alumina and iron oxides are fed into the upper or “cold” end of the rotary kiln. The slope and rotation cause the materials to move toward the lower or “hot” end of the kiln. The kiln is fired at the lower end of the kiln, where material temperatures reach 1,400°C–1,500°C. As the materials move through the kiln, they undergo drying and </w:t>
      </w:r>
      <w:proofErr w:type="spellStart"/>
      <w:r w:rsidRPr="00E41CFD">
        <w:t>pyroprocessing</w:t>
      </w:r>
      <w:proofErr w:type="spellEnd"/>
      <w:r w:rsidRPr="00E41CFD">
        <w:t xml:space="preserve"> reactions to form clinker. </w:t>
      </w:r>
    </w:p>
    <w:p w:rsidR="0047227C" w:rsidRPr="00E41CFD" w:rsidRDefault="00890CDD" w:rsidP="00980527">
      <w:pPr>
        <w:pStyle w:val="Paralevel1"/>
        <w:tabs>
          <w:tab w:val="clear" w:pos="1843"/>
          <w:tab w:val="left" w:pos="1701"/>
        </w:tabs>
        <w:ind w:left="1134" w:firstLine="0"/>
      </w:pPr>
      <w:r w:rsidRPr="00E41CFD">
        <w:t xml:space="preserve">Cement kilns treating wastes may require </w:t>
      </w:r>
      <w:r w:rsidR="0084466A">
        <w:t xml:space="preserve">kiln </w:t>
      </w:r>
      <w:r w:rsidRPr="00E41CFD">
        <w:t>modifications.</w:t>
      </w:r>
      <w:r w:rsidR="00402927">
        <w:rPr>
          <w:rStyle w:val="FootnoteReference"/>
        </w:rPr>
        <w:footnoteReference w:customMarkFollows="1" w:id="68"/>
        <w:t>68</w:t>
      </w:r>
      <w:r w:rsidRPr="00E41CFD">
        <w:t xml:space="preserve"> Adequate feed points should be selected according to </w:t>
      </w:r>
      <w:r w:rsidR="0084466A">
        <w:t xml:space="preserve">the </w:t>
      </w:r>
      <w:r w:rsidRPr="00E41CFD">
        <w:t xml:space="preserve">characteristics of the waste, including </w:t>
      </w:r>
      <w:r w:rsidR="0084466A">
        <w:t xml:space="preserve">its </w:t>
      </w:r>
      <w:r w:rsidRPr="00E41CFD">
        <w:t>physical, chemical and toxicological</w:t>
      </w:r>
      <w:r w:rsidR="0084466A">
        <w:t xml:space="preserve"> properties</w:t>
      </w:r>
      <w:r w:rsidRPr="00E41CFD">
        <w:t xml:space="preserve">. For example, combustible toxic compounds found in some hazardous waste, such as halogenated organic substances, need to be completely destroyed through proper temperature and residence time. In </w:t>
      </w:r>
      <w:proofErr w:type="spellStart"/>
      <w:r w:rsidRPr="00E41CFD">
        <w:t>preheater</w:t>
      </w:r>
      <w:proofErr w:type="spellEnd"/>
      <w:r w:rsidRPr="00E41CFD">
        <w:t>/</w:t>
      </w:r>
      <w:proofErr w:type="spellStart"/>
      <w:r w:rsidRPr="00E41CFD">
        <w:t>precalciner</w:t>
      </w:r>
      <w:proofErr w:type="spellEnd"/>
      <w:r w:rsidRPr="00E41CFD">
        <w:t xml:space="preserve"> kilns, hazardous waste should generally be fed through either the main or the secondary burners.</w:t>
      </w:r>
      <w:r w:rsidR="00704F2B" w:rsidRPr="00704F2B">
        <w:rPr>
          <w:lang w:eastAsia="zh-CN"/>
        </w:rPr>
        <w:t xml:space="preserve"> </w:t>
      </w:r>
      <w:r w:rsidR="0047227C" w:rsidRPr="00E41CFD">
        <w:t xml:space="preserve">Chlorides have an impact on the quality of the cement so </w:t>
      </w:r>
      <w:r w:rsidR="0084466A" w:rsidRPr="00E03EFA">
        <w:t>their presence must</w:t>
      </w:r>
      <w:r w:rsidR="0084466A">
        <w:t xml:space="preserve"> </w:t>
      </w:r>
      <w:r w:rsidR="0047227C" w:rsidRPr="00E41CFD">
        <w:t xml:space="preserve">be limited. Chlorine can be found in all raw materials used in cement manufacture, so chlorine levels in the hazardous waste can be critical. However, if they are blended down sufficiently, cement kilns can treat highly chlorinated hazardous waste. </w:t>
      </w:r>
    </w:p>
    <w:p w:rsidR="00890CDD" w:rsidRPr="00E41CFD" w:rsidRDefault="00890CDD" w:rsidP="00980527">
      <w:pPr>
        <w:pStyle w:val="Paralevel1"/>
        <w:tabs>
          <w:tab w:val="clear" w:pos="1843"/>
          <w:tab w:val="left" w:pos="1701"/>
        </w:tabs>
        <w:ind w:left="1134" w:firstLine="0"/>
      </w:pPr>
      <w:r w:rsidRPr="00E41CFD">
        <w:rPr>
          <w:color w:val="000000"/>
        </w:rPr>
        <w:t xml:space="preserve"> </w:t>
      </w:r>
      <w:r w:rsidRPr="00E41CFD">
        <w:t>The potential feed point for supplying waste would be:</w:t>
      </w:r>
    </w:p>
    <w:p w:rsidR="00890CDD" w:rsidRPr="00E41CFD" w:rsidRDefault="00890CDD" w:rsidP="0080213C">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(a)</w:t>
      </w:r>
      <w:r w:rsidRPr="00E41CFD">
        <w:rPr>
          <w:rFonts w:ascii="TimesNewRoman" w:hAnsi="TimesNewRoman" w:cs="TimesNewRoman"/>
        </w:rPr>
        <w:tab/>
        <w:t>The main burner at the rotary kiln outlet end;</w:t>
      </w:r>
    </w:p>
    <w:p w:rsidR="00890CDD" w:rsidRPr="00E41CFD" w:rsidRDefault="00890CDD" w:rsidP="0080213C">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(b)</w:t>
      </w:r>
      <w:r w:rsidRPr="00E41CFD">
        <w:rPr>
          <w:rFonts w:ascii="TimesNewRoman" w:hAnsi="TimesNewRoman" w:cs="TimesNewRoman"/>
        </w:rPr>
        <w:tab/>
        <w:t>A feed chute at the transition chamber at the rotary kiln inlet end (for lump fuel);</w:t>
      </w:r>
    </w:p>
    <w:p w:rsidR="00890CDD" w:rsidRPr="00E41CFD" w:rsidRDefault="00890CDD" w:rsidP="0080213C">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(c)</w:t>
      </w:r>
      <w:r w:rsidRPr="00E41CFD">
        <w:rPr>
          <w:rFonts w:ascii="TimesNewRoman" w:hAnsi="TimesNewRoman" w:cs="TimesNewRoman"/>
        </w:rPr>
        <w:tab/>
        <w:t>Secondary burners to the riser duct;</w:t>
      </w:r>
    </w:p>
    <w:p w:rsidR="00890CDD" w:rsidRPr="00E41CFD" w:rsidRDefault="00890CDD" w:rsidP="0080213C">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(d)</w:t>
      </w:r>
      <w:r w:rsidRPr="00E41CFD">
        <w:rPr>
          <w:rFonts w:ascii="TimesNewRoman" w:hAnsi="TimesNewRoman" w:cs="TimesNewRoman"/>
        </w:rPr>
        <w:tab/>
      </w:r>
      <w:proofErr w:type="spellStart"/>
      <w:r w:rsidRPr="00E41CFD">
        <w:rPr>
          <w:rFonts w:ascii="TimesNewRoman" w:hAnsi="TimesNewRoman" w:cs="TimesNewRoman"/>
        </w:rPr>
        <w:t>Precalciner</w:t>
      </w:r>
      <w:proofErr w:type="spellEnd"/>
      <w:r w:rsidRPr="00E41CFD">
        <w:rPr>
          <w:rFonts w:ascii="TimesNewRoman" w:hAnsi="TimesNewRoman" w:cs="TimesNewRoman"/>
        </w:rPr>
        <w:t xml:space="preserve"> burners to the </w:t>
      </w:r>
      <w:proofErr w:type="spellStart"/>
      <w:r w:rsidRPr="00E41CFD">
        <w:rPr>
          <w:rFonts w:ascii="TimesNewRoman" w:hAnsi="TimesNewRoman" w:cs="TimesNewRoman"/>
        </w:rPr>
        <w:t>precalciner</w:t>
      </w:r>
      <w:proofErr w:type="spellEnd"/>
      <w:r w:rsidRPr="00E41CFD">
        <w:rPr>
          <w:rFonts w:ascii="TimesNewRoman" w:hAnsi="TimesNewRoman" w:cs="TimesNewRoman"/>
        </w:rPr>
        <w:t>;</w:t>
      </w:r>
    </w:p>
    <w:p w:rsidR="00890CDD" w:rsidRPr="00E41CFD" w:rsidRDefault="00890CDD" w:rsidP="0080213C">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(e)</w:t>
      </w:r>
      <w:r w:rsidRPr="00E41CFD">
        <w:rPr>
          <w:rFonts w:ascii="TimesNewRoman" w:hAnsi="TimesNewRoman" w:cs="TimesNewRoman"/>
        </w:rPr>
        <w:tab/>
        <w:t xml:space="preserve">A feed chute to the </w:t>
      </w:r>
      <w:proofErr w:type="spellStart"/>
      <w:r w:rsidRPr="00E41CFD">
        <w:rPr>
          <w:rFonts w:ascii="TimesNewRoman" w:hAnsi="TimesNewRoman" w:cs="TimesNewRoman"/>
        </w:rPr>
        <w:t>precalciner</w:t>
      </w:r>
      <w:proofErr w:type="spellEnd"/>
      <w:r w:rsidRPr="00E41CFD">
        <w:rPr>
          <w:rFonts w:ascii="TimesNewRoman" w:hAnsi="TimesNewRoman" w:cs="TimesNewRoman"/>
        </w:rPr>
        <w:t>/</w:t>
      </w:r>
      <w:proofErr w:type="spellStart"/>
      <w:r w:rsidRPr="00E41CFD">
        <w:rPr>
          <w:rFonts w:ascii="TimesNewRoman" w:hAnsi="TimesNewRoman" w:cs="TimesNewRoman"/>
        </w:rPr>
        <w:t>preheater</w:t>
      </w:r>
      <w:proofErr w:type="spellEnd"/>
      <w:r w:rsidRPr="00E41CFD">
        <w:rPr>
          <w:rFonts w:ascii="TimesNewRoman" w:hAnsi="TimesNewRoman" w:cs="TimesNewRoman"/>
        </w:rPr>
        <w:t xml:space="preserve"> (for lump fuel);</w:t>
      </w:r>
      <w:r w:rsidR="00AD73AE">
        <w:rPr>
          <w:rFonts w:ascii="TimesNewRoman" w:hAnsi="TimesNewRoman" w:cs="TimesNewRoman"/>
        </w:rPr>
        <w:t xml:space="preserve"> </w:t>
      </w:r>
    </w:p>
    <w:p w:rsidR="00890CDD" w:rsidRDefault="00890CDD" w:rsidP="0080213C">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(f)</w:t>
      </w:r>
      <w:r w:rsidRPr="00E41CFD">
        <w:rPr>
          <w:rFonts w:ascii="TimesNewRoman" w:hAnsi="TimesNewRoman" w:cs="TimesNewRoman"/>
        </w:rPr>
        <w:tab/>
        <w:t>A mid-kiln valve in the case of long wet and dry kilns (for lump fuel) (UNEP, 2004</w:t>
      </w:r>
      <w:r w:rsidR="00117804">
        <w:rPr>
          <w:rFonts w:ascii="TimesNewRoman" w:hAnsi="TimesNewRoman" w:cs="TimesNewRoman"/>
        </w:rPr>
        <w:t>b</w:t>
      </w:r>
      <w:r w:rsidRPr="00E41CFD">
        <w:rPr>
          <w:rFonts w:ascii="TimesNewRoman" w:hAnsi="TimesNewRoman" w:cs="TimesNewRoman"/>
        </w:rPr>
        <w:t>).</w:t>
      </w:r>
    </w:p>
    <w:p w:rsidR="00610A78" w:rsidRPr="006617EF" w:rsidRDefault="00610A78" w:rsidP="00980527">
      <w:pPr>
        <w:pStyle w:val="Paralevel1"/>
        <w:tabs>
          <w:tab w:val="clear" w:pos="1843"/>
          <w:tab w:val="left" w:pos="1701"/>
        </w:tabs>
        <w:ind w:left="1134" w:firstLine="0"/>
      </w:pPr>
      <w:r w:rsidRPr="00670611">
        <w:t>The guidance on BAT/BEP developed by the Stockholm Convention relevant to Article 5 and Annex C</w:t>
      </w:r>
      <w:r>
        <w:t xml:space="preserve"> on cement kiln firing hazardous waste</w:t>
      </w:r>
      <w:r w:rsidRPr="00670611">
        <w:t xml:space="preserve"> should be used and applied to this technology (</w:t>
      </w:r>
      <w:r>
        <w:t>UNEP, 2007).</w:t>
      </w:r>
    </w:p>
    <w:p w:rsidR="002605B5" w:rsidRPr="0056717A" w:rsidRDefault="002605B5" w:rsidP="00980527">
      <w:pPr>
        <w:pStyle w:val="Paralevel1"/>
        <w:tabs>
          <w:tab w:val="clear" w:pos="1843"/>
          <w:tab w:val="left" w:pos="1701"/>
        </w:tabs>
        <w:ind w:left="1134" w:firstLine="0"/>
      </w:pPr>
      <w:r w:rsidRPr="00E41CFD">
        <w:rPr>
          <w:i/>
          <w:iCs/>
        </w:rPr>
        <w:t>Efficiency</w:t>
      </w:r>
      <w:r w:rsidRPr="00E41CFD">
        <w:t xml:space="preserve">: DREs greater than 99.99998 </w:t>
      </w:r>
      <w:r w:rsidR="003F5017">
        <w:t>per cent</w:t>
      </w:r>
      <w:r w:rsidRPr="00E41CFD">
        <w:t xml:space="preserve"> have been reported for PCBs in several countries. A facility should demonstrate its capability to destroy (</w:t>
      </w:r>
      <w:r w:rsidR="007F746C">
        <w:t xml:space="preserve">through </w:t>
      </w:r>
      <w:r w:rsidRPr="00E41CFD">
        <w:t>combustion) or remove (</w:t>
      </w:r>
      <w:r w:rsidR="007F746C">
        <w:t xml:space="preserve">through </w:t>
      </w:r>
      <w:r w:rsidRPr="00E41CFD">
        <w:t xml:space="preserve">settling in ductwork or air pollution control devices) at least 99.9999 </w:t>
      </w:r>
      <w:r w:rsidR="003F5017">
        <w:t xml:space="preserve">per cent </w:t>
      </w:r>
      <w:r w:rsidRPr="00E41CFD">
        <w:t>of targeted POPs.</w:t>
      </w:r>
      <w:r w:rsidR="00402927">
        <w:rPr>
          <w:rStyle w:val="FootnoteReference"/>
        </w:rPr>
        <w:footnoteReference w:customMarkFollows="1" w:id="69"/>
        <w:t>69</w:t>
      </w:r>
      <w:r w:rsidRPr="00064AA5">
        <w:t xml:space="preserve"> </w:t>
      </w:r>
      <w:r w:rsidR="00E2419A">
        <w:t xml:space="preserve">Reported </w:t>
      </w:r>
      <w:r w:rsidR="00755032">
        <w:t xml:space="preserve">DE </w:t>
      </w:r>
      <w:r w:rsidR="00A662DC">
        <w:t xml:space="preserve">and </w:t>
      </w:r>
      <w:r w:rsidR="00755032">
        <w:t xml:space="preserve">DRE </w:t>
      </w:r>
      <w:r w:rsidR="00E2419A">
        <w:t xml:space="preserve">values </w:t>
      </w:r>
      <w:r w:rsidR="00A662DC">
        <w:t xml:space="preserve">for DDT </w:t>
      </w:r>
      <w:r w:rsidR="00E2419A">
        <w:t xml:space="preserve">are in </w:t>
      </w:r>
      <w:r w:rsidR="00A662DC">
        <w:t>the range of 99.9335</w:t>
      </w:r>
      <w:r w:rsidR="00ED090A">
        <w:t>-</w:t>
      </w:r>
      <w:r w:rsidR="00A662DC">
        <w:t>99.9998</w:t>
      </w:r>
      <w:r w:rsidR="007F746C">
        <w:t xml:space="preserve"> per cent </w:t>
      </w:r>
      <w:r w:rsidR="00A662DC">
        <w:t>and 99.9984</w:t>
      </w:r>
      <w:r w:rsidR="00E2419A">
        <w:rPr>
          <w:rFonts w:ascii="AdvTT5235d5a9+20" w:hAnsi="AdvTT5235d5a9+20" w:cs="AdvTT5235d5a9+20"/>
        </w:rPr>
        <w:t>-</w:t>
      </w:r>
      <w:r w:rsidR="00A662DC">
        <w:t>99.9999</w:t>
      </w:r>
      <w:r w:rsidR="007F746C">
        <w:t xml:space="preserve"> per cent</w:t>
      </w:r>
      <w:r w:rsidR="00A662DC">
        <w:t xml:space="preserve">, respectively (Yan et al, 2014). </w:t>
      </w:r>
      <w:r>
        <w:t xml:space="preserve">Virtually any organic compound can be destroyed at the elevated temperatures </w:t>
      </w:r>
      <w:r w:rsidR="008B2F8E">
        <w:t xml:space="preserve">of </w:t>
      </w:r>
      <w:r>
        <w:t>a properly operating cement kiln</w:t>
      </w:r>
      <w:r w:rsidR="00755032">
        <w:t xml:space="preserve"> </w:t>
      </w:r>
      <w:r w:rsidR="00E16D6A">
        <w:t>(</w:t>
      </w:r>
      <w:r w:rsidR="00A662DC">
        <w:t>UNEP, 2007)</w:t>
      </w:r>
      <w:r w:rsidR="00755032">
        <w:t>.</w:t>
      </w:r>
      <w:r>
        <w:t xml:space="preserve"> </w:t>
      </w:r>
      <w:r w:rsidRPr="00A54595">
        <w:t>Process operating constraints may become significant when certain compounds</w:t>
      </w:r>
      <w:r w:rsidR="00FF4F13" w:rsidRPr="0031057B">
        <w:t>,</w:t>
      </w:r>
      <w:r w:rsidRPr="00913774">
        <w:t xml:space="preserve"> </w:t>
      </w:r>
      <w:r w:rsidR="00405DFE" w:rsidRPr="00405DFE">
        <w:t xml:space="preserve">for example circulating volatile elements such as chlorine, </w:t>
      </w:r>
      <w:proofErr w:type="spellStart"/>
      <w:r w:rsidR="00405DFE" w:rsidRPr="00405DFE">
        <w:t>sulphur</w:t>
      </w:r>
      <w:proofErr w:type="spellEnd"/>
      <w:r w:rsidR="00405DFE" w:rsidRPr="00405DFE">
        <w:t xml:space="preserve"> or alkalis, </w:t>
      </w:r>
      <w:r w:rsidRPr="00A54595">
        <w:t>are pre</w:t>
      </w:r>
      <w:r w:rsidRPr="0031057B">
        <w:t>sent in excessive quantities</w:t>
      </w:r>
      <w:r w:rsidR="00FF4F13">
        <w:t xml:space="preserve"> </w:t>
      </w:r>
      <w:r w:rsidRPr="00064AA5">
        <w:t>(</w:t>
      </w:r>
      <w:proofErr w:type="spellStart"/>
      <w:r w:rsidRPr="00064AA5">
        <w:t>Karstensen</w:t>
      </w:r>
      <w:proofErr w:type="spellEnd"/>
      <w:r w:rsidRPr="00064AA5">
        <w:t>, 2008b)</w:t>
      </w:r>
      <w:r>
        <w:rPr>
          <w:lang w:val="en-CA"/>
        </w:rPr>
        <w:t xml:space="preserve">. </w:t>
      </w:r>
    </w:p>
    <w:p w:rsidR="00890CDD" w:rsidRPr="00E41CFD" w:rsidRDefault="00890CDD" w:rsidP="00980527">
      <w:pPr>
        <w:pStyle w:val="Paralevel1"/>
        <w:tabs>
          <w:tab w:val="clear" w:pos="1843"/>
          <w:tab w:val="left" w:pos="1701"/>
        </w:tabs>
        <w:ind w:left="1134" w:firstLine="0"/>
      </w:pPr>
      <w:r w:rsidRPr="00E41CFD">
        <w:rPr>
          <w:i/>
          <w:iCs/>
        </w:rPr>
        <w:t>Waste types</w:t>
      </w:r>
      <w:r w:rsidRPr="00E41CFD">
        <w:t>: As mentioned above, cement kilns have been demonstrated with PCBs, HBCD</w:t>
      </w:r>
      <w:r>
        <w:t xml:space="preserve">, </w:t>
      </w:r>
      <w:proofErr w:type="gramStart"/>
      <w:r>
        <w:t>pesticide</w:t>
      </w:r>
      <w:proofErr w:type="gramEnd"/>
      <w:r>
        <w:t xml:space="preserve"> POP</w:t>
      </w:r>
      <w:r w:rsidR="00200F0A">
        <w:t>s</w:t>
      </w:r>
      <w:r>
        <w:t xml:space="preserve">, </w:t>
      </w:r>
      <w:r w:rsidRPr="00B90888">
        <w:t>P</w:t>
      </w:r>
      <w:r w:rsidR="00AD2DE0">
        <w:t>OP-</w:t>
      </w:r>
      <w:r w:rsidRPr="00B90888">
        <w:t>BDEs,</w:t>
      </w:r>
      <w:r>
        <w:t xml:space="preserve"> </w:t>
      </w:r>
      <w:r w:rsidRPr="00B90888">
        <w:rPr>
          <w:rFonts w:cs="Arial"/>
        </w:rPr>
        <w:t>PCDDs</w:t>
      </w:r>
      <w:r>
        <w:rPr>
          <w:rFonts w:cs="Arial"/>
        </w:rPr>
        <w:t>, P</w:t>
      </w:r>
      <w:r w:rsidRPr="00B90888">
        <w:rPr>
          <w:rFonts w:cs="Arial"/>
        </w:rPr>
        <w:t>CDFs</w:t>
      </w:r>
      <w:r w:rsidR="00A662DC">
        <w:rPr>
          <w:rFonts w:cs="Arial"/>
        </w:rPr>
        <w:t xml:space="preserve"> and DDT</w:t>
      </w:r>
      <w:r>
        <w:rPr>
          <w:rFonts w:cs="Arial"/>
        </w:rPr>
        <w:t>.</w:t>
      </w:r>
      <w:r w:rsidRPr="00E41CFD">
        <w:t xml:space="preserve"> Cement kilns are capable of treating both liquid and solid wastes.</w:t>
      </w:r>
      <w:r w:rsidR="00402927">
        <w:rPr>
          <w:rStyle w:val="FootnoteReference"/>
        </w:rPr>
        <w:footnoteReference w:customMarkFollows="1" w:id="70"/>
        <w:t>70</w:t>
      </w:r>
      <w:r w:rsidRPr="00E41CFD">
        <w:t xml:space="preserve"> </w:t>
      </w:r>
    </w:p>
    <w:p w:rsidR="00890CDD" w:rsidRPr="00E41CFD" w:rsidRDefault="00890CDD" w:rsidP="00980527">
      <w:pPr>
        <w:pStyle w:val="Paralevel1"/>
        <w:tabs>
          <w:tab w:val="clear" w:pos="1843"/>
          <w:tab w:val="left" w:pos="1701"/>
        </w:tabs>
        <w:ind w:left="1134" w:firstLine="0"/>
      </w:pPr>
      <w:r w:rsidRPr="00E41CFD">
        <w:rPr>
          <w:i/>
          <w:iCs/>
        </w:rPr>
        <w:t>Pre-treatment</w:t>
      </w:r>
      <w:r w:rsidRPr="00E41CFD">
        <w:t>: Pre-treatment can involve:</w:t>
      </w:r>
    </w:p>
    <w:p w:rsidR="00890CDD" w:rsidRPr="00E41CFD" w:rsidRDefault="00890CDD" w:rsidP="0080213C">
      <w:pPr>
        <w:tabs>
          <w:tab w:val="clear" w:pos="1247"/>
          <w:tab w:val="clear" w:pos="1814"/>
          <w:tab w:val="clear" w:pos="2381"/>
          <w:tab w:val="left" w:pos="2268"/>
        </w:tabs>
        <w:spacing w:after="120"/>
        <w:ind w:left="1134" w:firstLine="567"/>
      </w:pPr>
      <w:r w:rsidRPr="00E41CFD">
        <w:t>(a)</w:t>
      </w:r>
      <w:r w:rsidRPr="00E41CFD">
        <w:tab/>
      </w:r>
      <w:r w:rsidRPr="00E41CFD">
        <w:rPr>
          <w:rFonts w:ascii="TimesNewRoman" w:hAnsi="TimesNewRoman" w:cs="TimesNewRoman"/>
        </w:rPr>
        <w:t>Thermal</w:t>
      </w:r>
      <w:r w:rsidRPr="00E41CFD">
        <w:t xml:space="preserve"> desorption of solid wastes;</w:t>
      </w:r>
    </w:p>
    <w:p w:rsidR="00890CDD" w:rsidRPr="00E41CFD" w:rsidRDefault="00890CDD" w:rsidP="0080213C">
      <w:pPr>
        <w:tabs>
          <w:tab w:val="clear" w:pos="1247"/>
          <w:tab w:val="clear" w:pos="1814"/>
          <w:tab w:val="clear" w:pos="2381"/>
          <w:tab w:val="left" w:pos="2268"/>
        </w:tabs>
        <w:spacing w:after="120"/>
        <w:ind w:left="1134" w:firstLine="567"/>
      </w:pPr>
      <w:r w:rsidRPr="00E41CFD">
        <w:t>(b)</w:t>
      </w:r>
      <w:r w:rsidRPr="00E41CFD">
        <w:tab/>
      </w:r>
      <w:r w:rsidRPr="00E41CFD">
        <w:rPr>
          <w:rFonts w:ascii="TimesNewRoman" w:hAnsi="TimesNewRoman" w:cs="TimesNewRoman"/>
        </w:rPr>
        <w:t>Homogenization</w:t>
      </w:r>
      <w:r w:rsidRPr="00E41CFD">
        <w:t xml:space="preserve"> of solid and liquid wastes through drying, shredding, </w:t>
      </w:r>
      <w:r w:rsidR="00DB2425">
        <w:t xml:space="preserve">blending, </w:t>
      </w:r>
      <w:r w:rsidRPr="00E41CFD">
        <w:t>mixing and grinding;</w:t>
      </w:r>
    </w:p>
    <w:p w:rsidR="00890CDD" w:rsidRDefault="00890CDD" w:rsidP="0080213C">
      <w:pPr>
        <w:tabs>
          <w:tab w:val="clear" w:pos="1247"/>
          <w:tab w:val="clear" w:pos="1814"/>
          <w:tab w:val="clear" w:pos="2381"/>
          <w:tab w:val="left" w:pos="2268"/>
        </w:tabs>
        <w:spacing w:after="120"/>
        <w:ind w:left="1134" w:firstLine="567"/>
      </w:pPr>
      <w:r w:rsidRPr="00E41CFD">
        <w:t>(c)</w:t>
      </w:r>
      <w:r w:rsidRPr="00E41CFD">
        <w:tab/>
      </w:r>
      <w:r w:rsidRPr="00E41CFD">
        <w:rPr>
          <w:rFonts w:ascii="TimesNewRoman" w:hAnsi="TimesNewRoman" w:cs="TimesNewRoman"/>
        </w:rPr>
        <w:t>Volume</w:t>
      </w:r>
      <w:r w:rsidRPr="00E41CFD">
        <w:t xml:space="preserve"> reduction</w:t>
      </w:r>
      <w:r w:rsidR="00200F0A">
        <w:t>; and</w:t>
      </w:r>
    </w:p>
    <w:p w:rsidR="00D60FF5" w:rsidRPr="00E41CFD" w:rsidRDefault="00D60FF5" w:rsidP="0080213C">
      <w:pPr>
        <w:tabs>
          <w:tab w:val="clear" w:pos="1247"/>
          <w:tab w:val="clear" w:pos="1814"/>
          <w:tab w:val="clear" w:pos="2381"/>
          <w:tab w:val="left" w:pos="2268"/>
        </w:tabs>
        <w:spacing w:after="120"/>
        <w:ind w:left="1134" w:firstLine="567"/>
      </w:pPr>
      <w:r>
        <w:t>(d)</w:t>
      </w:r>
      <w:r>
        <w:tab/>
        <w:t>Blending</w:t>
      </w:r>
      <w:r w:rsidR="00200F0A">
        <w:t>.</w:t>
      </w:r>
    </w:p>
    <w:p w:rsidR="00890CDD" w:rsidRDefault="00890CDD" w:rsidP="00980527">
      <w:pPr>
        <w:pStyle w:val="Paralevel1"/>
        <w:tabs>
          <w:tab w:val="clear" w:pos="1843"/>
          <w:tab w:val="left" w:pos="1701"/>
        </w:tabs>
        <w:ind w:left="1134" w:firstLine="0"/>
      </w:pPr>
      <w:r w:rsidRPr="00E41CFD">
        <w:rPr>
          <w:i/>
        </w:rPr>
        <w:t>Emissions and residues</w:t>
      </w:r>
      <w:r w:rsidRPr="00E41CFD">
        <w:rPr>
          <w:iCs/>
        </w:rPr>
        <w:t>:</w:t>
      </w:r>
      <w:r w:rsidRPr="00E41CFD">
        <w:t xml:space="preserve"> </w:t>
      </w:r>
      <w:r w:rsidR="006B76C5">
        <w:t>Cement kiln co-</w:t>
      </w:r>
      <w:r w:rsidR="00C055CF">
        <w:t>incineration</w:t>
      </w:r>
      <w:r w:rsidR="006B76C5">
        <w:t xml:space="preserve"> </w:t>
      </w:r>
      <w:r w:rsidR="00483671">
        <w:t xml:space="preserve">of </w:t>
      </w:r>
      <w:r w:rsidR="006B76C5">
        <w:t xml:space="preserve">hazardous wastes </w:t>
      </w:r>
      <w:r w:rsidR="00483671">
        <w:t xml:space="preserve">is </w:t>
      </w:r>
      <w:r w:rsidR="006B76C5">
        <w:t xml:space="preserve">listed </w:t>
      </w:r>
      <w:r w:rsidR="00483671">
        <w:t xml:space="preserve">as an </w:t>
      </w:r>
      <w:r w:rsidR="006B76C5">
        <w:t>industrial source categor</w:t>
      </w:r>
      <w:r w:rsidR="00483671">
        <w:t>y</w:t>
      </w:r>
      <w:r w:rsidR="006B76C5">
        <w:t xml:space="preserve"> that </w:t>
      </w:r>
      <w:r w:rsidR="00483671">
        <w:t xml:space="preserve">has </w:t>
      </w:r>
      <w:r w:rsidR="006B76C5">
        <w:t xml:space="preserve">the potential for comparatively high formation and release of </w:t>
      </w:r>
      <w:r w:rsidR="00483671">
        <w:t xml:space="preserve">the </w:t>
      </w:r>
      <w:r w:rsidR="006B76C5">
        <w:t>unintenti</w:t>
      </w:r>
      <w:r w:rsidR="00277E1E">
        <w:t>on</w:t>
      </w:r>
      <w:r w:rsidR="006B76C5">
        <w:t xml:space="preserve">ally formed POPs listed in Annex C to </w:t>
      </w:r>
      <w:r w:rsidR="00483671">
        <w:t xml:space="preserve">the </w:t>
      </w:r>
      <w:r w:rsidR="006B76C5">
        <w:t xml:space="preserve">Stockholm Convention. </w:t>
      </w:r>
      <w:r w:rsidRPr="00E41CFD">
        <w:t xml:space="preserve">Emissions may include, </w:t>
      </w:r>
      <w:r w:rsidR="00405DFE" w:rsidRPr="00405DFE">
        <w:rPr>
          <w:i/>
        </w:rPr>
        <w:t>inter alia</w:t>
      </w:r>
      <w:r w:rsidRPr="00E41CFD">
        <w:t xml:space="preserve">, nitrogen oxides, carbon monoxide, </w:t>
      </w:r>
      <w:proofErr w:type="spellStart"/>
      <w:r w:rsidRPr="00E41CFD">
        <w:t>sulphur</w:t>
      </w:r>
      <w:proofErr w:type="spellEnd"/>
      <w:r w:rsidRPr="00E41CFD">
        <w:t xml:space="preserve"> dioxide and other oxides of </w:t>
      </w:r>
      <w:proofErr w:type="spellStart"/>
      <w:r w:rsidRPr="00E41CFD">
        <w:t>sulphur</w:t>
      </w:r>
      <w:proofErr w:type="spellEnd"/>
      <w:r w:rsidRPr="00E41CFD">
        <w:t xml:space="preserve">, metals and their compounds, hydrogen chloride, hydrogen fluoride, ammonia, PCDDs, PCDFs, benzene, toluene, </w:t>
      </w:r>
      <w:proofErr w:type="spellStart"/>
      <w:r w:rsidRPr="00E41CFD">
        <w:t>xylene</w:t>
      </w:r>
      <w:proofErr w:type="spellEnd"/>
      <w:r w:rsidRPr="00E41CFD">
        <w:t xml:space="preserve">, polycyclic aromatic hydrocarbons, </w:t>
      </w:r>
      <w:proofErr w:type="spellStart"/>
      <w:r w:rsidRPr="00E41CFD">
        <w:t>chlorobenzenes</w:t>
      </w:r>
      <w:proofErr w:type="spellEnd"/>
      <w:r w:rsidRPr="00E41CFD">
        <w:t xml:space="preserve"> and PCBs (UNEP, 2004</w:t>
      </w:r>
      <w:r w:rsidR="00117804">
        <w:t>b</w:t>
      </w:r>
      <w:r w:rsidRPr="00E41CFD">
        <w:t>). It should be noted</w:t>
      </w:r>
      <w:r w:rsidR="00483671">
        <w:t xml:space="preserve"> </w:t>
      </w:r>
      <w:r w:rsidRPr="00E41CFD">
        <w:t xml:space="preserve">that cement kilns can comply with PCDD and PCDF air emission levels below 0.1 </w:t>
      </w:r>
      <w:proofErr w:type="spellStart"/>
      <w:r w:rsidRPr="00E41CFD">
        <w:t>ng</w:t>
      </w:r>
      <w:proofErr w:type="spellEnd"/>
      <w:r w:rsidRPr="00E41CFD">
        <w:t xml:space="preserve"> TEQ/Nm</w:t>
      </w:r>
      <w:r w:rsidRPr="00E41CFD">
        <w:rPr>
          <w:vertAlign w:val="superscript"/>
        </w:rPr>
        <w:t>3</w:t>
      </w:r>
      <w:r w:rsidR="0081513E">
        <w:rPr>
          <w:vertAlign w:val="superscript"/>
        </w:rPr>
        <w:t xml:space="preserve"> </w:t>
      </w:r>
      <w:r w:rsidR="00483671">
        <w:t xml:space="preserve">although </w:t>
      </w:r>
      <w:r w:rsidR="0081513E">
        <w:t xml:space="preserve">waste with high chlorine levels should be fed together with other wastes to avoid </w:t>
      </w:r>
      <w:r w:rsidR="0081513E" w:rsidRPr="00483671">
        <w:t>adversely affecting</w:t>
      </w:r>
      <w:r w:rsidR="00483671">
        <w:t xml:space="preserve"> </w:t>
      </w:r>
      <w:r w:rsidR="0081513E">
        <w:t>emission levels</w:t>
      </w:r>
      <w:r w:rsidR="00483671">
        <w:t>,</w:t>
      </w:r>
      <w:r w:rsidR="0081513E">
        <w:t xml:space="preserve"> particularly in wet and (long) dry kilns. </w:t>
      </w:r>
      <w:r w:rsidRPr="00E41CFD">
        <w:t>Residues include cement kiln dust captured by the air pollution control system</w:t>
      </w:r>
      <w:r w:rsidR="00483671">
        <w:t>s</w:t>
      </w:r>
      <w:r w:rsidRPr="00E41CFD">
        <w:t>.</w:t>
      </w:r>
      <w:r w:rsidR="006B76C5">
        <w:t xml:space="preserve"> </w:t>
      </w:r>
    </w:p>
    <w:p w:rsidR="00890CDD" w:rsidRPr="00E41CFD" w:rsidRDefault="00890CDD" w:rsidP="00980527">
      <w:pPr>
        <w:pStyle w:val="Paralevel1"/>
        <w:tabs>
          <w:tab w:val="clear" w:pos="1843"/>
          <w:tab w:val="left" w:pos="1701"/>
        </w:tabs>
        <w:ind w:left="1134" w:firstLine="0"/>
      </w:pPr>
      <w:r w:rsidRPr="00E41CFD">
        <w:rPr>
          <w:i/>
        </w:rPr>
        <w:t>Release control and post-treatment</w:t>
      </w:r>
      <w:r w:rsidRPr="00E41CFD">
        <w:rPr>
          <w:iCs/>
        </w:rPr>
        <w:t>:</w:t>
      </w:r>
      <w:r w:rsidRPr="00E41CFD">
        <w:t xml:space="preserve"> </w:t>
      </w:r>
      <w:r w:rsidRPr="00913774">
        <w:t xml:space="preserve">Process gases </w:t>
      </w:r>
      <w:r w:rsidR="00405DFE" w:rsidRPr="00405DFE">
        <w:t xml:space="preserve">must be treated </w:t>
      </w:r>
      <w:r w:rsidRPr="00913774">
        <w:t xml:space="preserve">to remove cement kiln dust and organic compounds, </w:t>
      </w:r>
      <w:proofErr w:type="spellStart"/>
      <w:r w:rsidRPr="00913774">
        <w:t>sulphur</w:t>
      </w:r>
      <w:proofErr w:type="spellEnd"/>
      <w:r w:rsidRPr="00913774">
        <w:t xml:space="preserve"> dioxide</w:t>
      </w:r>
      <w:r w:rsidR="00405DFE" w:rsidRPr="00405DFE">
        <w:t xml:space="preserve"> and </w:t>
      </w:r>
      <w:r w:rsidRPr="00913774">
        <w:t>nitrogen oxide</w:t>
      </w:r>
      <w:r w:rsidR="00405DFE" w:rsidRPr="00405DFE">
        <w:t xml:space="preserve">; they must also be </w:t>
      </w:r>
      <w:r w:rsidR="00954718" w:rsidRPr="00913774">
        <w:t xml:space="preserve">heated </w:t>
      </w:r>
      <w:r w:rsidRPr="00E94B3D">
        <w:t xml:space="preserve">so that </w:t>
      </w:r>
      <w:r w:rsidR="00954718" w:rsidRPr="00E94B3D">
        <w:t xml:space="preserve">the </w:t>
      </w:r>
      <w:r w:rsidRPr="00E94B3D">
        <w:t>formation of PCDDs and PCDFs is minimized</w:t>
      </w:r>
      <w:r w:rsidR="000E01FF">
        <w:t xml:space="preserve">. </w:t>
      </w:r>
      <w:r w:rsidRPr="00E41CFD">
        <w:t xml:space="preserve">Treatments include </w:t>
      </w:r>
      <w:r w:rsidR="00F53206">
        <w:t xml:space="preserve">the </w:t>
      </w:r>
      <w:r w:rsidRPr="00E41CFD">
        <w:t xml:space="preserve">use of </w:t>
      </w:r>
      <w:proofErr w:type="spellStart"/>
      <w:r w:rsidRPr="00E41CFD">
        <w:t>preheaters</w:t>
      </w:r>
      <w:proofErr w:type="spellEnd"/>
      <w:r w:rsidRPr="00E41CFD">
        <w:t>, electrostatic precipitators, fabric filters and activated carbon filters.</w:t>
      </w:r>
      <w:r w:rsidR="00402927">
        <w:rPr>
          <w:rStyle w:val="FootnoteReference"/>
        </w:rPr>
        <w:footnoteReference w:customMarkFollows="1" w:id="71"/>
        <w:t>71</w:t>
      </w:r>
      <w:r w:rsidRPr="00E41CFD">
        <w:t xml:space="preserve"> Recovered cement kiln dusts should be put back into kilns to the maximum extent practicable, while the remainder may require disposal in a specially engineered landfill or permanent storage in an underground mine or formation. </w:t>
      </w:r>
    </w:p>
    <w:p w:rsidR="00890CDD" w:rsidRPr="00E41CFD" w:rsidRDefault="00890CDD" w:rsidP="00980527">
      <w:pPr>
        <w:pStyle w:val="Paralevel1"/>
        <w:tabs>
          <w:tab w:val="clear" w:pos="1843"/>
          <w:tab w:val="left" w:pos="1701"/>
        </w:tabs>
        <w:ind w:left="1134" w:firstLine="0"/>
      </w:pPr>
      <w:r w:rsidRPr="00E41CFD">
        <w:rPr>
          <w:i/>
        </w:rPr>
        <w:t xml:space="preserve">Energy </w:t>
      </w:r>
      <w:r w:rsidRPr="00E41CFD">
        <w:rPr>
          <w:i/>
          <w:iCs/>
        </w:rPr>
        <w:t>requirements</w:t>
      </w:r>
      <w:r w:rsidRPr="00E41CFD">
        <w:rPr>
          <w:iCs/>
        </w:rPr>
        <w:t xml:space="preserve">: </w:t>
      </w:r>
      <w:r w:rsidRPr="00E41CFD">
        <w:t xml:space="preserve">New kiln systems with five cyclone </w:t>
      </w:r>
      <w:proofErr w:type="spellStart"/>
      <w:r w:rsidRPr="00E41CFD">
        <w:t>preheater</w:t>
      </w:r>
      <w:proofErr w:type="spellEnd"/>
      <w:r w:rsidRPr="00E41CFD">
        <w:t xml:space="preserve"> stages and </w:t>
      </w:r>
      <w:proofErr w:type="spellStart"/>
      <w:r w:rsidRPr="00E41CFD">
        <w:t>precalciner</w:t>
      </w:r>
      <w:proofErr w:type="spellEnd"/>
      <w:r w:rsidRPr="00E41CFD">
        <w:t xml:space="preserve"> will require an average of 2,900–3,200 MJ to produce 1 Mg of clinker. Each ton of cement produced typically requires 60-130 kilograms of fuel oil, or its equivalent, and about 105 KWh of electricity (</w:t>
      </w:r>
      <w:proofErr w:type="spellStart"/>
      <w:r w:rsidRPr="00E41CFD">
        <w:t>Loréa</w:t>
      </w:r>
      <w:proofErr w:type="spellEnd"/>
      <w:r w:rsidRPr="00E41CFD">
        <w:t xml:space="preserve">, 2007). </w:t>
      </w:r>
    </w:p>
    <w:p w:rsidR="00890CDD" w:rsidRPr="00E41CFD" w:rsidRDefault="00890CDD" w:rsidP="00980527">
      <w:pPr>
        <w:pStyle w:val="Paralevel1"/>
        <w:tabs>
          <w:tab w:val="clear" w:pos="1843"/>
          <w:tab w:val="left" w:pos="1701"/>
        </w:tabs>
        <w:ind w:left="1134" w:firstLine="0"/>
      </w:pPr>
      <w:r w:rsidRPr="00E41CFD">
        <w:rPr>
          <w:i/>
        </w:rPr>
        <w:t xml:space="preserve">Material </w:t>
      </w:r>
      <w:r w:rsidRPr="00E41CFD">
        <w:rPr>
          <w:i/>
          <w:iCs/>
        </w:rPr>
        <w:t>requirements</w:t>
      </w:r>
      <w:r w:rsidRPr="00E41CFD">
        <w:rPr>
          <w:iCs/>
        </w:rPr>
        <w:t>:</w:t>
      </w:r>
      <w:r w:rsidRPr="00E41CFD">
        <w:t xml:space="preserve"> Cement manufacturing requires large amounts of materials, including limestone, silica, alumina, iron oxides and gypsum. </w:t>
      </w:r>
    </w:p>
    <w:p w:rsidR="00890CDD" w:rsidRPr="00E41CFD" w:rsidRDefault="00890CDD" w:rsidP="00980527">
      <w:pPr>
        <w:pStyle w:val="Paralevel1"/>
        <w:tabs>
          <w:tab w:val="clear" w:pos="1843"/>
          <w:tab w:val="left" w:pos="1701"/>
        </w:tabs>
        <w:ind w:left="1134" w:firstLine="0"/>
      </w:pPr>
      <w:r w:rsidRPr="00E41CFD">
        <w:rPr>
          <w:i/>
        </w:rPr>
        <w:t>Portability</w:t>
      </w:r>
      <w:r w:rsidRPr="00E41CFD">
        <w:rPr>
          <w:iCs/>
        </w:rPr>
        <w:t xml:space="preserve">: </w:t>
      </w:r>
      <w:r w:rsidRPr="00980527">
        <w:t>Cement</w:t>
      </w:r>
      <w:r w:rsidRPr="00E41CFD">
        <w:t xml:space="preserve"> kilns are available only in fixed configurations.</w:t>
      </w:r>
    </w:p>
    <w:p w:rsidR="00890CDD" w:rsidRPr="00E41CFD" w:rsidRDefault="00890CDD" w:rsidP="00980527">
      <w:pPr>
        <w:pStyle w:val="Paralevel1"/>
        <w:tabs>
          <w:tab w:val="clear" w:pos="1843"/>
          <w:tab w:val="left" w:pos="1701"/>
        </w:tabs>
        <w:ind w:left="1134" w:firstLine="0"/>
      </w:pPr>
      <w:r w:rsidRPr="00E41CFD">
        <w:rPr>
          <w:i/>
        </w:rPr>
        <w:t>Health and safety</w:t>
      </w:r>
      <w:r w:rsidRPr="00E41CFD">
        <w:rPr>
          <w:iCs/>
        </w:rPr>
        <w:t>:</w:t>
      </w:r>
      <w:r w:rsidRPr="00E41CFD">
        <w:t xml:space="preserve"> Treatment of wastes in cement kilns can be regarded as relatively safe </w:t>
      </w:r>
      <w:r w:rsidR="00E54235">
        <w:t>provided that</w:t>
      </w:r>
      <w:r w:rsidR="00E54235" w:rsidRPr="00E41CFD">
        <w:t xml:space="preserve"> </w:t>
      </w:r>
      <w:r w:rsidR="00CB1759">
        <w:t xml:space="preserve">kilns are </w:t>
      </w:r>
      <w:r w:rsidRPr="00E41CFD">
        <w:t>properly designed and operated.</w:t>
      </w:r>
    </w:p>
    <w:p w:rsidR="00890CDD" w:rsidRDefault="00890CDD" w:rsidP="00980527">
      <w:pPr>
        <w:pStyle w:val="Paralevel1"/>
        <w:tabs>
          <w:tab w:val="clear" w:pos="1843"/>
          <w:tab w:val="left" w:pos="1701"/>
        </w:tabs>
        <w:ind w:left="1134" w:firstLine="0"/>
      </w:pPr>
      <w:r w:rsidRPr="00E41CFD">
        <w:rPr>
          <w:i/>
        </w:rPr>
        <w:t>Capacity</w:t>
      </w:r>
      <w:r w:rsidRPr="00E41CFD">
        <w:rPr>
          <w:iCs/>
        </w:rPr>
        <w:t xml:space="preserve">: </w:t>
      </w:r>
      <w:r w:rsidRPr="00E94B3D">
        <w:t>Cement kilns</w:t>
      </w:r>
      <w:r w:rsidR="00405DFE" w:rsidRPr="00405DFE">
        <w:t xml:space="preserve"> that</w:t>
      </w:r>
      <w:r w:rsidRPr="00E94B3D">
        <w:t xml:space="preserve"> co-incinerat</w:t>
      </w:r>
      <w:r w:rsidR="00405DFE" w:rsidRPr="00405DFE">
        <w:t>e</w:t>
      </w:r>
      <w:r w:rsidRPr="00E94B3D">
        <w:t xml:space="preserve"> waste as fuel </w:t>
      </w:r>
      <w:r w:rsidR="00405DFE" w:rsidRPr="00405DFE">
        <w:t xml:space="preserve">must </w:t>
      </w:r>
      <w:r w:rsidRPr="00E94B3D">
        <w:t xml:space="preserve">normally </w:t>
      </w:r>
      <w:r w:rsidR="00405DFE" w:rsidRPr="00405DFE">
        <w:t xml:space="preserve">not </w:t>
      </w:r>
      <w:r w:rsidR="00396EB0" w:rsidRPr="00E94B3D">
        <w:t xml:space="preserve">meet </w:t>
      </w:r>
      <w:r w:rsidR="00405DFE" w:rsidRPr="00405DFE">
        <w:t xml:space="preserve">more than </w:t>
      </w:r>
      <w:r w:rsidRPr="00E94B3D">
        <w:t>40 </w:t>
      </w:r>
      <w:r w:rsidR="001D0865" w:rsidRPr="00E94B3D">
        <w:t>per cent</w:t>
      </w:r>
      <w:r w:rsidRPr="00E94B3D">
        <w:t xml:space="preserve"> of </w:t>
      </w:r>
      <w:r w:rsidR="005768EF" w:rsidRPr="00E94B3D">
        <w:t xml:space="preserve">their </w:t>
      </w:r>
      <w:r w:rsidRPr="00A6319E">
        <w:t>heat requirement</w:t>
      </w:r>
      <w:r w:rsidR="001D0865" w:rsidRPr="00A6319E">
        <w:t>s</w:t>
      </w:r>
      <w:r w:rsidRPr="00A6319E">
        <w:t xml:space="preserve"> </w:t>
      </w:r>
      <w:r w:rsidR="00405DFE" w:rsidRPr="00405DFE">
        <w:t>with</w:t>
      </w:r>
      <w:r w:rsidR="00AE64F2">
        <w:rPr>
          <w:rStyle w:val="CommentReference"/>
          <w:rFonts w:eastAsia="Times New Roman"/>
          <w:lang w:val="en-GB"/>
        </w:rPr>
        <w:t xml:space="preserve"> </w:t>
      </w:r>
      <w:r w:rsidRPr="00E94B3D">
        <w:t>hazardous waste</w:t>
      </w:r>
      <w:r w:rsidRPr="00E41CFD">
        <w:t>. It has been noted, however, that cement kilns with high throughput can potentially treat significant quantities of waste</w:t>
      </w:r>
      <w:r w:rsidRPr="00E41CFD">
        <w:rPr>
          <w:rStyle w:val="FootnoteReference"/>
        </w:rPr>
        <w:t xml:space="preserve"> </w:t>
      </w:r>
      <w:r w:rsidRPr="00E41CFD">
        <w:rPr>
          <w:rStyle w:val="FootnoteReference"/>
          <w:vertAlign w:val="baseline"/>
        </w:rPr>
        <w:t>(CMPS&amp;F – Environment Australia, 1997</w:t>
      </w:r>
      <w:r w:rsidRPr="00E41CFD">
        <w:rPr>
          <w:rStyle w:val="FootnoteReference"/>
          <w:sz w:val="18"/>
          <w:vertAlign w:val="baseline"/>
        </w:rPr>
        <w:t>)</w:t>
      </w:r>
      <w:r w:rsidRPr="00E41CFD">
        <w:t xml:space="preserve">. </w:t>
      </w:r>
    </w:p>
    <w:p w:rsidR="00890CDD" w:rsidRPr="00E41CFD" w:rsidRDefault="00890CDD" w:rsidP="00980527">
      <w:pPr>
        <w:pStyle w:val="Paralevel1"/>
        <w:tabs>
          <w:tab w:val="clear" w:pos="1843"/>
          <w:tab w:val="left" w:pos="1701"/>
        </w:tabs>
        <w:ind w:left="1134" w:firstLine="0"/>
      </w:pPr>
      <w:r w:rsidRPr="00E41CFD">
        <w:rPr>
          <w:i/>
        </w:rPr>
        <w:t>State of commercialization</w:t>
      </w:r>
      <w:r w:rsidRPr="00E41CFD">
        <w:rPr>
          <w:iCs/>
        </w:rPr>
        <w:t>:</w:t>
      </w:r>
      <w:r w:rsidRPr="00E41CFD">
        <w:t xml:space="preserve"> Cement kilns in the United States, some European </w:t>
      </w:r>
      <w:r w:rsidR="00E179FF">
        <w:t xml:space="preserve">countries </w:t>
      </w:r>
      <w:r w:rsidRPr="00E41CFD">
        <w:t>and a number of developing countries have been used to treat wastes contaminated with POPs (World Business Council, 2004: Formation and Release of POPs in the Cement Industry</w:t>
      </w:r>
      <w:r w:rsidR="00E179FF">
        <w:t xml:space="preserve"> and</w:t>
      </w:r>
      <w:r w:rsidR="00E179FF" w:rsidRPr="00E41CFD">
        <w:t xml:space="preserve"> </w:t>
      </w:r>
      <w:proofErr w:type="spellStart"/>
      <w:r w:rsidRPr="00E41CFD">
        <w:t>Kar</w:t>
      </w:r>
      <w:r w:rsidR="00B014A6">
        <w:t>s</w:t>
      </w:r>
      <w:r w:rsidRPr="00E41CFD">
        <w:t>tensen</w:t>
      </w:r>
      <w:proofErr w:type="spellEnd"/>
      <w:r w:rsidRPr="00E41CFD">
        <w:t>, 2006).</w:t>
      </w:r>
    </w:p>
    <w:p w:rsidR="00890CDD" w:rsidRPr="00E41CFD" w:rsidRDefault="00405DFE" w:rsidP="00980527">
      <w:pPr>
        <w:pStyle w:val="Paralevel1"/>
        <w:tabs>
          <w:tab w:val="clear" w:pos="1843"/>
          <w:tab w:val="left" w:pos="1701"/>
        </w:tabs>
        <w:ind w:left="1134" w:firstLine="0"/>
      </w:pPr>
      <w:r w:rsidRPr="00405DFE">
        <w:rPr>
          <w:i/>
        </w:rPr>
        <w:t>Additional information</w:t>
      </w:r>
      <w:r w:rsidR="00890CDD" w:rsidRPr="00E41CFD">
        <w:t xml:space="preserve">: </w:t>
      </w:r>
      <w:r w:rsidR="009F34BC">
        <w:t>S</w:t>
      </w:r>
      <w:r w:rsidR="00890CDD" w:rsidRPr="00E41CFD">
        <w:t xml:space="preserve">ee </w:t>
      </w:r>
      <w:r w:rsidR="00746F52">
        <w:t xml:space="preserve">the UNEP </w:t>
      </w:r>
      <w:r w:rsidR="00890CDD" w:rsidRPr="00E41CFD">
        <w:t xml:space="preserve">Technical guidelines on the environmentally sound co-processing of hazardous wastes in cement kilns (UNEP, 2011). </w:t>
      </w:r>
      <w:r w:rsidR="00425AA3">
        <w:t xml:space="preserve"> </w:t>
      </w:r>
    </w:p>
    <w:p w:rsidR="005D256C" w:rsidRDefault="00890CDD">
      <w:pPr>
        <w:pStyle w:val="Heading4"/>
        <w:spacing w:before="240" w:after="120"/>
        <w:ind w:left="1134" w:hanging="510"/>
      </w:pPr>
      <w:bookmarkStart w:id="735" w:name="_Toc145395148"/>
      <w:bookmarkStart w:id="736" w:name="_Toc161804601"/>
      <w:bookmarkStart w:id="737" w:name="_Toc405988681"/>
      <w:bookmarkStart w:id="738" w:name="_Toc437340575"/>
      <w:r w:rsidRPr="00E41CFD">
        <w:rPr>
          <w:szCs w:val="20"/>
        </w:rPr>
        <w:t>(</w:t>
      </w:r>
      <w:r w:rsidR="006E7C79">
        <w:rPr>
          <w:szCs w:val="20"/>
        </w:rPr>
        <w:t>f</w:t>
      </w:r>
      <w:r w:rsidRPr="00E41CFD">
        <w:rPr>
          <w:szCs w:val="20"/>
        </w:rPr>
        <w:t>)</w:t>
      </w:r>
      <w:r w:rsidRPr="00E41CFD">
        <w:rPr>
          <w:szCs w:val="20"/>
        </w:rPr>
        <w:tab/>
        <w:t xml:space="preserve">Gas-phase </w:t>
      </w:r>
      <w:r w:rsidRPr="00E41CFD">
        <w:t>chemical</w:t>
      </w:r>
      <w:r w:rsidRPr="00E41CFD">
        <w:rPr>
          <w:szCs w:val="20"/>
        </w:rPr>
        <w:t xml:space="preserve"> reduction (GPCR)</w:t>
      </w:r>
      <w:bookmarkEnd w:id="735"/>
      <w:bookmarkEnd w:id="736"/>
      <w:bookmarkEnd w:id="737"/>
      <w:bookmarkEnd w:id="738"/>
      <w:r w:rsidR="00402927" w:rsidRPr="00402927">
        <w:rPr>
          <w:rStyle w:val="FootnoteReference"/>
          <w:b w:val="0"/>
          <w:bCs/>
        </w:rPr>
        <w:footnoteReference w:customMarkFollows="1" w:id="72"/>
        <w:t>72</w:t>
      </w:r>
    </w:p>
    <w:p w:rsidR="00890CDD" w:rsidRPr="00E41CFD" w:rsidRDefault="00890CDD" w:rsidP="00980527">
      <w:pPr>
        <w:pStyle w:val="Paralevel1"/>
        <w:tabs>
          <w:tab w:val="clear" w:pos="1843"/>
          <w:tab w:val="left" w:pos="1701"/>
        </w:tabs>
        <w:ind w:left="1134" w:firstLine="0"/>
      </w:pPr>
      <w:r w:rsidRPr="00E41CFD">
        <w:rPr>
          <w:i/>
        </w:rPr>
        <w:t>Process description</w:t>
      </w:r>
      <w:r w:rsidRPr="00E41CFD">
        <w:rPr>
          <w:iCs/>
        </w:rPr>
        <w:t xml:space="preserve">: </w:t>
      </w:r>
      <w:r w:rsidRPr="00E41CFD">
        <w:t xml:space="preserve">The GPCR process involves the </w:t>
      </w:r>
      <w:proofErr w:type="spellStart"/>
      <w:r w:rsidRPr="00E41CFD">
        <w:t>thermochemical</w:t>
      </w:r>
      <w:proofErr w:type="spellEnd"/>
      <w:r w:rsidRPr="00E41CFD">
        <w:t xml:space="preserve"> reduction of organic compounds. At temperatures greater than 850</w:t>
      </w:r>
      <w:r w:rsidR="009D56A3">
        <w:t xml:space="preserve"> </w:t>
      </w:r>
      <w:r w:rsidRPr="00E41CFD">
        <w:t>°C and at low pressures, hydrogen reacts with chlorinated organic compounds to yield primarily</w:t>
      </w:r>
      <w:r>
        <w:t xml:space="preserve"> </w:t>
      </w:r>
      <w:r w:rsidRPr="00913EE5">
        <w:rPr>
          <w:lang w:val="en-CA"/>
        </w:rPr>
        <w:t xml:space="preserve">methane, hydrogen chloride (if the waste is chlorinated), and minor amounts of low molecular weight hydrocarbons (benzene and ethylene). The hydrochloric acid is neutralized </w:t>
      </w:r>
      <w:r w:rsidR="009F34BC">
        <w:rPr>
          <w:lang w:val="en-CA"/>
        </w:rPr>
        <w:t xml:space="preserve">through the </w:t>
      </w:r>
      <w:r w:rsidRPr="00913EE5">
        <w:rPr>
          <w:lang w:val="en-CA"/>
        </w:rPr>
        <w:t xml:space="preserve">addition of caustic soda during </w:t>
      </w:r>
      <w:r w:rsidR="009F34BC">
        <w:rPr>
          <w:lang w:val="en-CA"/>
        </w:rPr>
        <w:t xml:space="preserve">the </w:t>
      </w:r>
      <w:r w:rsidRPr="00913EE5">
        <w:rPr>
          <w:lang w:val="en-CA"/>
        </w:rPr>
        <w:t>initial cooling of the process gas, or can be t</w:t>
      </w:r>
      <w:r>
        <w:rPr>
          <w:lang w:val="en-CA"/>
        </w:rPr>
        <w:t xml:space="preserve">aken off in acid form for reuse. </w:t>
      </w:r>
      <w:r w:rsidRPr="00913EE5">
        <w:rPr>
          <w:lang w:val="en-CA"/>
        </w:rPr>
        <w:t>The GP</w:t>
      </w:r>
      <w:r>
        <w:rPr>
          <w:lang w:val="en-CA"/>
        </w:rPr>
        <w:t>C</w:t>
      </w:r>
      <w:r w:rsidRPr="00913EE5">
        <w:rPr>
          <w:lang w:val="en-CA"/>
        </w:rPr>
        <w:t xml:space="preserve">R technology can be broken down into three basic unit operations: </w:t>
      </w:r>
      <w:r w:rsidR="00B70028">
        <w:rPr>
          <w:lang w:val="en-CA"/>
        </w:rPr>
        <w:t xml:space="preserve">a </w:t>
      </w:r>
      <w:r w:rsidRPr="00913EE5">
        <w:rPr>
          <w:lang w:val="en-CA"/>
        </w:rPr>
        <w:t xml:space="preserve">front-end system (where the contaminants are </w:t>
      </w:r>
      <w:r w:rsidR="00B70028">
        <w:rPr>
          <w:lang w:val="en-CA"/>
        </w:rPr>
        <w:t xml:space="preserve">transformed </w:t>
      </w:r>
      <w:r w:rsidRPr="00913EE5">
        <w:rPr>
          <w:lang w:val="en-CA"/>
        </w:rPr>
        <w:t xml:space="preserve">into a suitable form for destruction in the reactor), </w:t>
      </w:r>
      <w:r w:rsidR="00B70028">
        <w:rPr>
          <w:lang w:val="en-CA"/>
        </w:rPr>
        <w:t xml:space="preserve">a </w:t>
      </w:r>
      <w:r w:rsidRPr="00913EE5">
        <w:rPr>
          <w:lang w:val="en-CA"/>
        </w:rPr>
        <w:t xml:space="preserve">reactor (which reduces the contaminants, </w:t>
      </w:r>
      <w:r w:rsidR="000C0335">
        <w:rPr>
          <w:lang w:val="en-CA"/>
        </w:rPr>
        <w:t xml:space="preserve">at this stage </w:t>
      </w:r>
      <w:r w:rsidRPr="00913EE5">
        <w:rPr>
          <w:lang w:val="en-CA"/>
        </w:rPr>
        <w:t xml:space="preserve">in gas phase, using hydrogen and steam), and </w:t>
      </w:r>
      <w:r w:rsidR="00B70028">
        <w:rPr>
          <w:lang w:val="en-CA"/>
        </w:rPr>
        <w:t xml:space="preserve">a </w:t>
      </w:r>
      <w:r w:rsidRPr="00913EE5">
        <w:rPr>
          <w:lang w:val="en-CA"/>
        </w:rPr>
        <w:t>gas scrubbing and compression system</w:t>
      </w:r>
      <w:r>
        <w:rPr>
          <w:lang w:val="en-CA"/>
        </w:rPr>
        <w:t>.</w:t>
      </w:r>
      <w:r w:rsidRPr="00E41CFD">
        <w:t xml:space="preserve"> </w:t>
      </w:r>
    </w:p>
    <w:p w:rsidR="00890CDD" w:rsidRPr="00E41CFD" w:rsidRDefault="00890CDD" w:rsidP="00980527">
      <w:pPr>
        <w:pStyle w:val="Paralevel1"/>
        <w:tabs>
          <w:tab w:val="clear" w:pos="1843"/>
          <w:tab w:val="left" w:pos="1701"/>
        </w:tabs>
        <w:ind w:left="1134" w:firstLine="0"/>
      </w:pPr>
      <w:r w:rsidRPr="00E41CFD">
        <w:rPr>
          <w:i/>
        </w:rPr>
        <w:t>Efficiency</w:t>
      </w:r>
      <w:r w:rsidRPr="00E41CFD">
        <w:rPr>
          <w:iCs/>
        </w:rPr>
        <w:t xml:space="preserve">: </w:t>
      </w:r>
      <w:r w:rsidRPr="00E41CFD">
        <w:t xml:space="preserve">DEs of 99.9999 </w:t>
      </w:r>
      <w:r w:rsidR="00B70028">
        <w:t xml:space="preserve">per cent </w:t>
      </w:r>
      <w:r w:rsidRPr="00E41CFD">
        <w:t>have been reported</w:t>
      </w:r>
      <w:r w:rsidR="009F34BC">
        <w:t xml:space="preserve"> </w:t>
      </w:r>
      <w:r>
        <w:t xml:space="preserve">for DDT, </w:t>
      </w:r>
      <w:r w:rsidRPr="00E41CFD">
        <w:t>HCB, PCBs, PCDDs and PCDFs.</w:t>
      </w:r>
      <w:r w:rsidR="00402927">
        <w:rPr>
          <w:rStyle w:val="FootnoteReference"/>
        </w:rPr>
        <w:footnoteReference w:customMarkFollows="1" w:id="73"/>
        <w:t>73</w:t>
      </w:r>
      <w:r w:rsidRPr="00E41CFD">
        <w:t xml:space="preserve"> </w:t>
      </w:r>
    </w:p>
    <w:p w:rsidR="00890CDD" w:rsidRPr="00E41CFD" w:rsidRDefault="00890CDD" w:rsidP="00980527">
      <w:pPr>
        <w:pStyle w:val="Paralevel1"/>
        <w:tabs>
          <w:tab w:val="clear" w:pos="1843"/>
          <w:tab w:val="left" w:pos="1701"/>
        </w:tabs>
        <w:ind w:left="1134" w:firstLine="0"/>
      </w:pPr>
      <w:r w:rsidRPr="00E41CFD">
        <w:rPr>
          <w:i/>
          <w:iCs/>
        </w:rPr>
        <w:t>Waste</w:t>
      </w:r>
      <w:r w:rsidRPr="00E41CFD">
        <w:rPr>
          <w:i/>
        </w:rPr>
        <w:t xml:space="preserve"> types</w:t>
      </w:r>
      <w:r w:rsidRPr="00E41CFD">
        <w:rPr>
          <w:iCs/>
        </w:rPr>
        <w:t xml:space="preserve">: </w:t>
      </w:r>
      <w:r w:rsidRPr="00E41CFD">
        <w:t xml:space="preserve">In addition to </w:t>
      </w:r>
      <w:r w:rsidR="005E2B22">
        <w:t xml:space="preserve">DDT, </w:t>
      </w:r>
      <w:r w:rsidR="005E2B22" w:rsidRPr="00E41CFD">
        <w:t>HCB, PCBs, PCDDs and PCDFs</w:t>
      </w:r>
      <w:r w:rsidRPr="00E41CFD">
        <w:t xml:space="preserve">, GPCR should </w:t>
      </w:r>
      <w:r w:rsidR="00F32323">
        <w:t xml:space="preserve">serve to </w:t>
      </w:r>
      <w:r w:rsidRPr="00E41CFD">
        <w:t xml:space="preserve">treat </w:t>
      </w:r>
      <w:r>
        <w:t xml:space="preserve">all POP </w:t>
      </w:r>
      <w:r w:rsidRPr="00E41CFD">
        <w:t>wastes</w:t>
      </w:r>
      <w:r>
        <w:t>,</w:t>
      </w:r>
      <w:r w:rsidR="00402927">
        <w:rPr>
          <w:rStyle w:val="FootnoteReference"/>
        </w:rPr>
        <w:footnoteReference w:customMarkFollows="1" w:id="74"/>
        <w:t>74</w:t>
      </w:r>
      <w:r w:rsidRPr="00E41CFD">
        <w:t xml:space="preserve"> including aqueous and oily liquids, soils, sediments, </w:t>
      </w:r>
      <w:proofErr w:type="spellStart"/>
      <w:r>
        <w:t>sludges</w:t>
      </w:r>
      <w:proofErr w:type="spellEnd"/>
      <w:r>
        <w:t xml:space="preserve">, </w:t>
      </w:r>
      <w:r w:rsidRPr="00E41CFD">
        <w:t>transformers and capacitors.</w:t>
      </w:r>
      <w:r w:rsidR="00402927">
        <w:rPr>
          <w:rStyle w:val="FootnoteReference"/>
        </w:rPr>
        <w:footnoteReference w:customMarkFollows="1" w:id="75"/>
        <w:t>75</w:t>
      </w:r>
      <w:r w:rsidRPr="00E41CFD">
        <w:t xml:space="preserve"> </w:t>
      </w:r>
    </w:p>
    <w:p w:rsidR="00890CDD" w:rsidRPr="00E41CFD" w:rsidRDefault="00890CDD" w:rsidP="00980527">
      <w:pPr>
        <w:pStyle w:val="Paralevel1"/>
        <w:tabs>
          <w:tab w:val="clear" w:pos="1843"/>
          <w:tab w:val="left" w:pos="1701"/>
        </w:tabs>
        <w:ind w:left="1134" w:firstLine="0"/>
      </w:pPr>
      <w:r w:rsidRPr="00E41CFD">
        <w:rPr>
          <w:i/>
        </w:rPr>
        <w:t>Pre-treatment</w:t>
      </w:r>
      <w:r w:rsidRPr="00E41CFD">
        <w:rPr>
          <w:iCs/>
        </w:rPr>
        <w:t xml:space="preserve">: </w:t>
      </w:r>
      <w:r w:rsidRPr="00A6319E">
        <w:t xml:space="preserve">Contaminants must be in gaseous form </w:t>
      </w:r>
      <w:r w:rsidR="002F5114" w:rsidRPr="00A6319E">
        <w:t xml:space="preserve">for </w:t>
      </w:r>
      <w:r w:rsidR="00405DFE" w:rsidRPr="00405DFE">
        <w:t xml:space="preserve">a </w:t>
      </w:r>
      <w:r w:rsidRPr="00A6319E">
        <w:t>GP</w:t>
      </w:r>
      <w:r w:rsidR="00986796" w:rsidRPr="00A6319E">
        <w:t>C</w:t>
      </w:r>
      <w:r w:rsidRPr="00A6319E">
        <w:t>R reactor</w:t>
      </w:r>
      <w:r w:rsidR="002F5114" w:rsidRPr="00A6319E">
        <w:t xml:space="preserve"> to reduce</w:t>
      </w:r>
      <w:r w:rsidR="002F5114" w:rsidRPr="00041F1F">
        <w:t xml:space="preserve"> them</w:t>
      </w:r>
      <w:r w:rsidRPr="00416901">
        <w:t>.</w:t>
      </w:r>
      <w:r w:rsidRPr="00913EE5">
        <w:t xml:space="preserve"> While liquid wastes can be preheated and injected directly into the reactor on a continuous basis, contaminants on solids must first be volatilized from </w:t>
      </w:r>
      <w:r w:rsidR="00405DFE" w:rsidRPr="00405DFE">
        <w:t xml:space="preserve">the </w:t>
      </w:r>
      <w:r w:rsidRPr="00A6319E">
        <w:t>solid</w:t>
      </w:r>
      <w:r w:rsidR="00300FD0" w:rsidRPr="00A6319E">
        <w:t>s</w:t>
      </w:r>
      <w:r>
        <w:t xml:space="preserve">. </w:t>
      </w:r>
      <w:r w:rsidRPr="00E41CFD">
        <w:t xml:space="preserve">Depending on the waste type, one of the following three pre-treatment units is </w:t>
      </w:r>
      <w:r w:rsidR="00300FD0">
        <w:t xml:space="preserve">currently </w:t>
      </w:r>
      <w:r w:rsidRPr="00E41CFD">
        <w:t xml:space="preserve">used to volatilize wastes prior to treatment in </w:t>
      </w:r>
      <w:r w:rsidR="00300FD0">
        <w:t xml:space="preserve">a </w:t>
      </w:r>
      <w:r w:rsidRPr="00E41CFD">
        <w:t>GPCR reactor:</w:t>
      </w:r>
    </w:p>
    <w:p w:rsidR="00890CDD" w:rsidRPr="00E41CFD" w:rsidRDefault="00890CDD">
      <w:pPr>
        <w:tabs>
          <w:tab w:val="clear" w:pos="1247"/>
          <w:tab w:val="clear" w:pos="1814"/>
        </w:tabs>
        <w:spacing w:after="120"/>
        <w:ind w:left="1134" w:firstLine="624"/>
      </w:pPr>
      <w:r w:rsidRPr="00E41CFD">
        <w:t>(a)</w:t>
      </w:r>
      <w:r w:rsidRPr="00E41CFD">
        <w:tab/>
        <w:t>Thermal reduction batch processor</w:t>
      </w:r>
      <w:r w:rsidR="000C0335">
        <w:t>s</w:t>
      </w:r>
      <w:r w:rsidRPr="00E41CFD">
        <w:t xml:space="preserve"> (TRBP</w:t>
      </w:r>
      <w:r w:rsidR="000C0335">
        <w:t>s</w:t>
      </w:r>
      <w:r w:rsidRPr="00E41CFD">
        <w:t>) for bulk solids, including those in drums;</w:t>
      </w:r>
    </w:p>
    <w:p w:rsidR="00890CDD" w:rsidRPr="00E41CFD" w:rsidRDefault="00890CDD">
      <w:pPr>
        <w:tabs>
          <w:tab w:val="clear" w:pos="1247"/>
          <w:tab w:val="clear" w:pos="1814"/>
        </w:tabs>
        <w:spacing w:after="120"/>
        <w:ind w:left="1134" w:firstLine="624"/>
      </w:pPr>
      <w:r w:rsidRPr="00E41CFD">
        <w:t>(b)</w:t>
      </w:r>
      <w:r w:rsidRPr="00E41CFD">
        <w:tab/>
      </w:r>
      <w:proofErr w:type="spellStart"/>
      <w:r w:rsidR="003E3EE9">
        <w:t>Toroidal</w:t>
      </w:r>
      <w:proofErr w:type="spellEnd"/>
      <w:r w:rsidR="003E3EE9">
        <w:t xml:space="preserve"> bed </w:t>
      </w:r>
      <w:r w:rsidRPr="00E41CFD">
        <w:t>reactor</w:t>
      </w:r>
      <w:r w:rsidR="000C0335">
        <w:t>s</w:t>
      </w:r>
      <w:r w:rsidRPr="00E41CFD">
        <w:t xml:space="preserve"> for contaminated soils and sediments, but also adapted for liquids;</w:t>
      </w:r>
    </w:p>
    <w:p w:rsidR="00890CDD" w:rsidRPr="00E41CFD" w:rsidRDefault="00890CDD">
      <w:pPr>
        <w:tabs>
          <w:tab w:val="clear" w:pos="1247"/>
          <w:tab w:val="clear" w:pos="1814"/>
        </w:tabs>
        <w:spacing w:after="120"/>
        <w:ind w:left="1134" w:firstLine="624"/>
      </w:pPr>
      <w:r w:rsidRPr="00E41CFD">
        <w:t>(c)</w:t>
      </w:r>
      <w:r w:rsidRPr="00E41CFD">
        <w:tab/>
        <w:t>Liquid waste pre-heater system</w:t>
      </w:r>
      <w:r w:rsidR="000C0335">
        <w:t>s</w:t>
      </w:r>
      <w:r w:rsidRPr="00E41CFD">
        <w:t xml:space="preserve"> (LWPS</w:t>
      </w:r>
      <w:r w:rsidR="000C0335">
        <w:t>s</w:t>
      </w:r>
      <w:r w:rsidRPr="00E41CFD">
        <w:t>) for liquids.</w:t>
      </w:r>
      <w:r w:rsidR="00402927">
        <w:rPr>
          <w:rStyle w:val="FootnoteReference"/>
        </w:rPr>
        <w:footnoteReference w:customMarkFollows="1" w:id="76"/>
        <w:t>76</w:t>
      </w:r>
      <w:r w:rsidRPr="00E41CFD">
        <w:t xml:space="preserve"> </w:t>
      </w:r>
    </w:p>
    <w:p w:rsidR="00890CDD" w:rsidRPr="00E41CFD" w:rsidRDefault="00890CDD" w:rsidP="00980527">
      <w:pPr>
        <w:pStyle w:val="Paralevel1"/>
        <w:tabs>
          <w:tab w:val="clear" w:pos="1843"/>
          <w:tab w:val="left" w:pos="1701"/>
        </w:tabs>
        <w:ind w:left="1134" w:firstLine="0"/>
      </w:pPr>
      <w:r w:rsidRPr="00E41CFD">
        <w:t>In addition, other pre-processing is required for large capacitors and building rubble. Large capacitors are punctured and drained, while rubble and concrete must be reduced in size to less than one square metre.</w:t>
      </w:r>
      <w:r w:rsidR="00402927">
        <w:rPr>
          <w:rStyle w:val="FootnoteReference"/>
        </w:rPr>
        <w:footnoteReference w:customMarkFollows="1" w:id="77"/>
        <w:t>77</w:t>
      </w:r>
      <w:r w:rsidRPr="00E41CFD">
        <w:t xml:space="preserve"> </w:t>
      </w:r>
    </w:p>
    <w:p w:rsidR="00890CDD" w:rsidRPr="00E41CFD" w:rsidRDefault="00890CDD" w:rsidP="00980527">
      <w:pPr>
        <w:pStyle w:val="Paralevel1"/>
        <w:tabs>
          <w:tab w:val="clear" w:pos="1843"/>
          <w:tab w:val="left" w:pos="1701"/>
        </w:tabs>
        <w:ind w:left="1134" w:firstLine="0"/>
      </w:pPr>
      <w:r w:rsidRPr="00341A11">
        <w:rPr>
          <w:i/>
        </w:rPr>
        <w:t>Emissions and residues</w:t>
      </w:r>
      <w:r w:rsidRPr="00341A11">
        <w:rPr>
          <w:iCs/>
        </w:rPr>
        <w:t xml:space="preserve">: </w:t>
      </w:r>
      <w:r w:rsidRPr="00E41CFD">
        <w:t>In addition to hydrogen chloride and methane, low molecular weight hydrocarbons may be emitted. Residues from the GPCR process include used liquor and water. Solid residues will also be generated from solid waste inputs.</w:t>
      </w:r>
      <w:r w:rsidR="00402927">
        <w:rPr>
          <w:rStyle w:val="FootnoteReference"/>
        </w:rPr>
        <w:footnoteReference w:customMarkFollows="1" w:id="78"/>
        <w:t>78</w:t>
      </w:r>
      <w:r w:rsidRPr="00E41CFD">
        <w:t xml:space="preserve"> Since the GPCR process takes place in a reducing atmosphere, the possibility of PCDD and PCDF formation is considered limited.</w:t>
      </w:r>
      <w:r w:rsidR="00402927">
        <w:rPr>
          <w:rStyle w:val="FootnoteReference"/>
        </w:rPr>
        <w:footnoteReference w:customMarkFollows="1" w:id="79"/>
        <w:t>79</w:t>
      </w:r>
      <w:r w:rsidRPr="00E41CFD">
        <w:t xml:space="preserve"> </w:t>
      </w:r>
      <w:r w:rsidRPr="00341A11">
        <w:rPr>
          <w:lang w:val="en-CA"/>
        </w:rPr>
        <w:t>No ash is produced</w:t>
      </w:r>
      <w:r>
        <w:rPr>
          <w:lang w:val="en-CA"/>
        </w:rPr>
        <w:t>.</w:t>
      </w:r>
    </w:p>
    <w:p w:rsidR="00890CDD" w:rsidRPr="00E41CFD" w:rsidRDefault="00890CDD" w:rsidP="00980527">
      <w:pPr>
        <w:pStyle w:val="Paralevel1"/>
        <w:tabs>
          <w:tab w:val="clear" w:pos="1843"/>
          <w:tab w:val="left" w:pos="1701"/>
        </w:tabs>
        <w:ind w:left="1134" w:firstLine="0"/>
      </w:pPr>
      <w:r w:rsidRPr="00341A11">
        <w:rPr>
          <w:i/>
        </w:rPr>
        <w:t>Release control and post-treatment</w:t>
      </w:r>
      <w:r w:rsidRPr="00341A11">
        <w:rPr>
          <w:iCs/>
        </w:rPr>
        <w:t>:</w:t>
      </w:r>
      <w:r w:rsidRPr="00E41CFD">
        <w:t xml:space="preserve"> Gases leaving the reactor are scrubbed to remove water, heat, acid and carbon dioxide.</w:t>
      </w:r>
      <w:r w:rsidR="00402927">
        <w:rPr>
          <w:rStyle w:val="FootnoteReference"/>
        </w:rPr>
        <w:footnoteReference w:customMarkFollows="1" w:id="80"/>
        <w:t>80</w:t>
      </w:r>
      <w:r w:rsidRPr="00E41CFD">
        <w:t xml:space="preserve"> Scrubber residue and particulate will require disposal off site.</w:t>
      </w:r>
      <w:r w:rsidR="00402927">
        <w:rPr>
          <w:rStyle w:val="FootnoteReference"/>
        </w:rPr>
        <w:footnoteReference w:customMarkFollows="1" w:id="81"/>
        <w:t>81</w:t>
      </w:r>
      <w:r w:rsidRPr="00E41CFD">
        <w:t xml:space="preserve"> Solid residues generated from solid waste inputs should be suitable for disposal in a landfill.</w:t>
      </w:r>
      <w:r w:rsidR="00402927">
        <w:rPr>
          <w:rStyle w:val="FootnoteReference"/>
        </w:rPr>
        <w:footnoteReference w:customMarkFollows="1" w:id="82"/>
        <w:t>82</w:t>
      </w:r>
    </w:p>
    <w:p w:rsidR="00890CDD" w:rsidRPr="00E41CFD" w:rsidRDefault="00890CDD" w:rsidP="00980527">
      <w:pPr>
        <w:pStyle w:val="Paralevel1"/>
        <w:tabs>
          <w:tab w:val="clear" w:pos="1843"/>
          <w:tab w:val="left" w:pos="1701"/>
        </w:tabs>
        <w:ind w:left="1134" w:firstLine="0"/>
      </w:pPr>
      <w:r w:rsidRPr="00E41CFD">
        <w:rPr>
          <w:i/>
        </w:rPr>
        <w:t>Energy requirements</w:t>
      </w:r>
      <w:r w:rsidRPr="00E41CFD">
        <w:rPr>
          <w:iCs/>
        </w:rPr>
        <w:t xml:space="preserve">: </w:t>
      </w:r>
      <w:r w:rsidRPr="00E41CFD">
        <w:t>Methane produced during the</w:t>
      </w:r>
      <w:r w:rsidR="00453518">
        <w:t xml:space="preserve"> GPCR</w:t>
      </w:r>
      <w:r w:rsidRPr="00E41CFD">
        <w:t xml:space="preserve"> </w:t>
      </w:r>
      <w:r w:rsidRPr="00A6319E">
        <w:t xml:space="preserve">process can provide much of the fuel </w:t>
      </w:r>
      <w:r w:rsidR="00453518" w:rsidRPr="00041F1F">
        <w:t xml:space="preserve">needed in </w:t>
      </w:r>
      <w:r w:rsidR="00453518" w:rsidRPr="00416901">
        <w:t>the process</w:t>
      </w:r>
      <w:r w:rsidRPr="00E41CFD">
        <w:t>.</w:t>
      </w:r>
      <w:r w:rsidR="00402927">
        <w:rPr>
          <w:rStyle w:val="FootnoteReference"/>
        </w:rPr>
        <w:footnoteReference w:customMarkFollows="1" w:id="83"/>
        <w:t>83</w:t>
      </w:r>
      <w:r w:rsidRPr="00E41CFD">
        <w:t xml:space="preserve"> It has been reported that electricity requirements range from 96 kWh per ton of soil treated to around 900 kWh per ton of pure organic contaminants treated.</w:t>
      </w:r>
      <w:r w:rsidR="00402927">
        <w:rPr>
          <w:rStyle w:val="FootnoteReference"/>
        </w:rPr>
        <w:footnoteReference w:customMarkFollows="1" w:id="84"/>
        <w:t>84</w:t>
      </w:r>
      <w:r w:rsidRPr="00E41CFD">
        <w:t xml:space="preserve"> </w:t>
      </w:r>
    </w:p>
    <w:p w:rsidR="00890CDD" w:rsidRPr="00E41CFD" w:rsidRDefault="00890CDD" w:rsidP="00980527">
      <w:pPr>
        <w:pStyle w:val="Paralevel1"/>
        <w:tabs>
          <w:tab w:val="clear" w:pos="1843"/>
          <w:tab w:val="left" w:pos="1701"/>
        </w:tabs>
        <w:ind w:left="1134" w:firstLine="0"/>
      </w:pPr>
      <w:r w:rsidRPr="00E41CFD">
        <w:rPr>
          <w:i/>
        </w:rPr>
        <w:t>Material requirements</w:t>
      </w:r>
      <w:r w:rsidRPr="00E41CFD">
        <w:rPr>
          <w:iCs/>
        </w:rPr>
        <w:t xml:space="preserve">: </w:t>
      </w:r>
      <w:r w:rsidRPr="00E41CFD">
        <w:t>There is a need for hydrogen supplies, at least during start-up. It has been reported that methane produced during the GPCR process can be used to form enough hydrogen to operate the process thereafter.</w:t>
      </w:r>
      <w:r w:rsidR="00402927">
        <w:rPr>
          <w:rStyle w:val="FootnoteReference"/>
        </w:rPr>
        <w:footnoteReference w:customMarkFollows="1" w:id="85"/>
        <w:t>85</w:t>
      </w:r>
      <w:r w:rsidRPr="00E41CFD">
        <w:t xml:space="preserve"> The hydrogen production unit was plagued, however, by reliability problems in the past.</w:t>
      </w:r>
      <w:r w:rsidR="00402927">
        <w:rPr>
          <w:rStyle w:val="FootnoteReference"/>
        </w:rPr>
        <w:footnoteReference w:customMarkFollows="1" w:id="86"/>
        <w:t>86</w:t>
      </w:r>
      <w:r w:rsidRPr="00E41CFD">
        <w:t xml:space="preserve"> Other material requirements include caustic for the acid scrubber.</w:t>
      </w:r>
      <w:r w:rsidR="00402927">
        <w:rPr>
          <w:rStyle w:val="FootnoteReference"/>
        </w:rPr>
        <w:footnoteReference w:customMarkFollows="1" w:id="87"/>
        <w:t>87</w:t>
      </w:r>
    </w:p>
    <w:p w:rsidR="00890CDD" w:rsidRPr="00E41CFD" w:rsidRDefault="00890CDD" w:rsidP="00980527">
      <w:pPr>
        <w:pStyle w:val="Paralevel1"/>
        <w:tabs>
          <w:tab w:val="clear" w:pos="1843"/>
          <w:tab w:val="left" w:pos="1701"/>
        </w:tabs>
        <w:ind w:left="1134" w:firstLine="0"/>
      </w:pPr>
      <w:r w:rsidRPr="00E41CFD">
        <w:rPr>
          <w:i/>
          <w:iCs/>
        </w:rPr>
        <w:t>Portability</w:t>
      </w:r>
      <w:r w:rsidRPr="00E41CFD">
        <w:rPr>
          <w:iCs/>
        </w:rPr>
        <w:t xml:space="preserve">: </w:t>
      </w:r>
      <w:r w:rsidRPr="00E41CFD">
        <w:t>GPCR is available in fixed and transportable configurations.</w:t>
      </w:r>
      <w:r w:rsidR="00402927">
        <w:rPr>
          <w:rStyle w:val="FootnoteReference"/>
        </w:rPr>
        <w:footnoteReference w:customMarkFollows="1" w:id="88"/>
        <w:t>88</w:t>
      </w:r>
      <w:r w:rsidRPr="00E41CFD">
        <w:t xml:space="preserve"> </w:t>
      </w:r>
    </w:p>
    <w:p w:rsidR="00890CDD" w:rsidRDefault="00890CDD" w:rsidP="00980527">
      <w:pPr>
        <w:pStyle w:val="Paralevel1"/>
        <w:tabs>
          <w:tab w:val="clear" w:pos="1843"/>
          <w:tab w:val="left" w:pos="1701"/>
        </w:tabs>
        <w:ind w:left="1134" w:firstLine="0"/>
      </w:pPr>
      <w:r w:rsidRPr="00E41CFD">
        <w:rPr>
          <w:i/>
        </w:rPr>
        <w:t>Health and safety</w:t>
      </w:r>
      <w:r w:rsidRPr="00E41CFD">
        <w:rPr>
          <w:iCs/>
        </w:rPr>
        <w:t xml:space="preserve">: </w:t>
      </w:r>
      <w:r w:rsidRPr="00E41CFD">
        <w:t>Use of hydrogen gas under pressure requires suitable controls and safeguards to ensure that explosive air-hydrogen mixtures are not formed.</w:t>
      </w:r>
      <w:r w:rsidR="00402927">
        <w:rPr>
          <w:rStyle w:val="FootnoteReference"/>
        </w:rPr>
        <w:footnoteReference w:customMarkFollows="1" w:id="89"/>
        <w:t>89</w:t>
      </w:r>
      <w:r w:rsidRPr="00E41CFD">
        <w:t xml:space="preserve"> Operating experience gained to date has indicated that the GPCR process can be undertaken safely.</w:t>
      </w:r>
      <w:r w:rsidR="00402927">
        <w:rPr>
          <w:rStyle w:val="FootnoteReference"/>
        </w:rPr>
        <w:footnoteReference w:customMarkFollows="1" w:id="90"/>
        <w:t>90</w:t>
      </w:r>
      <w:r w:rsidRPr="00E41CFD">
        <w:t xml:space="preserve"> </w:t>
      </w:r>
      <w:r>
        <w:t xml:space="preserve">GPCR </w:t>
      </w:r>
      <w:r w:rsidR="000C0335">
        <w:t xml:space="preserve">is used to </w:t>
      </w:r>
      <w:r w:rsidRPr="00662102">
        <w:rPr>
          <w:lang w:val="en-CA"/>
        </w:rPr>
        <w:t>treat sewage sludge by converting the waste into clean water and a clean hydrogen enriched methane gas while chemically destroying all pathogens and pharmaceuticals and recovering phosphorous. There are no fugitive methane emissions</w:t>
      </w:r>
      <w:r w:rsidR="006F6700">
        <w:rPr>
          <w:lang w:val="en-CA"/>
        </w:rPr>
        <w:t xml:space="preserve"> in the process</w:t>
      </w:r>
      <w:r w:rsidRPr="00662102">
        <w:rPr>
          <w:lang w:val="en-CA"/>
        </w:rPr>
        <w:t>.</w:t>
      </w:r>
      <w:r>
        <w:rPr>
          <w:lang w:val="en-CA"/>
        </w:rPr>
        <w:t xml:space="preserve"> </w:t>
      </w:r>
    </w:p>
    <w:p w:rsidR="00890CDD" w:rsidRPr="00E41CFD" w:rsidRDefault="00890CDD" w:rsidP="00980527">
      <w:pPr>
        <w:pStyle w:val="Paralevel1"/>
        <w:tabs>
          <w:tab w:val="clear" w:pos="1843"/>
          <w:tab w:val="left" w:pos="1701"/>
        </w:tabs>
        <w:ind w:left="1134" w:firstLine="0"/>
      </w:pPr>
      <w:r w:rsidRPr="00E41CFD">
        <w:rPr>
          <w:i/>
        </w:rPr>
        <w:t>Capacity</w:t>
      </w:r>
      <w:r w:rsidRPr="00E41CFD">
        <w:rPr>
          <w:iCs/>
        </w:rPr>
        <w:t xml:space="preserve">: </w:t>
      </w:r>
      <w:r w:rsidRPr="00E41CFD">
        <w:t xml:space="preserve">GPCR process capacity is dependent on the </w:t>
      </w:r>
      <w:r w:rsidRPr="00A6319E">
        <w:t>capacit</w:t>
      </w:r>
      <w:r w:rsidR="00D72E1B" w:rsidRPr="00A6319E">
        <w:t>ies</w:t>
      </w:r>
      <w:r w:rsidRPr="00041F1F">
        <w:t xml:space="preserve"> of the </w:t>
      </w:r>
      <w:r w:rsidR="00D72E1B" w:rsidRPr="00416901">
        <w:t>following</w:t>
      </w:r>
      <w:r w:rsidR="00D72E1B">
        <w:t xml:space="preserve"> </w:t>
      </w:r>
      <w:r w:rsidRPr="00E41CFD">
        <w:t xml:space="preserve">three </w:t>
      </w:r>
      <w:proofErr w:type="spellStart"/>
      <w:r w:rsidRPr="00E41CFD">
        <w:t>pre</w:t>
      </w:r>
      <w:proofErr w:type="spellEnd"/>
      <w:r w:rsidRPr="00E41CFD">
        <w:noBreakHyphen/>
      </w:r>
      <w:proofErr w:type="spellStart"/>
      <w:r w:rsidRPr="00E41CFD">
        <w:t>treatment</w:t>
      </w:r>
      <w:proofErr w:type="spellEnd"/>
      <w:r w:rsidRPr="00E41CFD">
        <w:t xml:space="preserve"> units, as specified below:</w:t>
      </w:r>
    </w:p>
    <w:p w:rsidR="00890CDD" w:rsidRPr="00E41CFD" w:rsidRDefault="00890CDD" w:rsidP="0080213C">
      <w:pPr>
        <w:tabs>
          <w:tab w:val="clear" w:pos="1247"/>
          <w:tab w:val="clear" w:pos="1814"/>
          <w:tab w:val="clear" w:pos="2381"/>
          <w:tab w:val="left" w:pos="2268"/>
        </w:tabs>
        <w:spacing w:after="120"/>
        <w:ind w:left="1134" w:firstLine="567"/>
      </w:pPr>
      <w:r w:rsidRPr="00E41CFD">
        <w:t>(a)</w:t>
      </w:r>
      <w:r w:rsidRPr="00E41CFD">
        <w:tab/>
        <w:t>TRBP</w:t>
      </w:r>
      <w:r w:rsidR="005302E3">
        <w:t>s</w:t>
      </w:r>
      <w:r w:rsidRPr="00E41CFD">
        <w:t xml:space="preserve"> ha</w:t>
      </w:r>
      <w:r w:rsidR="005302E3">
        <w:t>ve</w:t>
      </w:r>
      <w:r w:rsidRPr="00E41CFD">
        <w:t xml:space="preserve"> a capacity of up to 100 ton</w:t>
      </w:r>
      <w:r w:rsidR="00A6576D">
        <w:t>nes</w:t>
      </w:r>
      <w:r w:rsidRPr="00E41CFD">
        <w:t xml:space="preserve"> of solids per month or up to four litres per minute of liquids. Two TRBPs can be used in parallel to double capacity;</w:t>
      </w:r>
    </w:p>
    <w:p w:rsidR="00890CDD" w:rsidRPr="00E41CFD" w:rsidRDefault="00890CDD" w:rsidP="0080213C">
      <w:pPr>
        <w:tabs>
          <w:tab w:val="clear" w:pos="1247"/>
          <w:tab w:val="clear" w:pos="1814"/>
          <w:tab w:val="clear" w:pos="2381"/>
          <w:tab w:val="left" w:pos="2268"/>
        </w:tabs>
        <w:spacing w:after="120"/>
        <w:ind w:left="1134" w:firstLine="567"/>
      </w:pPr>
      <w:r w:rsidRPr="00E41CFD">
        <w:t>(b)</w:t>
      </w:r>
      <w:r w:rsidRPr="00E41CFD">
        <w:tab/>
      </w:r>
      <w:proofErr w:type="spellStart"/>
      <w:r w:rsidR="003E3EE9">
        <w:t>Toroidal</w:t>
      </w:r>
      <w:proofErr w:type="spellEnd"/>
      <w:r w:rsidR="003E3EE9">
        <w:t xml:space="preserve"> bed</w:t>
      </w:r>
      <w:r w:rsidRPr="00E41CFD">
        <w:t xml:space="preserve"> reactor</w:t>
      </w:r>
      <w:r w:rsidR="005302E3">
        <w:t>s</w:t>
      </w:r>
      <w:r w:rsidRPr="00E41CFD">
        <w:t xml:space="preserve"> ha</w:t>
      </w:r>
      <w:r w:rsidR="005302E3">
        <w:t>ve</w:t>
      </w:r>
      <w:r w:rsidRPr="00E41CFD">
        <w:t xml:space="preserve"> a capacity of up to 5,000 ton</w:t>
      </w:r>
      <w:r w:rsidR="00A6576D">
        <w:t>ne</w:t>
      </w:r>
      <w:r w:rsidRPr="00E41CFD">
        <w:t xml:space="preserve">s of soils and sediments per month, although </w:t>
      </w:r>
      <w:r w:rsidR="005302E3" w:rsidRPr="00E41CFD">
        <w:t>th</w:t>
      </w:r>
      <w:r w:rsidR="005302E3">
        <w:t>ese</w:t>
      </w:r>
      <w:r w:rsidR="005302E3" w:rsidRPr="00E41CFD">
        <w:t xml:space="preserve"> </w:t>
      </w:r>
      <w:r w:rsidRPr="00E41CFD">
        <w:t>pre-treatment unit</w:t>
      </w:r>
      <w:r w:rsidR="005302E3">
        <w:t>s</w:t>
      </w:r>
      <w:r w:rsidRPr="00E41CFD">
        <w:t xml:space="preserve"> </w:t>
      </w:r>
      <w:r w:rsidR="005302E3">
        <w:t>are</w:t>
      </w:r>
      <w:r w:rsidR="005302E3" w:rsidRPr="00E41CFD">
        <w:t xml:space="preserve"> </w:t>
      </w:r>
      <w:r w:rsidRPr="00E41CFD">
        <w:t>still in the development stage; and</w:t>
      </w:r>
    </w:p>
    <w:p w:rsidR="00890CDD" w:rsidRPr="00E41CFD" w:rsidRDefault="00890CDD" w:rsidP="0080213C">
      <w:pPr>
        <w:tabs>
          <w:tab w:val="clear" w:pos="1247"/>
          <w:tab w:val="clear" w:pos="1814"/>
          <w:tab w:val="clear" w:pos="2381"/>
          <w:tab w:val="left" w:pos="2268"/>
        </w:tabs>
        <w:spacing w:after="120"/>
        <w:ind w:left="1134" w:firstLine="567"/>
      </w:pPr>
      <w:r w:rsidRPr="00E41CFD">
        <w:t>(c)</w:t>
      </w:r>
      <w:r w:rsidRPr="00E41CFD">
        <w:tab/>
        <w:t>LWPS</w:t>
      </w:r>
      <w:r w:rsidR="005302E3">
        <w:t>s</w:t>
      </w:r>
      <w:r w:rsidRPr="00E41CFD">
        <w:t xml:space="preserve"> ha</w:t>
      </w:r>
      <w:r w:rsidR="005302E3">
        <w:t>ve</w:t>
      </w:r>
      <w:r w:rsidRPr="00E41CFD">
        <w:t xml:space="preserve"> a capacity of three litres per </w:t>
      </w:r>
      <w:proofErr w:type="gramStart"/>
      <w:r w:rsidRPr="00A90F61">
        <w:t>minute</w:t>
      </w:r>
      <w:proofErr w:type="gramEnd"/>
      <w:r w:rsidRPr="00A90F61">
        <w:rPr>
          <w:rStyle w:val="FootnoteReference"/>
          <w:rFonts w:eastAsia="SimSun"/>
          <w:szCs w:val="20"/>
        </w:rPr>
        <w:t xml:space="preserve"> </w:t>
      </w:r>
      <w:r w:rsidRPr="00A90F61">
        <w:t>(</w:t>
      </w:r>
      <w:r w:rsidRPr="00A90F61">
        <w:rPr>
          <w:rStyle w:val="FootnoteReference"/>
          <w:rFonts w:eastAsia="SimSun"/>
          <w:szCs w:val="20"/>
          <w:vertAlign w:val="baseline"/>
        </w:rPr>
        <w:t xml:space="preserve">UNEP, </w:t>
      </w:r>
      <w:r w:rsidR="003607FF" w:rsidRPr="00A90F61">
        <w:rPr>
          <w:rStyle w:val="FootnoteReference"/>
          <w:rFonts w:eastAsia="SimSun"/>
          <w:szCs w:val="20"/>
          <w:vertAlign w:val="baseline"/>
        </w:rPr>
        <w:t>2004</w:t>
      </w:r>
      <w:r w:rsidR="003607FF">
        <w:rPr>
          <w:rStyle w:val="FootnoteReference"/>
          <w:rFonts w:eastAsia="SimSun"/>
          <w:szCs w:val="20"/>
          <w:vertAlign w:val="baseline"/>
        </w:rPr>
        <w:t>a</w:t>
      </w:r>
      <w:r w:rsidR="003607FF" w:rsidRPr="00A90F61">
        <w:rPr>
          <w:rStyle w:val="FootnoteReference"/>
          <w:rFonts w:eastAsia="SimSun"/>
          <w:szCs w:val="20"/>
          <w:vertAlign w:val="baseline"/>
        </w:rPr>
        <w:t xml:space="preserve"> </w:t>
      </w:r>
      <w:r w:rsidRPr="00A90F61">
        <w:rPr>
          <w:rStyle w:val="FootnoteReference"/>
          <w:rFonts w:eastAsia="SimSun"/>
          <w:szCs w:val="20"/>
          <w:vertAlign w:val="baseline"/>
        </w:rPr>
        <w:t xml:space="preserve">and </w:t>
      </w:r>
      <w:proofErr w:type="spellStart"/>
      <w:r w:rsidRPr="00A90F61">
        <w:rPr>
          <w:rStyle w:val="FootnoteReference"/>
          <w:rFonts w:eastAsia="SimSun"/>
          <w:szCs w:val="20"/>
          <w:vertAlign w:val="baseline"/>
        </w:rPr>
        <w:t>Vijgen</w:t>
      </w:r>
      <w:proofErr w:type="spellEnd"/>
      <w:r w:rsidRPr="00A90F61">
        <w:rPr>
          <w:rStyle w:val="FootnoteReference"/>
          <w:rFonts w:eastAsia="SimSun"/>
          <w:szCs w:val="20"/>
          <w:vertAlign w:val="baseline"/>
        </w:rPr>
        <w:t>, 2002)</w:t>
      </w:r>
      <w:r w:rsidRPr="00A90F61">
        <w:t>.</w:t>
      </w:r>
      <w:r w:rsidRPr="00E41CFD">
        <w:t xml:space="preserve"> </w:t>
      </w:r>
    </w:p>
    <w:p w:rsidR="00890CDD" w:rsidRPr="00E41CFD" w:rsidRDefault="00890CDD" w:rsidP="00EF105B">
      <w:pPr>
        <w:pStyle w:val="Paralevel1"/>
        <w:tabs>
          <w:tab w:val="clear" w:pos="1843"/>
          <w:tab w:val="left" w:pos="1701"/>
        </w:tabs>
        <w:ind w:left="1134" w:firstLine="0"/>
      </w:pPr>
      <w:r w:rsidRPr="00E41CFD">
        <w:rPr>
          <w:i/>
        </w:rPr>
        <w:t>Other practical issues</w:t>
      </w:r>
      <w:r w:rsidRPr="00E41CFD">
        <w:rPr>
          <w:iCs/>
        </w:rPr>
        <w:t>:</w:t>
      </w:r>
      <w:r w:rsidRPr="00E41CFD">
        <w:t xml:space="preserve"> Contaminants such as </w:t>
      </w:r>
      <w:proofErr w:type="spellStart"/>
      <w:r w:rsidRPr="00E41CFD">
        <w:t>sulphur</w:t>
      </w:r>
      <w:proofErr w:type="spellEnd"/>
      <w:r w:rsidRPr="00E41CFD">
        <w:t xml:space="preserve"> and arsenic were found to inhibit treatment in earlier development stages, although it is unclear whether this problem </w:t>
      </w:r>
      <w:r w:rsidR="00485F08">
        <w:t>persists</w:t>
      </w:r>
      <w:r w:rsidRPr="00E41CFD">
        <w:t>.</w:t>
      </w:r>
      <w:r w:rsidR="00402927">
        <w:rPr>
          <w:rStyle w:val="FootnoteReference"/>
        </w:rPr>
        <w:footnoteReference w:customMarkFollows="1" w:id="91"/>
        <w:t>91</w:t>
      </w:r>
    </w:p>
    <w:p w:rsidR="00890CDD" w:rsidRPr="0020097C" w:rsidRDefault="00890CDD" w:rsidP="00EF105B">
      <w:pPr>
        <w:pStyle w:val="Paralevel1"/>
        <w:tabs>
          <w:tab w:val="clear" w:pos="1843"/>
          <w:tab w:val="left" w:pos="1701"/>
        </w:tabs>
        <w:ind w:left="1134" w:firstLine="0"/>
      </w:pPr>
      <w:r w:rsidRPr="00E41CFD">
        <w:rPr>
          <w:i/>
        </w:rPr>
        <w:t>State of commercialization</w:t>
      </w:r>
      <w:r w:rsidRPr="00E41CFD">
        <w:rPr>
          <w:iCs/>
        </w:rPr>
        <w:t xml:space="preserve">: </w:t>
      </w:r>
      <w:r w:rsidRPr="00E41CFD">
        <w:t>Commercial-scale GPCR plants have operated in Canada and Australia. The GPCR plant in Australia operated for more than five years until 2000.</w:t>
      </w:r>
      <w:r w:rsidR="00402927">
        <w:rPr>
          <w:rStyle w:val="FootnoteReference"/>
        </w:rPr>
        <w:footnoteReference w:customMarkFollows="1" w:id="92"/>
        <w:t>92</w:t>
      </w:r>
      <w:r w:rsidRPr="00E41CFD">
        <w:t xml:space="preserve"> </w:t>
      </w:r>
      <w:r w:rsidR="0020097C" w:rsidRPr="00A6319E">
        <w:rPr>
          <w:lang w:val="en-GB"/>
        </w:rPr>
        <w:t xml:space="preserve">In the United States, </w:t>
      </w:r>
      <w:r w:rsidR="00BE2529" w:rsidRPr="00041F1F">
        <w:rPr>
          <w:lang w:val="en-GB"/>
        </w:rPr>
        <w:t xml:space="preserve">there is a </w:t>
      </w:r>
      <w:r w:rsidR="00571F27" w:rsidRPr="00041F1F">
        <w:rPr>
          <w:lang w:val="en-GB"/>
        </w:rPr>
        <w:t>plan</w:t>
      </w:r>
      <w:r w:rsidR="00571F27" w:rsidRPr="001C2F56">
        <w:rPr>
          <w:lang w:val="en-GB"/>
        </w:rPr>
        <w:t xml:space="preserve"> to build </w:t>
      </w:r>
      <w:r w:rsidR="0020097C" w:rsidRPr="00CB409E">
        <w:rPr>
          <w:lang w:val="en-GB"/>
        </w:rPr>
        <w:t>a GP</w:t>
      </w:r>
      <w:r w:rsidR="00571F27" w:rsidRPr="00374A36">
        <w:rPr>
          <w:lang w:val="en-GB"/>
        </w:rPr>
        <w:t>C</w:t>
      </w:r>
      <w:r w:rsidR="0020097C" w:rsidRPr="0042289F">
        <w:rPr>
          <w:lang w:val="en-GB"/>
        </w:rPr>
        <w:t>R synthetic diesel plan</w:t>
      </w:r>
      <w:r w:rsidR="00B369D8" w:rsidRPr="001B5056">
        <w:rPr>
          <w:lang w:val="en-GB"/>
        </w:rPr>
        <w:t xml:space="preserve">t </w:t>
      </w:r>
      <w:r w:rsidR="0020097C" w:rsidRPr="00CD08E7">
        <w:rPr>
          <w:lang w:val="en-GB"/>
        </w:rPr>
        <w:t xml:space="preserve">in </w:t>
      </w:r>
      <w:proofErr w:type="spellStart"/>
      <w:r w:rsidR="0020097C" w:rsidRPr="00CD08E7">
        <w:rPr>
          <w:lang w:val="en-GB"/>
        </w:rPr>
        <w:t>Fauquier</w:t>
      </w:r>
      <w:proofErr w:type="spellEnd"/>
      <w:r w:rsidR="0020097C" w:rsidRPr="00CD08E7">
        <w:rPr>
          <w:lang w:val="en-GB"/>
        </w:rPr>
        <w:t xml:space="preserve"> County, Virginia</w:t>
      </w:r>
      <w:r w:rsidR="00405DFE" w:rsidRPr="00405DFE">
        <w:rPr>
          <w:lang w:val="en-GB"/>
        </w:rPr>
        <w:t>,</w:t>
      </w:r>
      <w:r w:rsidR="00E95898" w:rsidRPr="00A6319E">
        <w:rPr>
          <w:lang w:val="en-GB"/>
        </w:rPr>
        <w:t xml:space="preserve"> with a daily processing capacity of 200 Mg</w:t>
      </w:r>
      <w:r w:rsidR="0020097C" w:rsidRPr="00041F1F">
        <w:rPr>
          <w:lang w:val="en-GB"/>
        </w:rPr>
        <w:t>.</w:t>
      </w:r>
      <w:r w:rsidR="0020097C">
        <w:rPr>
          <w:lang w:val="en-GB"/>
        </w:rPr>
        <w:t xml:space="preserve"> </w:t>
      </w:r>
    </w:p>
    <w:p w:rsidR="005D256C" w:rsidRDefault="00890CDD">
      <w:pPr>
        <w:pStyle w:val="Heading4"/>
        <w:spacing w:before="240" w:after="120"/>
        <w:ind w:left="1134" w:hanging="510"/>
        <w:rPr>
          <w:b w:val="0"/>
        </w:rPr>
      </w:pPr>
      <w:bookmarkStart w:id="739" w:name="_Toc145395149"/>
      <w:bookmarkStart w:id="740" w:name="_Toc161804602"/>
      <w:bookmarkStart w:id="741" w:name="_Toc405988683"/>
      <w:bookmarkStart w:id="742" w:name="_Toc437340576"/>
      <w:r w:rsidRPr="00E41CFD">
        <w:rPr>
          <w:szCs w:val="20"/>
        </w:rPr>
        <w:t>(</w:t>
      </w:r>
      <w:r w:rsidR="006E7C79">
        <w:rPr>
          <w:szCs w:val="20"/>
        </w:rPr>
        <w:t>g</w:t>
      </w:r>
      <w:r w:rsidRPr="00E41CFD">
        <w:rPr>
          <w:szCs w:val="20"/>
        </w:rPr>
        <w:t>)</w:t>
      </w:r>
      <w:r w:rsidRPr="00E41CFD">
        <w:rPr>
          <w:szCs w:val="20"/>
        </w:rPr>
        <w:tab/>
      </w:r>
      <w:r w:rsidRPr="00E41CFD">
        <w:t>Hazardous</w:t>
      </w:r>
      <w:r w:rsidR="007744F3">
        <w:rPr>
          <w:szCs w:val="20"/>
        </w:rPr>
        <w:t xml:space="preserve"> </w:t>
      </w:r>
      <w:r w:rsidRPr="00E41CFD">
        <w:rPr>
          <w:szCs w:val="20"/>
        </w:rPr>
        <w:t>waste incineration</w:t>
      </w:r>
      <w:bookmarkEnd w:id="739"/>
      <w:bookmarkEnd w:id="740"/>
      <w:bookmarkEnd w:id="741"/>
      <w:bookmarkEnd w:id="742"/>
      <w:r w:rsidR="00402927" w:rsidRPr="00402927">
        <w:rPr>
          <w:rStyle w:val="FootnoteReference"/>
          <w:b w:val="0"/>
          <w:bCs/>
        </w:rPr>
        <w:footnoteReference w:customMarkFollows="1" w:id="93"/>
        <w:t>93</w:t>
      </w:r>
      <w:r w:rsidR="004D47B3" w:rsidRPr="00402927">
        <w:rPr>
          <w:b w:val="0"/>
          <w:bCs/>
          <w:szCs w:val="20"/>
        </w:rPr>
        <w:t xml:space="preserve"> </w:t>
      </w:r>
    </w:p>
    <w:p w:rsidR="00890CDD" w:rsidRPr="00E41CFD" w:rsidRDefault="00890CDD" w:rsidP="00EF105B">
      <w:pPr>
        <w:pStyle w:val="Paralevel1"/>
        <w:tabs>
          <w:tab w:val="clear" w:pos="1843"/>
          <w:tab w:val="left" w:pos="1701"/>
        </w:tabs>
        <w:ind w:left="1134" w:firstLine="0"/>
      </w:pPr>
      <w:r w:rsidRPr="00977511">
        <w:rPr>
          <w:i/>
        </w:rPr>
        <w:t>Process description</w:t>
      </w:r>
      <w:r w:rsidRPr="00977511">
        <w:rPr>
          <w:iCs/>
        </w:rPr>
        <w:t xml:space="preserve">: </w:t>
      </w:r>
      <w:r w:rsidRPr="00977511">
        <w:t>Hazardous</w:t>
      </w:r>
      <w:r w:rsidR="007744F3" w:rsidRPr="00977511">
        <w:t xml:space="preserve"> </w:t>
      </w:r>
      <w:r w:rsidRPr="00977511">
        <w:t>waste incineration uses controlled flame combustion to treat organic contaminants, mainly in rotary kilns. Typically, a process for treatment involves heating to a temperature greater than 850°C or, if the waste contain</w:t>
      </w:r>
      <w:r w:rsidR="007F3861">
        <w:t>s</w:t>
      </w:r>
      <w:r w:rsidRPr="00977511">
        <w:t xml:space="preserve"> more than 1 </w:t>
      </w:r>
      <w:r w:rsidR="007F3861">
        <w:t>per cent of</w:t>
      </w:r>
      <w:r w:rsidRPr="00977511">
        <w:t xml:space="preserve"> halogen</w:t>
      </w:r>
      <w:r w:rsidR="00B04C52" w:rsidRPr="00977511">
        <w:t>at</w:t>
      </w:r>
      <w:r w:rsidRPr="00977511">
        <w:t>ed organic substances</w:t>
      </w:r>
      <w:r w:rsidR="000C525A">
        <w:t>,</w:t>
      </w:r>
      <w:r w:rsidRPr="00977511">
        <w:t xml:space="preserve"> </w:t>
      </w:r>
      <w:r w:rsidR="007F3861">
        <w:t xml:space="preserve">to a temperature </w:t>
      </w:r>
      <w:r w:rsidRPr="00977511">
        <w:t xml:space="preserve">greater than 1,100°C, with a residence time greater than two seconds under conditions that </w:t>
      </w:r>
      <w:r w:rsidR="007F3861">
        <w:t>en</w:t>
      </w:r>
      <w:r w:rsidRPr="00977511">
        <w:t>sure appropriate mixing. Dedicated hazardous</w:t>
      </w:r>
      <w:r w:rsidR="007F3861">
        <w:t xml:space="preserve"> </w:t>
      </w:r>
      <w:r w:rsidRPr="00977511">
        <w:t xml:space="preserve">waste incinerators are available in a number of configurations, including rotary kiln incinerators and static ovens (for liquids </w:t>
      </w:r>
      <w:r w:rsidR="00EA2CF1" w:rsidRPr="00977511">
        <w:t>with low contamination</w:t>
      </w:r>
      <w:r w:rsidRPr="00977511">
        <w:t>). High-efficiency boilers and lightweight aggregate kilns are also used for the co-incineration of hazardous wastes</w:t>
      </w:r>
      <w:r w:rsidRPr="00E41CFD">
        <w:t xml:space="preserve">. </w:t>
      </w:r>
    </w:p>
    <w:p w:rsidR="007F3861" w:rsidRPr="007F3861" w:rsidRDefault="00CB2325" w:rsidP="00EF105B">
      <w:pPr>
        <w:pStyle w:val="Paralevel1"/>
        <w:tabs>
          <w:tab w:val="clear" w:pos="1843"/>
          <w:tab w:val="left" w:pos="1701"/>
        </w:tabs>
        <w:ind w:left="1134" w:firstLine="0"/>
        <w:rPr>
          <w:i/>
        </w:rPr>
      </w:pPr>
      <w:r w:rsidRPr="00977511">
        <w:t xml:space="preserve">The guidance on BAT/BEP developed by the Stockholm Convention relevant to Article 5 and Annex C for </w:t>
      </w:r>
      <w:r w:rsidR="002B68B6" w:rsidRPr="00977511">
        <w:t>waste incinerator s</w:t>
      </w:r>
      <w:r w:rsidRPr="00977511">
        <w:t>hould be used and applied to this technology (</w:t>
      </w:r>
      <w:r w:rsidR="00A43E02">
        <w:t>UNEP, 20</w:t>
      </w:r>
      <w:r w:rsidR="00920683">
        <w:t>07</w:t>
      </w:r>
      <w:r w:rsidR="00A43E02">
        <w:t>).</w:t>
      </w:r>
      <w:r w:rsidR="00A43E02" w:rsidRPr="00977511" w:rsidDel="00A43E02">
        <w:t xml:space="preserve"> </w:t>
      </w:r>
    </w:p>
    <w:p w:rsidR="00CB2325" w:rsidRPr="00977511" w:rsidRDefault="00405DFE" w:rsidP="00EF105B">
      <w:pPr>
        <w:pStyle w:val="Paralevel1"/>
        <w:tabs>
          <w:tab w:val="clear" w:pos="1843"/>
          <w:tab w:val="left" w:pos="1701"/>
        </w:tabs>
        <w:ind w:left="1134" w:firstLine="0"/>
        <w:rPr>
          <w:i/>
        </w:rPr>
      </w:pPr>
      <w:r w:rsidRPr="00405DFE">
        <w:rPr>
          <w:i/>
        </w:rPr>
        <w:t>Efficiency</w:t>
      </w:r>
      <w:r w:rsidR="00977511" w:rsidRPr="00977511">
        <w:rPr>
          <w:iCs/>
        </w:rPr>
        <w:t xml:space="preserve">: </w:t>
      </w:r>
      <w:r w:rsidR="00977511" w:rsidRPr="00977511">
        <w:t xml:space="preserve">DREs greater than 99.9999 </w:t>
      </w:r>
      <w:r w:rsidR="007F3861">
        <w:t>per cent</w:t>
      </w:r>
      <w:r w:rsidR="00977511" w:rsidRPr="00977511">
        <w:t xml:space="preserve"> have been reported for treatment of POP wastes.</w:t>
      </w:r>
      <w:r w:rsidR="0030027B">
        <w:rPr>
          <w:rStyle w:val="FootnoteReference"/>
          <w:iCs/>
        </w:rPr>
        <w:footnoteReference w:customMarkFollows="1" w:id="94"/>
        <w:t>94</w:t>
      </w:r>
      <w:r w:rsidR="00093BCE" w:rsidRPr="00093BCE">
        <w:rPr>
          <w:iCs/>
        </w:rPr>
        <w:t xml:space="preserve"> </w:t>
      </w:r>
      <w:r w:rsidR="00977511" w:rsidRPr="00977511">
        <w:t xml:space="preserve">DEs greater than 99.999 and DREs greater than 99.9999 </w:t>
      </w:r>
      <w:r w:rsidR="007F3861">
        <w:t xml:space="preserve">per cent </w:t>
      </w:r>
      <w:r w:rsidR="00977511" w:rsidRPr="00977511">
        <w:t xml:space="preserve">have been reported for </w:t>
      </w:r>
      <w:proofErr w:type="spellStart"/>
      <w:r w:rsidR="00977511" w:rsidRPr="00977511">
        <w:t>aldrin</w:t>
      </w:r>
      <w:proofErr w:type="spellEnd"/>
      <w:r w:rsidR="00977511" w:rsidRPr="00977511">
        <w:t xml:space="preserve">, </w:t>
      </w:r>
      <w:proofErr w:type="spellStart"/>
      <w:r w:rsidR="00977511" w:rsidRPr="00977511">
        <w:t>endrin</w:t>
      </w:r>
      <w:proofErr w:type="spellEnd"/>
      <w:r w:rsidR="00977511" w:rsidRPr="00977511">
        <w:t>, HCH, DDT and PFOS (Ministry of the Environment of Japan, 2004</w:t>
      </w:r>
      <w:r w:rsidR="00977BD7">
        <w:t xml:space="preserve"> </w:t>
      </w:r>
      <w:r w:rsidRPr="00281C62">
        <w:t>and</w:t>
      </w:r>
      <w:r w:rsidR="00977511" w:rsidRPr="00977511">
        <w:t>, 2013b</w:t>
      </w:r>
      <w:r w:rsidR="007F3861">
        <w:t>).</w:t>
      </w:r>
    </w:p>
    <w:p w:rsidR="00890CDD" w:rsidRPr="00E41CFD" w:rsidRDefault="00890CDD" w:rsidP="00EF105B">
      <w:pPr>
        <w:pStyle w:val="Paralevel1"/>
        <w:tabs>
          <w:tab w:val="clear" w:pos="1843"/>
          <w:tab w:val="left" w:pos="1701"/>
        </w:tabs>
        <w:ind w:left="1134" w:firstLine="0"/>
      </w:pPr>
      <w:r w:rsidRPr="007945E0">
        <w:rPr>
          <w:i/>
        </w:rPr>
        <w:t>Waste typ</w:t>
      </w:r>
      <w:r w:rsidRPr="007945E0">
        <w:rPr>
          <w:i/>
          <w:iCs/>
        </w:rPr>
        <w:t>es</w:t>
      </w:r>
      <w:r w:rsidRPr="00E41CFD">
        <w:rPr>
          <w:iCs/>
        </w:rPr>
        <w:t xml:space="preserve">: </w:t>
      </w:r>
      <w:r w:rsidRPr="00E41CFD">
        <w:t>As noted above, hazardous</w:t>
      </w:r>
      <w:r w:rsidR="00E47732">
        <w:t xml:space="preserve"> </w:t>
      </w:r>
      <w:r w:rsidRPr="00E41CFD">
        <w:t xml:space="preserve">waste incinerators are capable of treating all POP wastes. Incinerators can be designed to accept wastes in any concentration or physical form, i.e., </w:t>
      </w:r>
      <w:r w:rsidR="00D82BFA">
        <w:t xml:space="preserve">as </w:t>
      </w:r>
      <w:r w:rsidRPr="00E41CFD">
        <w:t xml:space="preserve">gases, liquids, solids, </w:t>
      </w:r>
      <w:proofErr w:type="spellStart"/>
      <w:r w:rsidRPr="00E41CFD">
        <w:t>sludges</w:t>
      </w:r>
      <w:proofErr w:type="spellEnd"/>
      <w:r w:rsidRPr="00E41CFD">
        <w:t xml:space="preserve"> </w:t>
      </w:r>
      <w:r w:rsidR="00D82BFA">
        <w:t>or</w:t>
      </w:r>
      <w:r w:rsidR="00D82BFA" w:rsidRPr="00E41CFD">
        <w:t xml:space="preserve"> </w:t>
      </w:r>
      <w:r w:rsidRPr="00E41CFD">
        <w:t>slurries.</w:t>
      </w:r>
      <w:r w:rsidR="0030027B">
        <w:rPr>
          <w:rStyle w:val="FootnoteReference"/>
        </w:rPr>
        <w:footnoteReference w:customMarkFollows="1" w:id="95"/>
        <w:t>95</w:t>
      </w:r>
    </w:p>
    <w:p w:rsidR="00890CDD" w:rsidRPr="00E41CFD" w:rsidRDefault="00890CDD" w:rsidP="00EF105B">
      <w:pPr>
        <w:pStyle w:val="Paralevel1"/>
        <w:tabs>
          <w:tab w:val="clear" w:pos="1843"/>
          <w:tab w:val="left" w:pos="1701"/>
        </w:tabs>
        <w:ind w:left="1134" w:firstLine="0"/>
      </w:pPr>
      <w:r w:rsidRPr="00E41CFD">
        <w:rPr>
          <w:i/>
        </w:rPr>
        <w:t>Pre-treatment</w:t>
      </w:r>
      <w:r w:rsidRPr="00E41CFD">
        <w:rPr>
          <w:iCs/>
        </w:rPr>
        <w:t xml:space="preserve">: </w:t>
      </w:r>
      <w:r w:rsidRPr="00E41CFD">
        <w:t>Depending upon the configuration, pre-treatment re</w:t>
      </w:r>
      <w:r>
        <w:t>quirements may include blending</w:t>
      </w:r>
      <w:r w:rsidRPr="00E41CFD">
        <w:t xml:space="preserve"> and size reduction of wastes.</w:t>
      </w:r>
      <w:r w:rsidR="0030027B">
        <w:rPr>
          <w:rStyle w:val="FootnoteReference"/>
        </w:rPr>
        <w:footnoteReference w:customMarkFollows="1" w:id="96"/>
        <w:t>96</w:t>
      </w:r>
      <w:r w:rsidRPr="00E41CFD">
        <w:t xml:space="preserve"> </w:t>
      </w:r>
    </w:p>
    <w:p w:rsidR="00890CDD" w:rsidRPr="006B7DC1" w:rsidRDefault="00890CDD" w:rsidP="00EF105B">
      <w:pPr>
        <w:pStyle w:val="Paralevel1"/>
        <w:tabs>
          <w:tab w:val="clear" w:pos="1843"/>
          <w:tab w:val="left" w:pos="1701"/>
        </w:tabs>
        <w:ind w:left="1134" w:firstLine="0"/>
      </w:pPr>
      <w:r w:rsidRPr="00E41CFD">
        <w:rPr>
          <w:i/>
        </w:rPr>
        <w:t>Emissions and residues</w:t>
      </w:r>
      <w:r w:rsidRPr="00E41CFD">
        <w:rPr>
          <w:iCs/>
        </w:rPr>
        <w:t xml:space="preserve">: </w:t>
      </w:r>
      <w:r w:rsidRPr="00E41CFD">
        <w:t>Emissions include carbon monoxide, carbon dioxide, HCB, hydrogen chloride, particulates, PCDDs, PCDFs and PCBs</w:t>
      </w:r>
      <w:r w:rsidR="00332612">
        <w:t>, heavy metals</w:t>
      </w:r>
      <w:r w:rsidRPr="00E41CFD">
        <w:t xml:space="preserve"> and water vapour.</w:t>
      </w:r>
      <w:r w:rsidR="0030027B">
        <w:rPr>
          <w:rStyle w:val="FootnoteReference"/>
        </w:rPr>
        <w:footnoteReference w:customMarkFollows="1" w:id="97"/>
        <w:t>97</w:t>
      </w:r>
      <w:r w:rsidRPr="00E41CFD">
        <w:t xml:space="preserve"> Incinerators </w:t>
      </w:r>
      <w:r w:rsidRPr="000E01FF">
        <w:t>applying BAT</w:t>
      </w:r>
      <w:r w:rsidR="00D82BFA" w:rsidRPr="000E01FF">
        <w:t xml:space="preserve"> that</w:t>
      </w:r>
      <w:r w:rsidRPr="00437A7D">
        <w:t xml:space="preserve">, </w:t>
      </w:r>
      <w:r w:rsidR="00405DFE" w:rsidRPr="00405DFE">
        <w:rPr>
          <w:i/>
        </w:rPr>
        <w:t>inter alia</w:t>
      </w:r>
      <w:r w:rsidRPr="000E01FF">
        <w:t xml:space="preserve">, </w:t>
      </w:r>
      <w:r w:rsidR="00D82BFA" w:rsidRPr="000E01FF">
        <w:t xml:space="preserve">are </w:t>
      </w:r>
      <w:r w:rsidRPr="00437A7D">
        <w:t xml:space="preserve">designed </w:t>
      </w:r>
      <w:r w:rsidR="00D82BFA" w:rsidRPr="00437A7D">
        <w:t xml:space="preserve">to operate at </w:t>
      </w:r>
      <w:r w:rsidRPr="00437A7D">
        <w:t>high temperature</w:t>
      </w:r>
      <w:r w:rsidR="00D82BFA" w:rsidRPr="00437A7D">
        <w:t xml:space="preserve">s, to </w:t>
      </w:r>
      <w:r w:rsidRPr="00437A7D">
        <w:t xml:space="preserve">prevent </w:t>
      </w:r>
      <w:r w:rsidR="00D82BFA" w:rsidRPr="00437A7D">
        <w:t xml:space="preserve">the </w:t>
      </w:r>
      <w:r w:rsidRPr="00437A7D">
        <w:t>re</w:t>
      </w:r>
      <w:r w:rsidR="00D82BFA" w:rsidRPr="00437A7D">
        <w:t>-</w:t>
      </w:r>
      <w:r w:rsidRPr="00437A7D">
        <w:t xml:space="preserve">formation of PCDDs and PCDFs and </w:t>
      </w:r>
      <w:r w:rsidR="00D82BFA" w:rsidRPr="00437A7D">
        <w:t xml:space="preserve">to remove </w:t>
      </w:r>
      <w:r w:rsidRPr="00437A7D">
        <w:t xml:space="preserve">PCDD and PCDF (e.g., </w:t>
      </w:r>
      <w:r w:rsidR="00405DFE" w:rsidRPr="00405DFE">
        <w:t xml:space="preserve">with the use of </w:t>
      </w:r>
      <w:r w:rsidRPr="000E01FF">
        <w:t>activated carbon filters),</w:t>
      </w:r>
      <w:r w:rsidRPr="00E41CFD">
        <w:t xml:space="preserve"> have led to very low PCDD and PCDF emissions to air and discharges to water.</w:t>
      </w:r>
      <w:r w:rsidR="0030027B">
        <w:rPr>
          <w:rStyle w:val="FootnoteReference"/>
        </w:rPr>
        <w:footnoteReference w:customMarkFollows="1" w:id="98"/>
        <w:t>98</w:t>
      </w:r>
      <w:r w:rsidRPr="00E41CFD">
        <w:t xml:space="preserve"> In residues, PCDDs and PCDFs are mainly found in fly ash and salt, and to </w:t>
      </w:r>
      <w:r w:rsidRPr="006B7DC1">
        <w:t>some extent in bottom ash and scrubber water sludge.</w:t>
      </w:r>
    </w:p>
    <w:p w:rsidR="00890CDD" w:rsidRPr="00E41CFD" w:rsidRDefault="00FA42EF" w:rsidP="00EF105B">
      <w:pPr>
        <w:pStyle w:val="Paralevel1"/>
        <w:tabs>
          <w:tab w:val="clear" w:pos="1843"/>
          <w:tab w:val="left" w:pos="1701"/>
        </w:tabs>
        <w:ind w:left="1134" w:firstLine="0"/>
      </w:pPr>
      <w:r w:rsidRPr="00FA42EF">
        <w:rPr>
          <w:i/>
          <w:iCs/>
        </w:rPr>
        <w:t>Release control and post-treatment</w:t>
      </w:r>
      <w:r w:rsidRPr="00FA42EF">
        <w:t>: Process gases may require treatment to remove hydrogen chloride and particulate matter and to prevent the formation of</w:t>
      </w:r>
      <w:r w:rsidR="00D82BFA">
        <w:t>,</w:t>
      </w:r>
      <w:r w:rsidRPr="00FA42EF">
        <w:t xml:space="preserve"> and remove unintentionally produced</w:t>
      </w:r>
      <w:r w:rsidR="00D82BFA">
        <w:t>,</w:t>
      </w:r>
      <w:r w:rsidRPr="00FA42EF">
        <w:t xml:space="preserve"> POPs (</w:t>
      </w:r>
      <w:proofErr w:type="spellStart"/>
      <w:r w:rsidRPr="00FA42EF">
        <w:t>sulphur</w:t>
      </w:r>
      <w:proofErr w:type="spellEnd"/>
      <w:r w:rsidRPr="00FA42EF">
        <w:t xml:space="preserve"> and nitrogen oxides, heavy metals and organic micro pollutant</w:t>
      </w:r>
      <w:r w:rsidR="0013583D">
        <w:t>s</w:t>
      </w:r>
      <w:r w:rsidR="00890CDD" w:rsidRPr="006B7DC1">
        <w:t xml:space="preserve"> such as PAHs, </w:t>
      </w:r>
      <w:bookmarkStart w:id="743" w:name="_Hlk406149709"/>
      <w:r w:rsidRPr="00FA42EF">
        <w:t xml:space="preserve">like </w:t>
      </w:r>
      <w:r w:rsidR="00890CDD" w:rsidRPr="006B7DC1">
        <w:t>carbon monoxide</w:t>
      </w:r>
      <w:r w:rsidRPr="00FA42EF">
        <w:t>, are being used as</w:t>
      </w:r>
      <w:r w:rsidR="00890CDD" w:rsidRPr="006B7DC1">
        <w:t xml:space="preserve"> an indicator of combustion efficiency</w:t>
      </w:r>
      <w:bookmarkEnd w:id="743"/>
      <w:r w:rsidRPr="00FA42EF">
        <w:t xml:space="preserve">). This can be achieved through a combination of types of post-treatments, including </w:t>
      </w:r>
      <w:r w:rsidR="00D82BFA">
        <w:t xml:space="preserve">the use of </w:t>
      </w:r>
      <w:r w:rsidRPr="00FA42EF">
        <w:t>cyclones and multi-cyclones, electrostatic filters, static bed filters, scrubbers, selective catalytic reduction, rapid quenching systems and carbon adsorption.</w:t>
      </w:r>
      <w:r w:rsidR="0030027B">
        <w:rPr>
          <w:rStyle w:val="FootnoteReference"/>
        </w:rPr>
        <w:footnoteReference w:customMarkFollows="1" w:id="99"/>
        <w:t>99</w:t>
      </w:r>
      <w:r w:rsidRPr="00FA42EF">
        <w:t xml:space="preserve"> Depending upon their characteristics, bottom and fly ashes may require disposal within</w:t>
      </w:r>
      <w:r w:rsidR="00890CDD" w:rsidRPr="00E41CFD">
        <w:t xml:space="preserve"> a specially engineered landfill or permanent storage in underground mines and formations.</w:t>
      </w:r>
      <w:r w:rsidR="0030027B">
        <w:rPr>
          <w:rStyle w:val="FootnoteReference"/>
        </w:rPr>
        <w:footnoteReference w:customMarkFollows="1" w:id="100"/>
        <w:t>100</w:t>
      </w:r>
    </w:p>
    <w:p w:rsidR="00890CDD" w:rsidRPr="00E41CFD" w:rsidRDefault="00890CDD" w:rsidP="00EF105B">
      <w:pPr>
        <w:pStyle w:val="Paralevel1"/>
        <w:tabs>
          <w:tab w:val="clear" w:pos="1843"/>
          <w:tab w:val="left" w:pos="1701"/>
        </w:tabs>
        <w:ind w:left="1134" w:firstLine="0"/>
      </w:pPr>
      <w:r w:rsidRPr="00E41CFD">
        <w:rPr>
          <w:i/>
          <w:iCs/>
        </w:rPr>
        <w:t>Energy requirements</w:t>
      </w:r>
      <w:r w:rsidRPr="00E41CFD">
        <w:t>: The amount of combustion fuel required will depend upon the composition and calorific value of the waste and also upon the flue</w:t>
      </w:r>
      <w:r w:rsidR="00D82BFA">
        <w:t xml:space="preserve"> </w:t>
      </w:r>
      <w:r w:rsidRPr="00E41CFD">
        <w:t>gas treatment technologies applied.</w:t>
      </w:r>
    </w:p>
    <w:p w:rsidR="00890CDD" w:rsidRPr="00E41CFD" w:rsidRDefault="00890CDD" w:rsidP="00EF105B">
      <w:pPr>
        <w:pStyle w:val="Paralevel1"/>
        <w:tabs>
          <w:tab w:val="clear" w:pos="1843"/>
          <w:tab w:val="left" w:pos="1701"/>
        </w:tabs>
        <w:ind w:left="1134" w:firstLine="0"/>
      </w:pPr>
      <w:r w:rsidRPr="00E41CFD">
        <w:rPr>
          <w:i/>
          <w:iCs/>
        </w:rPr>
        <w:t>Material requirements</w:t>
      </w:r>
      <w:r w:rsidRPr="00E41CFD">
        <w:t>: Material requirements include cooling water and lime or another suitable material for removal of acid gases and other pollutant</w:t>
      </w:r>
      <w:r w:rsidR="00267E8D">
        <w:t>s</w:t>
      </w:r>
      <w:r w:rsidRPr="00E41CFD">
        <w:t xml:space="preserve"> like active carbon.</w:t>
      </w:r>
    </w:p>
    <w:p w:rsidR="00890CDD" w:rsidRPr="00E41CFD" w:rsidRDefault="00890CDD" w:rsidP="00EF105B">
      <w:pPr>
        <w:pStyle w:val="Paralevel1"/>
        <w:tabs>
          <w:tab w:val="clear" w:pos="1843"/>
          <w:tab w:val="left" w:pos="1701"/>
        </w:tabs>
        <w:ind w:left="1134" w:firstLine="0"/>
      </w:pPr>
      <w:r w:rsidRPr="00E41CFD">
        <w:rPr>
          <w:i/>
          <w:iCs/>
        </w:rPr>
        <w:t>Portability</w:t>
      </w:r>
      <w:r w:rsidRPr="00E41CFD">
        <w:t>: Hazardous waste incinerators are available in both portable and fixed units.</w:t>
      </w:r>
    </w:p>
    <w:p w:rsidR="00890CDD" w:rsidRPr="00E41CFD" w:rsidRDefault="00890CDD" w:rsidP="00EF105B">
      <w:pPr>
        <w:pStyle w:val="Paralevel1"/>
        <w:tabs>
          <w:tab w:val="clear" w:pos="1843"/>
          <w:tab w:val="left" w:pos="1701"/>
        </w:tabs>
        <w:ind w:left="1134" w:firstLine="0"/>
      </w:pPr>
      <w:r w:rsidRPr="00E41CFD">
        <w:rPr>
          <w:i/>
          <w:iCs/>
        </w:rPr>
        <w:t>Health and safety</w:t>
      </w:r>
      <w:r w:rsidRPr="00E41CFD">
        <w:t xml:space="preserve">: Health and safety hazards include those associated with </w:t>
      </w:r>
      <w:r w:rsidR="008C1022">
        <w:t xml:space="preserve">operations involving </w:t>
      </w:r>
      <w:r w:rsidRPr="00E41CFD">
        <w:t>high temperatures.</w:t>
      </w:r>
      <w:r w:rsidR="0030027B">
        <w:rPr>
          <w:rStyle w:val="FootnoteReference"/>
        </w:rPr>
        <w:footnoteReference w:customMarkFollows="1" w:id="101"/>
        <w:t>101</w:t>
      </w:r>
      <w:r w:rsidRPr="00E41CFD">
        <w:t xml:space="preserve"> </w:t>
      </w:r>
    </w:p>
    <w:p w:rsidR="00890CDD" w:rsidRPr="00A6576D" w:rsidRDefault="00890CDD" w:rsidP="00EF105B">
      <w:pPr>
        <w:pStyle w:val="Paralevel1"/>
        <w:tabs>
          <w:tab w:val="clear" w:pos="1843"/>
          <w:tab w:val="left" w:pos="1701"/>
        </w:tabs>
        <w:ind w:left="1134" w:firstLine="0"/>
      </w:pPr>
      <w:r w:rsidRPr="00E41CFD">
        <w:rPr>
          <w:i/>
          <w:iCs/>
        </w:rPr>
        <w:t>Capacity</w:t>
      </w:r>
      <w:r w:rsidRPr="00E41CFD">
        <w:t>: Hazardous</w:t>
      </w:r>
      <w:r w:rsidR="006B24F5">
        <w:t xml:space="preserve"> </w:t>
      </w:r>
      <w:r w:rsidRPr="00E41CFD">
        <w:t xml:space="preserve">waste incinerators can treat between 30,000 and 100,000 </w:t>
      </w:r>
      <w:proofErr w:type="spellStart"/>
      <w:r w:rsidRPr="00E41CFD">
        <w:t>ton</w:t>
      </w:r>
      <w:r w:rsidR="00A6576D">
        <w:t>nes</w:t>
      </w:r>
      <w:proofErr w:type="spellEnd"/>
      <w:r w:rsidRPr="00E41CFD">
        <w:t xml:space="preserve"> </w:t>
      </w:r>
      <w:r w:rsidR="000C525A" w:rsidRPr="00A6576D">
        <w:t xml:space="preserve">of waste </w:t>
      </w:r>
      <w:r w:rsidRPr="00A6576D">
        <w:t>per year.</w:t>
      </w:r>
      <w:r w:rsidR="0030027B">
        <w:rPr>
          <w:rStyle w:val="FootnoteReference"/>
        </w:rPr>
        <w:footnoteReference w:customMarkFollows="1" w:id="102"/>
        <w:t>102</w:t>
      </w:r>
    </w:p>
    <w:p w:rsidR="00890CDD" w:rsidRPr="00E41CFD" w:rsidRDefault="00890CDD" w:rsidP="00EF105B">
      <w:pPr>
        <w:pStyle w:val="Paralevel1"/>
        <w:tabs>
          <w:tab w:val="clear" w:pos="1843"/>
          <w:tab w:val="left" w:pos="1701"/>
        </w:tabs>
        <w:ind w:left="1134" w:firstLine="0"/>
      </w:pPr>
      <w:r w:rsidRPr="00E41CFD">
        <w:rPr>
          <w:i/>
        </w:rPr>
        <w:t xml:space="preserve">Other practical </w:t>
      </w:r>
      <w:r w:rsidRPr="00E41CFD">
        <w:rPr>
          <w:i/>
          <w:iCs/>
        </w:rPr>
        <w:t>issues</w:t>
      </w:r>
      <w:r w:rsidRPr="00E41CFD">
        <w:rPr>
          <w:i/>
        </w:rPr>
        <w:t>:</w:t>
      </w:r>
      <w:r w:rsidRPr="00E41CFD">
        <w:t xml:space="preserve"> None to report at this time.</w:t>
      </w:r>
    </w:p>
    <w:p w:rsidR="00890CDD" w:rsidRPr="00E41CFD" w:rsidRDefault="00890CDD" w:rsidP="00EF105B">
      <w:pPr>
        <w:pStyle w:val="Paralevel1"/>
        <w:tabs>
          <w:tab w:val="clear" w:pos="1843"/>
          <w:tab w:val="left" w:pos="1701"/>
        </w:tabs>
        <w:ind w:left="1134" w:firstLine="0"/>
      </w:pPr>
      <w:r w:rsidRPr="00E41CFD">
        <w:rPr>
          <w:i/>
        </w:rPr>
        <w:t xml:space="preserve">State of </w:t>
      </w:r>
      <w:r w:rsidRPr="00E41CFD">
        <w:rPr>
          <w:i/>
          <w:iCs/>
        </w:rPr>
        <w:t>commercialization</w:t>
      </w:r>
      <w:r w:rsidRPr="00E41CFD">
        <w:rPr>
          <w:iCs/>
        </w:rPr>
        <w:t xml:space="preserve">: </w:t>
      </w:r>
      <w:r w:rsidRPr="00E41CFD">
        <w:t>There is a long history of experience with hazardous waste incineration.</w:t>
      </w:r>
      <w:r w:rsidR="0030027B">
        <w:rPr>
          <w:rStyle w:val="FootnoteReference"/>
        </w:rPr>
        <w:footnoteReference w:customMarkFollows="1" w:id="103"/>
        <w:t>103</w:t>
      </w:r>
      <w:r w:rsidR="0086154B">
        <w:t xml:space="preserve"> </w:t>
      </w:r>
    </w:p>
    <w:p w:rsidR="005D256C" w:rsidRDefault="00890CDD">
      <w:pPr>
        <w:pStyle w:val="Heading4"/>
        <w:spacing w:before="240" w:after="120"/>
        <w:ind w:left="1134" w:hanging="510"/>
      </w:pPr>
      <w:bookmarkStart w:id="744" w:name="_Toc145395151"/>
      <w:bookmarkStart w:id="745" w:name="_Toc161804604"/>
      <w:bookmarkStart w:id="746" w:name="_Toc405988684"/>
      <w:bookmarkStart w:id="747" w:name="_Toc437340577"/>
      <w:bookmarkStart w:id="748" w:name="_Toc61334210"/>
      <w:bookmarkStart w:id="749" w:name="_Toc63066391"/>
      <w:r w:rsidRPr="00F37FF8">
        <w:rPr>
          <w:color w:val="auto"/>
        </w:rPr>
        <w:t>(</w:t>
      </w:r>
      <w:r w:rsidR="006E7C79">
        <w:rPr>
          <w:color w:val="auto"/>
        </w:rPr>
        <w:t>h</w:t>
      </w:r>
      <w:r w:rsidRPr="00F37FF8">
        <w:rPr>
          <w:color w:val="auto"/>
        </w:rPr>
        <w:t>)</w:t>
      </w:r>
      <w:r w:rsidRPr="00F37FF8">
        <w:rPr>
          <w:color w:val="auto"/>
        </w:rPr>
        <w:tab/>
      </w:r>
      <w:r w:rsidRPr="00E41CFD">
        <w:t>Plasma</w:t>
      </w:r>
      <w:r w:rsidRPr="00E41CFD">
        <w:rPr>
          <w:szCs w:val="20"/>
        </w:rPr>
        <w:t xml:space="preserve"> </w:t>
      </w:r>
      <w:r>
        <w:rPr>
          <w:szCs w:val="20"/>
        </w:rPr>
        <w:t>A</w:t>
      </w:r>
      <w:r w:rsidRPr="00E41CFD">
        <w:rPr>
          <w:szCs w:val="20"/>
        </w:rPr>
        <w:t>rc</w:t>
      </w:r>
      <w:bookmarkEnd w:id="744"/>
      <w:bookmarkEnd w:id="745"/>
      <w:bookmarkEnd w:id="746"/>
      <w:bookmarkEnd w:id="747"/>
      <w:r w:rsidR="0030027B" w:rsidRPr="0030027B">
        <w:rPr>
          <w:rStyle w:val="FootnoteReference"/>
          <w:b w:val="0"/>
          <w:bCs/>
        </w:rPr>
        <w:footnoteReference w:customMarkFollows="1" w:id="104"/>
        <w:t>104</w:t>
      </w:r>
      <w:r w:rsidRPr="0030027B">
        <w:rPr>
          <w:b w:val="0"/>
          <w:bCs/>
          <w:szCs w:val="20"/>
        </w:rPr>
        <w:t xml:space="preserve"> </w:t>
      </w:r>
    </w:p>
    <w:p w:rsidR="00890CDD" w:rsidRPr="00E41CFD" w:rsidRDefault="00890CDD" w:rsidP="00EF105B">
      <w:pPr>
        <w:pStyle w:val="Paralevel1"/>
        <w:tabs>
          <w:tab w:val="clear" w:pos="1843"/>
          <w:tab w:val="left" w:pos="1701"/>
        </w:tabs>
        <w:ind w:left="1134" w:firstLine="0"/>
      </w:pPr>
      <w:r w:rsidRPr="00E41CFD">
        <w:rPr>
          <w:i/>
        </w:rPr>
        <w:t>Process description</w:t>
      </w:r>
      <w:r w:rsidRPr="00E41CFD">
        <w:rPr>
          <w:iCs/>
        </w:rPr>
        <w:t>:</w:t>
      </w:r>
      <w:r w:rsidRPr="00E41CFD">
        <w:t xml:space="preserve"> </w:t>
      </w:r>
      <w:r w:rsidRPr="00C71206">
        <w:t>The waste, as a liquid or gas</w:t>
      </w:r>
      <w:r w:rsidR="007121ED">
        <w:t>,</w:t>
      </w:r>
      <w:r w:rsidRPr="00C71206">
        <w:t xml:space="preserve"> is injected directly into the plasma and </w:t>
      </w:r>
      <w:r w:rsidR="00345940">
        <w:t xml:space="preserve">is </w:t>
      </w:r>
      <w:r w:rsidRPr="00C71206">
        <w:t xml:space="preserve">rapidly (&lt;1 ms) heat </w:t>
      </w:r>
      <w:r w:rsidR="00345940">
        <w:t xml:space="preserve">up </w:t>
      </w:r>
      <w:r w:rsidRPr="00C71206">
        <w:t xml:space="preserve">to about 3,100°C and </w:t>
      </w:r>
      <w:proofErr w:type="spellStart"/>
      <w:r w:rsidRPr="00C71206">
        <w:t>pyrolysed</w:t>
      </w:r>
      <w:proofErr w:type="spellEnd"/>
      <w:r w:rsidRPr="00C71206">
        <w:t xml:space="preserve"> for about 20 </w:t>
      </w:r>
      <w:r w:rsidRPr="003D2703">
        <w:t>ms</w:t>
      </w:r>
      <w:r w:rsidRPr="00C71206">
        <w:t xml:space="preserve"> in the water-cooled reaction chamber (flight tube).</w:t>
      </w:r>
      <w:r>
        <w:t xml:space="preserve"> </w:t>
      </w:r>
      <w:r w:rsidRPr="00E41CFD">
        <w:t>The high temperature causes compounds to dissociate into their elemental ions and atoms. Recombination occurs in a cooler area of the reaction chamber, followed by a quench, resulting in the formation of simple molecules.</w:t>
      </w:r>
      <w:r w:rsidR="0030027B">
        <w:rPr>
          <w:rStyle w:val="FootnoteReference"/>
        </w:rPr>
        <w:footnoteReference w:customMarkFollows="1" w:id="105"/>
        <w:t>105</w:t>
      </w:r>
      <w:r w:rsidRPr="00E41CFD">
        <w:t xml:space="preserve"> The plasma arc </w:t>
      </w:r>
      <w:r>
        <w:t xml:space="preserve">system </w:t>
      </w:r>
      <w:r w:rsidRPr="00E41CFD">
        <w:t>requires</w:t>
      </w:r>
      <w:r w:rsidR="000C525A">
        <w:t xml:space="preserve"> a</w:t>
      </w:r>
      <w:r w:rsidRPr="00E41CFD">
        <w:t xml:space="preserve"> mono-nitrogen oxides (</w:t>
      </w:r>
      <w:proofErr w:type="spellStart"/>
      <w:r w:rsidRPr="00E41CFD">
        <w:t>NOx</w:t>
      </w:r>
      <w:proofErr w:type="spellEnd"/>
      <w:r w:rsidRPr="00E41CFD">
        <w:t>) abatement device</w:t>
      </w:r>
      <w:r w:rsidR="000C525A">
        <w:t>,</w:t>
      </w:r>
      <w:r w:rsidRPr="00E41CFD">
        <w:t xml:space="preserve"> as important amounts of </w:t>
      </w:r>
      <w:proofErr w:type="spellStart"/>
      <w:r w:rsidRPr="00E41CFD">
        <w:t>NOx</w:t>
      </w:r>
      <w:proofErr w:type="spellEnd"/>
      <w:r w:rsidRPr="00E41CFD">
        <w:t xml:space="preserve"> are produced by the high temperature flame.</w:t>
      </w:r>
    </w:p>
    <w:p w:rsidR="00670611" w:rsidRPr="00670611" w:rsidRDefault="00670611" w:rsidP="00EF105B">
      <w:pPr>
        <w:pStyle w:val="Paralevel1"/>
        <w:tabs>
          <w:tab w:val="clear" w:pos="1843"/>
          <w:tab w:val="left" w:pos="1701"/>
        </w:tabs>
        <w:ind w:left="1134" w:firstLine="0"/>
        <w:rPr>
          <w:i/>
        </w:rPr>
      </w:pPr>
      <w:r w:rsidRPr="00670611">
        <w:t>The guidance on BAT/BEP developed by the Stockholm Convention relevant to Article 5 and Annex C should be used and applied to this technology (</w:t>
      </w:r>
      <w:r w:rsidR="00FE3702">
        <w:t>UNEP, 2007</w:t>
      </w:r>
      <w:r w:rsidRPr="00670611">
        <w:t>).</w:t>
      </w:r>
    </w:p>
    <w:p w:rsidR="00890CDD" w:rsidRPr="00E41CFD" w:rsidRDefault="00890CDD" w:rsidP="00EF105B">
      <w:pPr>
        <w:pStyle w:val="Paralevel1"/>
        <w:tabs>
          <w:tab w:val="clear" w:pos="1843"/>
          <w:tab w:val="left" w:pos="1701"/>
        </w:tabs>
        <w:ind w:left="1134" w:firstLine="0"/>
      </w:pPr>
      <w:r w:rsidRPr="00E41CFD">
        <w:rPr>
          <w:i/>
        </w:rPr>
        <w:t>Efficiency</w:t>
      </w:r>
      <w:r w:rsidRPr="00E41CFD">
        <w:rPr>
          <w:iCs/>
        </w:rPr>
        <w:t>:</w:t>
      </w:r>
      <w:r w:rsidRPr="00E41CFD">
        <w:t xml:space="preserve"> Bench-scale tests with oils containing 60 </w:t>
      </w:r>
      <w:r w:rsidR="004612EF">
        <w:t>per cent</w:t>
      </w:r>
      <w:r w:rsidRPr="00E41CFD">
        <w:t xml:space="preserve"> PCBs have achieved DREs ranging from 99.9999</w:t>
      </w:r>
      <w:r w:rsidR="002719E8">
        <w:t>-</w:t>
      </w:r>
      <w:r w:rsidRPr="00E41CFD">
        <w:t xml:space="preserve">99.999999 </w:t>
      </w:r>
      <w:r w:rsidR="004612EF">
        <w:t>per cent</w:t>
      </w:r>
      <w:r w:rsidRPr="00E41CFD">
        <w:t>.</w:t>
      </w:r>
      <w:r w:rsidR="0030027B">
        <w:rPr>
          <w:rStyle w:val="FootnoteReference"/>
        </w:rPr>
        <w:footnoteReference w:customMarkFollows="1" w:id="106"/>
        <w:t>106</w:t>
      </w:r>
      <w:r>
        <w:t xml:space="preserve"> </w:t>
      </w:r>
      <w:r w:rsidR="0040551B">
        <w:t xml:space="preserve">A DE of </w:t>
      </w:r>
      <w:r>
        <w:t>99.9999</w:t>
      </w:r>
      <w:r w:rsidR="007121ED">
        <w:t xml:space="preserve"> </w:t>
      </w:r>
      <w:r w:rsidR="0040551B">
        <w:t xml:space="preserve">per cent </w:t>
      </w:r>
      <w:r>
        <w:t>is achievable for most pesticide</w:t>
      </w:r>
      <w:r w:rsidR="003923B9">
        <w:t xml:space="preserve"> POPs</w:t>
      </w:r>
      <w:r w:rsidR="0040551B">
        <w:t>,</w:t>
      </w:r>
      <w:r>
        <w:t xml:space="preserve"> including chlordane, </w:t>
      </w:r>
      <w:proofErr w:type="spellStart"/>
      <w:r>
        <w:t>chlordecone</w:t>
      </w:r>
      <w:proofErr w:type="spellEnd"/>
      <w:r>
        <w:t xml:space="preserve">, DDT, </w:t>
      </w:r>
      <w:proofErr w:type="spellStart"/>
      <w:r>
        <w:t>endosulfan</w:t>
      </w:r>
      <w:proofErr w:type="spellEnd"/>
      <w:r>
        <w:t xml:space="preserve"> and heptachlor.</w:t>
      </w:r>
    </w:p>
    <w:p w:rsidR="000E79E2" w:rsidRDefault="00890CDD" w:rsidP="00EF105B">
      <w:pPr>
        <w:pStyle w:val="Paralevel1"/>
        <w:tabs>
          <w:tab w:val="clear" w:pos="1843"/>
          <w:tab w:val="left" w:pos="1701"/>
        </w:tabs>
        <w:ind w:left="1134" w:firstLine="0"/>
      </w:pPr>
      <w:r w:rsidRPr="00D000DF">
        <w:rPr>
          <w:i/>
        </w:rPr>
        <w:t>Waste types</w:t>
      </w:r>
      <w:r w:rsidRPr="00D000DF">
        <w:rPr>
          <w:iCs/>
        </w:rPr>
        <w:t xml:space="preserve">: </w:t>
      </w:r>
      <w:r w:rsidRPr="00EF105B">
        <w:t>Plasma</w:t>
      </w:r>
      <w:r w:rsidRPr="00D000DF">
        <w:rPr>
          <w:iCs/>
        </w:rPr>
        <w:t xml:space="preserve"> arc system plants have </w:t>
      </w:r>
      <w:r w:rsidR="000C525A">
        <w:rPr>
          <w:iCs/>
        </w:rPr>
        <w:t xml:space="preserve">been used to </w:t>
      </w:r>
      <w:r w:rsidRPr="00D000DF">
        <w:rPr>
          <w:iCs/>
        </w:rPr>
        <w:t xml:space="preserve">treat a wide range of </w:t>
      </w:r>
      <w:r w:rsidRPr="006C7E2B">
        <w:t xml:space="preserve">PCBs, pesticide </w:t>
      </w:r>
      <w:r w:rsidR="003923B9">
        <w:t>POPs</w:t>
      </w:r>
      <w:r w:rsidR="00E04B7B">
        <w:t>,</w:t>
      </w:r>
      <w:r w:rsidR="003923B9">
        <w:t xml:space="preserve"> </w:t>
      </w:r>
      <w:proofErr w:type="spellStart"/>
      <w:r w:rsidRPr="006C7E2B">
        <w:t>halons</w:t>
      </w:r>
      <w:proofErr w:type="spellEnd"/>
      <w:r w:rsidRPr="006C7E2B">
        <w:t xml:space="preserve"> and chlorofluorohydrocarbons</w:t>
      </w:r>
      <w:r w:rsidRPr="00D000DF">
        <w:t xml:space="preserve">. </w:t>
      </w:r>
      <w:r w:rsidRPr="00E41CFD">
        <w:t xml:space="preserve">Waste types to be treated must be liquid or </w:t>
      </w:r>
      <w:proofErr w:type="gramStart"/>
      <w:r w:rsidRPr="00E41CFD">
        <w:t>gas,</w:t>
      </w:r>
      <w:proofErr w:type="gramEnd"/>
      <w:r w:rsidRPr="00E41CFD">
        <w:t xml:space="preserve"> </w:t>
      </w:r>
      <w:r w:rsidRPr="007F26AA">
        <w:t xml:space="preserve">or solid if </w:t>
      </w:r>
      <w:r w:rsidR="00405DFE" w:rsidRPr="00405DFE">
        <w:t xml:space="preserve">the waste is contained in </w:t>
      </w:r>
      <w:r w:rsidRPr="007F26AA">
        <w:t xml:space="preserve">a fine slurry </w:t>
      </w:r>
      <w:r w:rsidR="00E04B7B" w:rsidRPr="007F26AA">
        <w:t xml:space="preserve">that </w:t>
      </w:r>
      <w:r w:rsidRPr="007F26AA">
        <w:t>can be pumped</w:t>
      </w:r>
      <w:r w:rsidRPr="00E41CFD">
        <w:t xml:space="preserve">. Very viscous liquids or </w:t>
      </w:r>
      <w:proofErr w:type="spellStart"/>
      <w:r w:rsidRPr="00E41CFD">
        <w:t>sludges</w:t>
      </w:r>
      <w:proofErr w:type="spellEnd"/>
      <w:r w:rsidRPr="00E41CFD">
        <w:t xml:space="preserve"> thicker than 30–40 weight motor oil cannot be processed without pre-treatment. Other solid wastes cannot be treated unless some form of pre-treatment is undertaken.</w:t>
      </w:r>
      <w:r w:rsidR="0030027B">
        <w:rPr>
          <w:rStyle w:val="FootnoteReference"/>
        </w:rPr>
        <w:footnoteReference w:customMarkFollows="1" w:id="107"/>
        <w:t>107</w:t>
      </w:r>
      <w:r w:rsidRPr="00E41CFD">
        <w:t xml:space="preserve"> </w:t>
      </w:r>
    </w:p>
    <w:p w:rsidR="00890CDD" w:rsidRPr="00E41CFD" w:rsidRDefault="00890CDD" w:rsidP="00EF105B">
      <w:pPr>
        <w:pStyle w:val="Paralevel1"/>
        <w:tabs>
          <w:tab w:val="clear" w:pos="1843"/>
          <w:tab w:val="left" w:pos="1701"/>
        </w:tabs>
        <w:ind w:left="1134" w:firstLine="0"/>
      </w:pPr>
      <w:r w:rsidRPr="00E41CFD">
        <w:rPr>
          <w:i/>
        </w:rPr>
        <w:t>Pre-</w:t>
      </w:r>
      <w:r w:rsidRPr="00E41CFD">
        <w:rPr>
          <w:i/>
          <w:iCs/>
        </w:rPr>
        <w:t>treatment</w:t>
      </w:r>
      <w:r w:rsidRPr="00E41CFD">
        <w:rPr>
          <w:iCs/>
        </w:rPr>
        <w:t xml:space="preserve">: </w:t>
      </w:r>
      <w:r w:rsidRPr="00E41CFD">
        <w:t>Pre-treatment is not required for most liquids. Solids such as contaminated soils, capacitors and transformers can be pre-treated using thermal desorption or solvent extraction.</w:t>
      </w:r>
      <w:r w:rsidR="0030027B">
        <w:rPr>
          <w:rStyle w:val="FootnoteReference"/>
        </w:rPr>
        <w:footnoteReference w:customMarkFollows="1" w:id="108"/>
        <w:t>108</w:t>
      </w:r>
    </w:p>
    <w:p w:rsidR="00890CDD" w:rsidRPr="00E41CFD" w:rsidRDefault="00890CDD" w:rsidP="00EF105B">
      <w:pPr>
        <w:pStyle w:val="Paralevel1"/>
        <w:tabs>
          <w:tab w:val="clear" w:pos="1843"/>
          <w:tab w:val="left" w:pos="1701"/>
        </w:tabs>
        <w:ind w:left="1134" w:firstLine="0"/>
      </w:pPr>
      <w:r w:rsidRPr="00E41CFD">
        <w:rPr>
          <w:i/>
        </w:rPr>
        <w:t>Emissions and residues</w:t>
      </w:r>
      <w:r w:rsidRPr="00E41CFD">
        <w:rPr>
          <w:iCs/>
        </w:rPr>
        <w:t xml:space="preserve">: </w:t>
      </w:r>
      <w:r w:rsidRPr="00E41CFD">
        <w:t xml:space="preserve">Emissions include gases consisting of argon, carbon dioxide and water </w:t>
      </w:r>
      <w:proofErr w:type="spellStart"/>
      <w:r w:rsidRPr="00E41CFD">
        <w:t>vapour</w:t>
      </w:r>
      <w:proofErr w:type="spellEnd"/>
      <w:r w:rsidRPr="00E41CFD">
        <w:t>. Residues include an aqueous solution of inorganic sodium salts, such as sodium chloride, sodium bicarbonate and sodium fluoride.</w:t>
      </w:r>
      <w:r w:rsidRPr="003566C1">
        <w:t xml:space="preserve"> </w:t>
      </w:r>
      <w:r>
        <w:t>Traces of PCDD and PCDF have been detected in effluent gas from plasma arc system</w:t>
      </w:r>
      <w:r w:rsidR="0067227A">
        <w:t>s</w:t>
      </w:r>
      <w:r>
        <w:t xml:space="preserve">. These traces are at a concentration of less than 0.01 </w:t>
      </w:r>
      <w:proofErr w:type="spellStart"/>
      <w:r>
        <w:t>ng</w:t>
      </w:r>
      <w:proofErr w:type="spellEnd"/>
      <w:r>
        <w:t xml:space="preserve"> TEQ/N</w:t>
      </w:r>
      <w:r w:rsidR="00986796">
        <w:t>m</w:t>
      </w:r>
      <w:r w:rsidRPr="00C71206">
        <w:rPr>
          <w:vertAlign w:val="superscript"/>
        </w:rPr>
        <w:t>3</w:t>
      </w:r>
      <w:r>
        <w:t xml:space="preserve">. </w:t>
      </w:r>
      <w:r w:rsidRPr="00E41CFD">
        <w:t>POP concentrations in solid residues are unknown.</w:t>
      </w:r>
      <w:r w:rsidR="0030027B">
        <w:rPr>
          <w:rStyle w:val="FootnoteReference"/>
        </w:rPr>
        <w:footnoteReference w:customMarkFollows="1" w:id="109"/>
        <w:t>109</w:t>
      </w:r>
      <w:r w:rsidRPr="00E41CFD">
        <w:t xml:space="preserve"> </w:t>
      </w:r>
    </w:p>
    <w:p w:rsidR="00890CDD" w:rsidRPr="00E41CFD" w:rsidRDefault="00890CDD" w:rsidP="00EF105B">
      <w:pPr>
        <w:pStyle w:val="Paralevel1"/>
        <w:tabs>
          <w:tab w:val="clear" w:pos="1843"/>
          <w:tab w:val="left" w:pos="1701"/>
        </w:tabs>
        <w:ind w:left="1134" w:firstLine="0"/>
      </w:pPr>
      <w:r w:rsidRPr="00E41CFD">
        <w:rPr>
          <w:i/>
        </w:rPr>
        <w:t>Release control and post-treatment</w:t>
      </w:r>
      <w:r w:rsidRPr="00E41CFD">
        <w:rPr>
          <w:iCs/>
        </w:rPr>
        <w:t xml:space="preserve">: </w:t>
      </w:r>
      <w:r w:rsidRPr="00E41CFD">
        <w:t>Currently, there is little information available regarding post-treatment requirements.</w:t>
      </w:r>
    </w:p>
    <w:p w:rsidR="00890CDD" w:rsidRPr="00D51E4F" w:rsidRDefault="00890CDD" w:rsidP="00EF105B">
      <w:pPr>
        <w:pStyle w:val="Paralevel1"/>
        <w:tabs>
          <w:tab w:val="clear" w:pos="1843"/>
          <w:tab w:val="left" w:pos="1701"/>
        </w:tabs>
        <w:ind w:left="1134" w:firstLine="0"/>
      </w:pPr>
      <w:r w:rsidRPr="00E41CFD">
        <w:rPr>
          <w:i/>
        </w:rPr>
        <w:t xml:space="preserve">Energy </w:t>
      </w:r>
      <w:r w:rsidRPr="00E41CFD">
        <w:rPr>
          <w:i/>
          <w:iCs/>
        </w:rPr>
        <w:t>requirements</w:t>
      </w:r>
      <w:r w:rsidRPr="00D51E4F">
        <w:rPr>
          <w:iCs/>
        </w:rPr>
        <w:t xml:space="preserve">: </w:t>
      </w:r>
      <w:r>
        <w:t>A 150 kW p</w:t>
      </w:r>
      <w:r w:rsidRPr="00E670A3">
        <w:t xml:space="preserve">lasma arc system </w:t>
      </w:r>
      <w:r w:rsidRPr="00D51E4F">
        <w:t xml:space="preserve">unit requires 1,000–3,000 kWh of electricity per </w:t>
      </w:r>
      <w:proofErr w:type="spellStart"/>
      <w:r w:rsidRPr="00D51E4F">
        <w:t>tonne</w:t>
      </w:r>
      <w:proofErr w:type="spellEnd"/>
      <w:r w:rsidRPr="00D51E4F">
        <w:t xml:space="preserve"> of waste</w:t>
      </w:r>
      <w:r w:rsidR="0067227A">
        <w:t xml:space="preserve"> </w:t>
      </w:r>
      <w:r w:rsidR="0067227A" w:rsidRPr="007F26AA">
        <w:t>treated</w:t>
      </w:r>
      <w:r w:rsidRPr="00D51E4F">
        <w:t>.</w:t>
      </w:r>
      <w:r w:rsidR="0030027B">
        <w:rPr>
          <w:rStyle w:val="FootnoteReference"/>
        </w:rPr>
        <w:footnoteReference w:customMarkFollows="1" w:id="110"/>
        <w:t>110</w:t>
      </w:r>
    </w:p>
    <w:p w:rsidR="00890CDD" w:rsidRPr="00D51E4F" w:rsidRDefault="00890CDD" w:rsidP="00EF105B">
      <w:pPr>
        <w:pStyle w:val="Paralevel1"/>
        <w:tabs>
          <w:tab w:val="clear" w:pos="1843"/>
          <w:tab w:val="left" w:pos="1701"/>
        </w:tabs>
        <w:ind w:left="1134" w:firstLine="0"/>
      </w:pPr>
      <w:r w:rsidRPr="00107692">
        <w:rPr>
          <w:i/>
        </w:rPr>
        <w:t>Material requirements</w:t>
      </w:r>
      <w:r w:rsidRPr="000E5722">
        <w:rPr>
          <w:iCs/>
        </w:rPr>
        <w:t xml:space="preserve">: </w:t>
      </w:r>
      <w:r w:rsidRPr="000E5722">
        <w:t>Currently, there is little information available regarding material requirements. It has been noted, however, that this process require</w:t>
      </w:r>
      <w:r w:rsidR="0067227A">
        <w:t>s</w:t>
      </w:r>
      <w:r w:rsidRPr="000E5722">
        <w:t xml:space="preserve"> argon gas, oxygen gas, caustic and cooling water.</w:t>
      </w:r>
      <w:r w:rsidR="0030027B">
        <w:rPr>
          <w:rStyle w:val="FootnoteReference"/>
        </w:rPr>
        <w:footnoteReference w:customMarkFollows="1" w:id="111"/>
        <w:t>111</w:t>
      </w:r>
      <w:r w:rsidRPr="00D51E4F">
        <w:t xml:space="preserve"> </w:t>
      </w:r>
    </w:p>
    <w:p w:rsidR="00890CDD" w:rsidRPr="00D51E4F" w:rsidRDefault="00890CDD" w:rsidP="00EF105B">
      <w:pPr>
        <w:pStyle w:val="Paralevel1"/>
        <w:tabs>
          <w:tab w:val="clear" w:pos="1843"/>
          <w:tab w:val="left" w:pos="1701"/>
        </w:tabs>
        <w:ind w:left="1134" w:firstLine="0"/>
      </w:pPr>
      <w:r w:rsidRPr="00107692">
        <w:rPr>
          <w:i/>
          <w:iCs/>
        </w:rPr>
        <w:t>Portability</w:t>
      </w:r>
      <w:r w:rsidRPr="000E5722">
        <w:t xml:space="preserve">: </w:t>
      </w:r>
      <w:r w:rsidRPr="00E670A3">
        <w:t>Plasma arc system</w:t>
      </w:r>
      <w:r w:rsidR="0067227A">
        <w:t>s</w:t>
      </w:r>
      <w:r w:rsidRPr="00E670A3">
        <w:t xml:space="preserve"> </w:t>
      </w:r>
      <w:r w:rsidR="0067227A">
        <w:t>are</w:t>
      </w:r>
      <w:r w:rsidR="0067227A" w:rsidRPr="00D51E4F">
        <w:t xml:space="preserve"> </w:t>
      </w:r>
      <w:r w:rsidRPr="00D51E4F">
        <w:t xml:space="preserve">available in </w:t>
      </w:r>
      <w:r w:rsidR="00DA6A4D">
        <w:t xml:space="preserve">both </w:t>
      </w:r>
      <w:r w:rsidRPr="00D51E4F">
        <w:t>portable and fixed units.</w:t>
      </w:r>
      <w:r w:rsidR="0030027B">
        <w:rPr>
          <w:rStyle w:val="FootnoteReference"/>
        </w:rPr>
        <w:footnoteReference w:customMarkFollows="1" w:id="112"/>
        <w:t>112</w:t>
      </w:r>
      <w:r w:rsidRPr="00D51E4F">
        <w:t xml:space="preserve"> </w:t>
      </w:r>
    </w:p>
    <w:p w:rsidR="00890CDD" w:rsidRPr="00E41CFD" w:rsidRDefault="00890CDD" w:rsidP="00EF105B">
      <w:pPr>
        <w:pStyle w:val="Paralevel1"/>
        <w:tabs>
          <w:tab w:val="clear" w:pos="1843"/>
          <w:tab w:val="left" w:pos="1701"/>
        </w:tabs>
        <w:ind w:left="1134" w:firstLine="0"/>
      </w:pPr>
      <w:r w:rsidRPr="00107692">
        <w:rPr>
          <w:i/>
          <w:iCs/>
        </w:rPr>
        <w:t>Health and safety</w:t>
      </w:r>
      <w:r>
        <w:t>: Since the p</w:t>
      </w:r>
      <w:r w:rsidRPr="000E5722">
        <w:t xml:space="preserve">lasma arc system </w:t>
      </w:r>
      <w:r w:rsidRPr="00E670A3">
        <w:t xml:space="preserve">process has a low throughput, there is a low risk associated with </w:t>
      </w:r>
      <w:r w:rsidR="00BE1E62">
        <w:t xml:space="preserve">the </w:t>
      </w:r>
      <w:r w:rsidRPr="00E670A3">
        <w:t>release of partially treated wastes</w:t>
      </w:r>
      <w:r w:rsidRPr="00E41CFD">
        <w:t xml:space="preserve"> following process failure</w:t>
      </w:r>
      <w:r w:rsidR="00BE1E62">
        <w:t>s</w:t>
      </w:r>
      <w:r w:rsidRPr="00E41CFD">
        <w:t>.</w:t>
      </w:r>
      <w:r w:rsidR="0030027B">
        <w:rPr>
          <w:rStyle w:val="FootnoteReference"/>
        </w:rPr>
        <w:footnoteReference w:customMarkFollows="1" w:id="113"/>
        <w:t>113</w:t>
      </w:r>
      <w:r w:rsidRPr="00E41CFD">
        <w:t xml:space="preserve"> Currently, there is little additional information available regarding health and safety.</w:t>
      </w:r>
    </w:p>
    <w:p w:rsidR="00890CDD" w:rsidRPr="00E41CFD" w:rsidRDefault="00890CDD" w:rsidP="00EF105B">
      <w:pPr>
        <w:pStyle w:val="Paralevel1"/>
        <w:tabs>
          <w:tab w:val="clear" w:pos="1843"/>
          <w:tab w:val="left" w:pos="1701"/>
        </w:tabs>
        <w:ind w:left="1134" w:firstLine="0"/>
      </w:pPr>
      <w:r w:rsidRPr="00E41CFD">
        <w:rPr>
          <w:i/>
          <w:iCs/>
        </w:rPr>
        <w:t>Capacity</w:t>
      </w:r>
      <w:r>
        <w:t>: A 150 kW p</w:t>
      </w:r>
      <w:r w:rsidRPr="00E41CFD">
        <w:t>las</w:t>
      </w:r>
      <w:r>
        <w:t>ma arc system unit can process 1–3 Mg</w:t>
      </w:r>
      <w:r w:rsidRPr="00E41CFD">
        <w:t xml:space="preserve"> of waste</w:t>
      </w:r>
      <w:r>
        <w:t xml:space="preserve"> per day</w:t>
      </w:r>
      <w:r w:rsidRPr="00E41CFD">
        <w:t>.</w:t>
      </w:r>
      <w:r w:rsidR="0030027B">
        <w:rPr>
          <w:rStyle w:val="FootnoteReference"/>
        </w:rPr>
        <w:footnoteReference w:customMarkFollows="1" w:id="114"/>
        <w:t>114</w:t>
      </w:r>
      <w:r w:rsidRPr="00E41CFD">
        <w:t xml:space="preserve"> </w:t>
      </w:r>
    </w:p>
    <w:p w:rsidR="00890CDD" w:rsidRDefault="00890CDD" w:rsidP="00EF105B">
      <w:pPr>
        <w:pStyle w:val="Paralevel1"/>
        <w:tabs>
          <w:tab w:val="clear" w:pos="1843"/>
          <w:tab w:val="left" w:pos="1701"/>
        </w:tabs>
        <w:ind w:left="1134" w:firstLine="0"/>
      </w:pPr>
      <w:r w:rsidRPr="00E41CFD">
        <w:rPr>
          <w:i/>
        </w:rPr>
        <w:t>Other practical issues</w:t>
      </w:r>
      <w:r w:rsidRPr="00E41CFD">
        <w:t>: It should be noted that metals or metal-like compounds (e.g., arsenic) may interfere with catalysts or cause problems in disposing of residue</w:t>
      </w:r>
      <w:r w:rsidR="005E3695">
        <w:t>s</w:t>
      </w:r>
      <w:r w:rsidRPr="00E41CFD">
        <w:t xml:space="preserve">. For example, arsenicals in pesticide waste exported from Pacific islands for disposal in Australia using the </w:t>
      </w:r>
      <w:r>
        <w:t>p</w:t>
      </w:r>
      <w:r w:rsidRPr="00E41CFD">
        <w:t>las</w:t>
      </w:r>
      <w:r>
        <w:t xml:space="preserve">ma arc system </w:t>
      </w:r>
      <w:r w:rsidRPr="00E41CFD">
        <w:t>process have presented problem</w:t>
      </w:r>
      <w:r w:rsidR="006F3910">
        <w:t>s</w:t>
      </w:r>
      <w:r w:rsidRPr="00E41CFD">
        <w:t>.</w:t>
      </w:r>
    </w:p>
    <w:p w:rsidR="00890CDD" w:rsidRDefault="00890CDD" w:rsidP="00EF105B">
      <w:pPr>
        <w:pStyle w:val="Paralevel1"/>
        <w:tabs>
          <w:tab w:val="clear" w:pos="1843"/>
          <w:tab w:val="left" w:pos="1701"/>
        </w:tabs>
        <w:ind w:left="1134" w:firstLine="0"/>
      </w:pPr>
      <w:r>
        <w:rPr>
          <w:i/>
        </w:rPr>
        <w:t xml:space="preserve">State of commercialization: </w:t>
      </w:r>
      <w:r w:rsidRPr="00E41CFD">
        <w:t xml:space="preserve">BCD Technologies Pty Ltd. operates two plasma plants in Australia: one in Brisbane for PCBs and </w:t>
      </w:r>
      <w:r w:rsidR="005E3695">
        <w:t xml:space="preserve">other </w:t>
      </w:r>
      <w:r w:rsidRPr="00E41CFD">
        <w:t xml:space="preserve">POPs and another </w:t>
      </w:r>
      <w:r w:rsidR="00E14D43">
        <w:t xml:space="preserve">one </w:t>
      </w:r>
      <w:r w:rsidRPr="00E41CFD">
        <w:t xml:space="preserve">in Melbourne for treating CFCs and </w:t>
      </w:r>
      <w:proofErr w:type="spellStart"/>
      <w:r w:rsidRPr="00E41CFD">
        <w:t>halons</w:t>
      </w:r>
      <w:proofErr w:type="spellEnd"/>
      <w:r w:rsidRPr="00E41CFD">
        <w:t xml:space="preserve">. BCD Technologies Pty Ltd. also operates a BCD plant for low-level PCBs and POPs and has two thermal </w:t>
      </w:r>
      <w:proofErr w:type="spellStart"/>
      <w:r w:rsidRPr="00E41CFD">
        <w:t>desorbers</w:t>
      </w:r>
      <w:proofErr w:type="spellEnd"/>
      <w:r w:rsidRPr="00E41CFD">
        <w:t xml:space="preserve"> for treating contaminated solids.</w:t>
      </w:r>
      <w:r w:rsidR="004B5309">
        <w:t xml:space="preserve"> </w:t>
      </w:r>
    </w:p>
    <w:p w:rsidR="00644B24" w:rsidRDefault="00644B24" w:rsidP="00644B24">
      <w:pPr>
        <w:pStyle w:val="Heading4"/>
        <w:spacing w:before="240" w:after="120"/>
        <w:ind w:left="1134" w:hanging="510"/>
      </w:pPr>
      <w:bookmarkStart w:id="750" w:name="_Toc437340578"/>
      <w:bookmarkStart w:id="751" w:name="_Toc405988685"/>
      <w:r>
        <w:rPr>
          <w:szCs w:val="20"/>
        </w:rPr>
        <w:t>(</w:t>
      </w:r>
      <w:proofErr w:type="spellStart"/>
      <w:r w:rsidR="006E7C79">
        <w:rPr>
          <w:szCs w:val="20"/>
        </w:rPr>
        <w:t>i</w:t>
      </w:r>
      <w:proofErr w:type="spellEnd"/>
      <w:r w:rsidRPr="00E41CFD">
        <w:rPr>
          <w:szCs w:val="20"/>
        </w:rPr>
        <w:t>)</w:t>
      </w:r>
      <w:r w:rsidRPr="00E41CFD">
        <w:rPr>
          <w:szCs w:val="20"/>
        </w:rPr>
        <w:tab/>
        <w:t>Plasma</w:t>
      </w:r>
      <w:r w:rsidRPr="00E41CFD">
        <w:rPr>
          <w:szCs w:val="20"/>
          <w:lang w:eastAsia="ja-JP"/>
        </w:rPr>
        <w:t xml:space="preserve"> Melting Decomposition Method</w:t>
      </w:r>
      <w:bookmarkEnd w:id="750"/>
      <w:r w:rsidRPr="00E41CFD">
        <w:rPr>
          <w:szCs w:val="20"/>
        </w:rPr>
        <w:t xml:space="preserve"> </w:t>
      </w:r>
    </w:p>
    <w:p w:rsidR="00644B24" w:rsidRPr="00E41CFD" w:rsidRDefault="00644B24" w:rsidP="00EF105B">
      <w:pPr>
        <w:pStyle w:val="Paralevel1"/>
        <w:tabs>
          <w:tab w:val="clear" w:pos="1843"/>
          <w:tab w:val="left" w:pos="1701"/>
        </w:tabs>
        <w:ind w:left="1134" w:firstLine="0"/>
      </w:pPr>
      <w:r w:rsidRPr="00644B24">
        <w:rPr>
          <w:i/>
        </w:rPr>
        <w:t>Process description:</w:t>
      </w:r>
      <w:r w:rsidRPr="00E41CFD">
        <w:t xml:space="preserve"> The plasma melting decomposition method </w:t>
      </w:r>
      <w:r w:rsidR="00011604">
        <w:t xml:space="preserve">(PMD) </w:t>
      </w:r>
      <w:r w:rsidRPr="00E41CFD">
        <w:t xml:space="preserve">is a thermal destruction method </w:t>
      </w:r>
      <w:r>
        <w:t>for</w:t>
      </w:r>
      <w:r w:rsidRPr="00E41CFD">
        <w:t xml:space="preserve"> solid waste containing or contaminated with PCB</w:t>
      </w:r>
      <w:r w:rsidR="00A47C19">
        <w:t>s</w:t>
      </w:r>
      <w:r w:rsidRPr="00E41CFD">
        <w:t>. Solid waste containing or contaminated with PCBs is canned directly into containers</w:t>
      </w:r>
      <w:r>
        <w:t xml:space="preserve">, </w:t>
      </w:r>
      <w:r w:rsidRPr="00E41CFD">
        <w:t>such as drums or pails</w:t>
      </w:r>
      <w:r>
        <w:t>,</w:t>
      </w:r>
      <w:r w:rsidRPr="00E41CFD">
        <w:t xml:space="preserve"> without shredding or disassembling. In </w:t>
      </w:r>
      <w:r w:rsidR="00A47C19">
        <w:t>a</w:t>
      </w:r>
      <w:r w:rsidRPr="00E41CFD">
        <w:t xml:space="preserve"> plasma furnace, </w:t>
      </w:r>
      <w:r w:rsidR="00A47C19">
        <w:t xml:space="preserve">a </w:t>
      </w:r>
      <w:r w:rsidRPr="00E41CFD">
        <w:t>plasma torch generates high temperature plasma gas (air) so that the furnace temperature is maintained to melt the waste together with the container itself. All the organic substances</w:t>
      </w:r>
      <w:r>
        <w:t>,</w:t>
      </w:r>
      <w:r w:rsidRPr="00E41CFD">
        <w:t xml:space="preserve"> including PCB</w:t>
      </w:r>
      <w:r w:rsidR="00A47C19">
        <w:t>s</w:t>
      </w:r>
      <w:r>
        <w:t>,</w:t>
      </w:r>
      <w:r w:rsidRPr="00E41CFD">
        <w:t xml:space="preserve"> are decomposed </w:t>
      </w:r>
      <w:r w:rsidR="00A47C19">
        <w:t>in</w:t>
      </w:r>
      <w:r w:rsidRPr="00E41CFD">
        <w:t>to CO</w:t>
      </w:r>
      <w:r w:rsidR="00405DFE" w:rsidRPr="00405DFE">
        <w:rPr>
          <w:vertAlign w:val="subscript"/>
        </w:rPr>
        <w:t>2</w:t>
      </w:r>
      <w:r w:rsidRPr="00E41CFD">
        <w:t>, H</w:t>
      </w:r>
      <w:r w:rsidR="00405DFE" w:rsidRPr="00405DFE">
        <w:rPr>
          <w:vertAlign w:val="subscript"/>
        </w:rPr>
        <w:t>2</w:t>
      </w:r>
      <w:r w:rsidRPr="00E41CFD">
        <w:t xml:space="preserve">O and </w:t>
      </w:r>
      <w:proofErr w:type="spellStart"/>
      <w:r w:rsidRPr="00E41CFD">
        <w:t>HCl</w:t>
      </w:r>
      <w:proofErr w:type="spellEnd"/>
      <w:r w:rsidRPr="00E41CFD">
        <w:t xml:space="preserve"> under the high temperature condition</w:t>
      </w:r>
      <w:r w:rsidR="00A47C19">
        <w:t>s</w:t>
      </w:r>
      <w:r w:rsidRPr="00E41CFD">
        <w:t xml:space="preserve"> </w:t>
      </w:r>
      <w:r w:rsidR="00A47C19">
        <w:t>of</w:t>
      </w:r>
      <w:r w:rsidRPr="00E41CFD">
        <w:t xml:space="preserve"> the plasma furnace, and inorganic materials</w:t>
      </w:r>
      <w:r>
        <w:t>,</w:t>
      </w:r>
      <w:r w:rsidRPr="00E41CFD">
        <w:t xml:space="preserve"> including metals</w:t>
      </w:r>
      <w:r>
        <w:t>,</w:t>
      </w:r>
      <w:r w:rsidRPr="00E41CFD">
        <w:t xml:space="preserve"> are oxidized to become molten slag. The plasma furnace </w:t>
      </w:r>
      <w:r w:rsidR="00A47C19">
        <w:t xml:space="preserve">temperatures </w:t>
      </w:r>
      <w:r w:rsidRPr="00E41CFD">
        <w:t>exceed 1,400˚C (</w:t>
      </w:r>
      <w:proofErr w:type="spellStart"/>
      <w:r w:rsidRPr="00E41CFD">
        <w:t>Tagashira</w:t>
      </w:r>
      <w:proofErr w:type="spellEnd"/>
      <w:r w:rsidRPr="00E41CFD">
        <w:t xml:space="preserve"> et al., 2006).</w:t>
      </w:r>
    </w:p>
    <w:p w:rsidR="00644B24" w:rsidRPr="00E41CFD" w:rsidRDefault="00644B24" w:rsidP="00EF105B">
      <w:pPr>
        <w:pStyle w:val="Paralevel1"/>
        <w:tabs>
          <w:tab w:val="clear" w:pos="1843"/>
          <w:tab w:val="left" w:pos="1701"/>
        </w:tabs>
        <w:ind w:left="1134" w:firstLine="0"/>
        <w:rPr>
          <w:b/>
        </w:rPr>
      </w:pPr>
      <w:r w:rsidRPr="00E41CFD">
        <w:rPr>
          <w:i/>
        </w:rPr>
        <w:t>Efficiency</w:t>
      </w:r>
      <w:r w:rsidRPr="00E41CFD">
        <w:t xml:space="preserve">: In Japan, a pilot </w:t>
      </w:r>
      <w:r w:rsidR="00E945BF">
        <w:t>PMD</w:t>
      </w:r>
      <w:r w:rsidRPr="00E41CFD">
        <w:t xml:space="preserve"> plant was tested for PCB treatment in 2006. The result showed DEs rang</w:t>
      </w:r>
      <w:r w:rsidR="001B22E6">
        <w:t>ing</w:t>
      </w:r>
      <w:r w:rsidRPr="00E41CFD">
        <w:t xml:space="preserve"> from 99.9999454</w:t>
      </w:r>
      <w:r w:rsidR="001B22E6">
        <w:t>-</w:t>
      </w:r>
      <w:r w:rsidRPr="00E41CFD">
        <w:t>99.9999997</w:t>
      </w:r>
      <w:r>
        <w:t xml:space="preserve"> </w:t>
      </w:r>
      <w:r w:rsidR="000A19CB">
        <w:t>per</w:t>
      </w:r>
      <w:r w:rsidR="00675F79">
        <w:t xml:space="preserve"> </w:t>
      </w:r>
      <w:r w:rsidR="000A19CB">
        <w:t>cent</w:t>
      </w:r>
      <w:r w:rsidRPr="00E41CFD">
        <w:t xml:space="preserve"> and DREs rang</w:t>
      </w:r>
      <w:r w:rsidR="001B22E6">
        <w:t>ing</w:t>
      </w:r>
      <w:r w:rsidRPr="00E41CFD">
        <w:t xml:space="preserve"> from 99.9999763</w:t>
      </w:r>
      <w:r w:rsidR="001B22E6">
        <w:t>-</w:t>
      </w:r>
      <w:r w:rsidRPr="00E41CFD">
        <w:t>99.9999998</w:t>
      </w:r>
      <w:r>
        <w:t xml:space="preserve"> </w:t>
      </w:r>
      <w:r w:rsidR="000A19CB">
        <w:t>per cent</w:t>
      </w:r>
      <w:r w:rsidRPr="00E41CFD">
        <w:t xml:space="preserve"> (</w:t>
      </w:r>
      <w:proofErr w:type="spellStart"/>
      <w:r w:rsidRPr="00E41CFD">
        <w:t>Tagashira</w:t>
      </w:r>
      <w:proofErr w:type="spellEnd"/>
      <w:r w:rsidRPr="00E41CFD">
        <w:t xml:space="preserve"> et al., 2006).</w:t>
      </w:r>
    </w:p>
    <w:p w:rsidR="00644B24" w:rsidRPr="00E41CFD" w:rsidRDefault="00644B24" w:rsidP="00EF105B">
      <w:pPr>
        <w:pStyle w:val="Paralevel1"/>
        <w:tabs>
          <w:tab w:val="clear" w:pos="1843"/>
          <w:tab w:val="left" w:pos="1701"/>
        </w:tabs>
        <w:ind w:left="1134" w:firstLine="0"/>
        <w:rPr>
          <w:b/>
        </w:rPr>
      </w:pPr>
      <w:r w:rsidRPr="00E41CFD">
        <w:rPr>
          <w:i/>
        </w:rPr>
        <w:t>Waste types:</w:t>
      </w:r>
      <w:r>
        <w:t xml:space="preserve"> In commercial scale plants in Japan, </w:t>
      </w:r>
      <w:r w:rsidRPr="00E41CFD">
        <w:t>solid waste containing or contaminated with PCB</w:t>
      </w:r>
      <w:r w:rsidR="004D4424">
        <w:t>s</w:t>
      </w:r>
      <w:r>
        <w:t>,</w:t>
      </w:r>
      <w:r w:rsidRPr="00E41CFD">
        <w:t xml:space="preserve"> such as fluorescent light ballasts, sludge, carbonless paper and secondary contaminants</w:t>
      </w:r>
      <w:r w:rsidR="004D4424">
        <w:t>,</w:t>
      </w:r>
      <w:r w:rsidRPr="00E41CFD">
        <w:t xml:space="preserve"> </w:t>
      </w:r>
      <w:r w:rsidR="00482273">
        <w:t>can</w:t>
      </w:r>
      <w:r>
        <w:t xml:space="preserve"> be treated </w:t>
      </w:r>
      <w:r w:rsidR="00405DFE" w:rsidRPr="00405DFE">
        <w:t xml:space="preserve">using </w:t>
      </w:r>
      <w:r w:rsidR="004D4424" w:rsidRPr="00416901">
        <w:t>PMD</w:t>
      </w:r>
      <w:r w:rsidR="004D4424">
        <w:t xml:space="preserve"> </w:t>
      </w:r>
      <w:r w:rsidRPr="00E41CFD">
        <w:t>(JESCO</w:t>
      </w:r>
      <w:r>
        <w:t>,</w:t>
      </w:r>
      <w:r w:rsidR="00011604">
        <w:t xml:space="preserve"> </w:t>
      </w:r>
      <w:r w:rsidRPr="00E41CFD">
        <w:t>2009</w:t>
      </w:r>
      <w:r w:rsidR="00482273">
        <w:t>a</w:t>
      </w:r>
      <w:r w:rsidRPr="00E41CFD">
        <w:t>).</w:t>
      </w:r>
    </w:p>
    <w:p w:rsidR="00644B24" w:rsidRPr="00E41CFD" w:rsidRDefault="00644B24" w:rsidP="00EF105B">
      <w:pPr>
        <w:pStyle w:val="Paralevel1"/>
        <w:tabs>
          <w:tab w:val="clear" w:pos="1843"/>
          <w:tab w:val="left" w:pos="1701"/>
        </w:tabs>
        <w:ind w:left="1134" w:firstLine="0"/>
        <w:rPr>
          <w:b/>
        </w:rPr>
      </w:pPr>
      <w:r w:rsidRPr="00E41CFD">
        <w:rPr>
          <w:i/>
        </w:rPr>
        <w:t xml:space="preserve">Pre-treatment: </w:t>
      </w:r>
      <w:r w:rsidRPr="00E41CFD">
        <w:t>Japan</w:t>
      </w:r>
      <w:r>
        <w:t xml:space="preserve">’s </w:t>
      </w:r>
      <w:r w:rsidRPr="00E41CFD">
        <w:t>commercial</w:t>
      </w:r>
      <w:r>
        <w:t xml:space="preserve">-scale plant uses </w:t>
      </w:r>
      <w:r w:rsidRPr="00E41CFD">
        <w:t xml:space="preserve">containers such as drums </w:t>
      </w:r>
      <w:r w:rsidR="004D4424">
        <w:t xml:space="preserve">and </w:t>
      </w:r>
      <w:r w:rsidRPr="00E41CFD">
        <w:t>pails in</w:t>
      </w:r>
      <w:r w:rsidR="00030708">
        <w:t xml:space="preserve"> which </w:t>
      </w:r>
      <w:r w:rsidRPr="00E41CFD">
        <w:t xml:space="preserve">PCB-contaminated waste </w:t>
      </w:r>
      <w:r w:rsidR="00030708">
        <w:t xml:space="preserve">is </w:t>
      </w:r>
      <w:r w:rsidRPr="00E41CFD">
        <w:t xml:space="preserve">mixed with </w:t>
      </w:r>
      <w:proofErr w:type="spellStart"/>
      <w:r w:rsidRPr="00E41CFD">
        <w:t>basicity</w:t>
      </w:r>
      <w:proofErr w:type="spellEnd"/>
      <w:r w:rsidR="004D4424">
        <w:t>-</w:t>
      </w:r>
      <w:r w:rsidRPr="00E41CFD">
        <w:t>controlling agents like limestone or silica sand</w:t>
      </w:r>
      <w:r w:rsidR="00D11799">
        <w:t>,</w:t>
      </w:r>
      <w:r w:rsidRPr="00E41CFD">
        <w:t xml:space="preserve"> as needed</w:t>
      </w:r>
      <w:r w:rsidR="00CB409E">
        <w:t xml:space="preserve">, and </w:t>
      </w:r>
      <w:r w:rsidR="00471EAB">
        <w:t>pushed into</w:t>
      </w:r>
      <w:r w:rsidRPr="00E41CFD">
        <w:t xml:space="preserve"> the plasma furnace (JESCO</w:t>
      </w:r>
      <w:r>
        <w:t>,</w:t>
      </w:r>
      <w:r w:rsidRPr="00E41CFD">
        <w:t xml:space="preserve"> 2009).</w:t>
      </w:r>
      <w:r w:rsidR="00030708">
        <w:t xml:space="preserve"> </w:t>
      </w:r>
    </w:p>
    <w:p w:rsidR="00644B24" w:rsidRPr="00E41CFD" w:rsidRDefault="00644B24" w:rsidP="00EF105B">
      <w:pPr>
        <w:pStyle w:val="Paralevel1"/>
        <w:tabs>
          <w:tab w:val="clear" w:pos="1843"/>
          <w:tab w:val="left" w:pos="1701"/>
        </w:tabs>
        <w:ind w:left="1134" w:firstLine="0"/>
        <w:rPr>
          <w:b/>
        </w:rPr>
      </w:pPr>
      <w:r w:rsidRPr="00E41CFD">
        <w:rPr>
          <w:i/>
        </w:rPr>
        <w:t>Emissions and residues:</w:t>
      </w:r>
      <w:r w:rsidRPr="00E41CFD">
        <w:rPr>
          <w:b/>
        </w:rPr>
        <w:t xml:space="preserve"> </w:t>
      </w:r>
      <w:r w:rsidR="001A4ABF" w:rsidRPr="00E41CFD">
        <w:t xml:space="preserve">The JESCO </w:t>
      </w:r>
      <w:r w:rsidR="001A4ABF">
        <w:t>p</w:t>
      </w:r>
      <w:r w:rsidR="001A4ABF" w:rsidRPr="00E41CFD">
        <w:t xml:space="preserve">lasma </w:t>
      </w:r>
      <w:r w:rsidR="001A4ABF">
        <w:t>m</w:t>
      </w:r>
      <w:r w:rsidR="001A4ABF" w:rsidRPr="00E41CFD">
        <w:t xml:space="preserve">elting treatment facility can comply with dioxins air emission levels below 0.1 </w:t>
      </w:r>
      <w:proofErr w:type="spellStart"/>
      <w:r w:rsidR="001A4ABF" w:rsidRPr="00E41CFD">
        <w:t>ng</w:t>
      </w:r>
      <w:proofErr w:type="spellEnd"/>
      <w:r w:rsidR="001A4ABF" w:rsidRPr="00E41CFD">
        <w:t xml:space="preserve"> TEQ/Nm</w:t>
      </w:r>
      <w:r w:rsidR="001A4ABF" w:rsidRPr="00E41CFD">
        <w:rPr>
          <w:vertAlign w:val="superscript"/>
        </w:rPr>
        <w:t>3</w:t>
      </w:r>
      <w:r w:rsidR="001A4ABF" w:rsidRPr="00E41CFD">
        <w:t xml:space="preserve"> (JESCO</w:t>
      </w:r>
      <w:r w:rsidR="001A4ABF">
        <w:t>,</w:t>
      </w:r>
      <w:r w:rsidR="001A4ABF" w:rsidRPr="00E41CFD">
        <w:t xml:space="preserve"> 2009).</w:t>
      </w:r>
      <w:r w:rsidR="001A4ABF">
        <w:t xml:space="preserve"> </w:t>
      </w:r>
      <w:r w:rsidRPr="00E41CFD">
        <w:t xml:space="preserve">Air emission levels of dioxins were 0.0000043-0.068 </w:t>
      </w:r>
      <w:proofErr w:type="spellStart"/>
      <w:r w:rsidRPr="00E41CFD">
        <w:t>ng</w:t>
      </w:r>
      <w:proofErr w:type="spellEnd"/>
      <w:r w:rsidRPr="00E41CFD">
        <w:t xml:space="preserve"> TEQ/Nm</w:t>
      </w:r>
      <w:r w:rsidRPr="00E41CFD">
        <w:rPr>
          <w:vertAlign w:val="superscript"/>
        </w:rPr>
        <w:t>3</w:t>
      </w:r>
      <w:r w:rsidRPr="00E41CFD">
        <w:t xml:space="preserve"> in a pilot scale plant (</w:t>
      </w:r>
      <w:proofErr w:type="spellStart"/>
      <w:r w:rsidRPr="00E41CFD">
        <w:t>Tagashira</w:t>
      </w:r>
      <w:proofErr w:type="spellEnd"/>
      <w:r w:rsidRPr="00E41CFD">
        <w:t xml:space="preserve"> et al., 2006). Together with an enhanced gas treatment system, dioxin emission level</w:t>
      </w:r>
      <w:r w:rsidR="00673185">
        <w:t>s</w:t>
      </w:r>
      <w:r w:rsidRPr="00E41CFD">
        <w:t xml:space="preserve"> can be controlled within a range of 0.00001-0.001</w:t>
      </w:r>
      <w:r w:rsidR="009804E3">
        <w:t xml:space="preserve"> </w:t>
      </w:r>
      <w:proofErr w:type="spellStart"/>
      <w:r w:rsidRPr="00E41CFD">
        <w:t>ng</w:t>
      </w:r>
      <w:proofErr w:type="spellEnd"/>
      <w:r w:rsidRPr="00E41CFD">
        <w:t xml:space="preserve"> TEQ/Nm</w:t>
      </w:r>
      <w:r w:rsidRPr="00E41CFD">
        <w:rPr>
          <w:vertAlign w:val="superscript"/>
        </w:rPr>
        <w:t>3</w:t>
      </w:r>
      <w:r w:rsidRPr="00E41CFD">
        <w:t xml:space="preserve"> (</w:t>
      </w:r>
      <w:proofErr w:type="spellStart"/>
      <w:r w:rsidRPr="00E41CFD">
        <w:t>Tagashira</w:t>
      </w:r>
      <w:proofErr w:type="spellEnd"/>
      <w:r w:rsidRPr="00E41CFD">
        <w:t xml:space="preserve"> et al., 2007).</w:t>
      </w:r>
      <w:r w:rsidRPr="00E41CFD">
        <w:rPr>
          <w:rFonts w:eastAsia="MS Mincho" w:hint="eastAsia"/>
          <w:lang w:eastAsia="ja-JP"/>
        </w:rPr>
        <w:t xml:space="preserve"> </w:t>
      </w:r>
    </w:p>
    <w:p w:rsidR="00644B24" w:rsidRPr="00E41CFD" w:rsidRDefault="00644B24" w:rsidP="00EF105B">
      <w:pPr>
        <w:pStyle w:val="Paralevel1"/>
        <w:tabs>
          <w:tab w:val="clear" w:pos="1843"/>
          <w:tab w:val="left" w:pos="1701"/>
        </w:tabs>
        <w:ind w:left="1134" w:firstLine="0"/>
        <w:rPr>
          <w:b/>
        </w:rPr>
      </w:pPr>
      <w:r w:rsidRPr="00E41CFD">
        <w:rPr>
          <w:i/>
        </w:rPr>
        <w:t xml:space="preserve">Release and control and post-treatment: </w:t>
      </w:r>
      <w:r w:rsidRPr="00E41CFD">
        <w:t xml:space="preserve">In Japan, as exhaust gas pollution control, </w:t>
      </w:r>
      <w:r>
        <w:t>two</w:t>
      </w:r>
      <w:r w:rsidRPr="00E41CFD">
        <w:t>-stage bag filter</w:t>
      </w:r>
      <w:r w:rsidR="009804E3">
        <w:t>s</w:t>
      </w:r>
      <w:r w:rsidRPr="00E41CFD">
        <w:t xml:space="preserve"> with lime and pulverized activated carbon injection remove dust, acid gas such as </w:t>
      </w:r>
      <w:proofErr w:type="spellStart"/>
      <w:r w:rsidRPr="00E41CFD">
        <w:t>HCl</w:t>
      </w:r>
      <w:proofErr w:type="spellEnd"/>
      <w:r w:rsidRPr="00E41CFD">
        <w:t xml:space="preserve"> and </w:t>
      </w:r>
      <w:proofErr w:type="spellStart"/>
      <w:r w:rsidRPr="00E41CFD">
        <w:t>SOx</w:t>
      </w:r>
      <w:proofErr w:type="spellEnd"/>
      <w:r w:rsidRPr="00E41CFD">
        <w:t xml:space="preserve"> and dioxins, </w:t>
      </w:r>
      <w:r w:rsidR="009804E3">
        <w:t xml:space="preserve">while </w:t>
      </w:r>
      <w:r w:rsidRPr="00E41CFD">
        <w:t>catalyst tower</w:t>
      </w:r>
      <w:r w:rsidR="009804E3">
        <w:t>s</w:t>
      </w:r>
      <w:r w:rsidRPr="00E41CFD">
        <w:t xml:space="preserve"> with NH</w:t>
      </w:r>
      <w:r w:rsidRPr="00E41CFD">
        <w:rPr>
          <w:vertAlign w:val="subscript"/>
        </w:rPr>
        <w:t>3</w:t>
      </w:r>
      <w:r w:rsidRPr="00E41CFD">
        <w:t xml:space="preserve"> gas injection remove </w:t>
      </w:r>
      <w:proofErr w:type="spellStart"/>
      <w:r w:rsidRPr="00E41CFD">
        <w:t>NOx</w:t>
      </w:r>
      <w:proofErr w:type="spellEnd"/>
      <w:r w:rsidRPr="00E41CFD">
        <w:t xml:space="preserve">. Activated carbon is installed </w:t>
      </w:r>
      <w:r w:rsidR="009804E3">
        <w:t xml:space="preserve">at the last stage </w:t>
      </w:r>
      <w:r w:rsidRPr="00E41CFD">
        <w:t>(</w:t>
      </w:r>
      <w:proofErr w:type="spellStart"/>
      <w:r w:rsidRPr="00E41CFD">
        <w:t>Tagashira</w:t>
      </w:r>
      <w:proofErr w:type="spellEnd"/>
      <w:r w:rsidRPr="00E41CFD">
        <w:t xml:space="preserve"> et al., 2006).</w:t>
      </w:r>
    </w:p>
    <w:p w:rsidR="00644B24" w:rsidRPr="00E41CFD" w:rsidRDefault="00644B24" w:rsidP="00EF105B">
      <w:pPr>
        <w:pStyle w:val="Paralevel1"/>
        <w:tabs>
          <w:tab w:val="clear" w:pos="1843"/>
          <w:tab w:val="left" w:pos="1701"/>
        </w:tabs>
        <w:ind w:left="1134" w:firstLine="0"/>
      </w:pPr>
      <w:r w:rsidRPr="00E41CFD">
        <w:rPr>
          <w:i/>
        </w:rPr>
        <w:t>Material requirements</w:t>
      </w:r>
      <w:r w:rsidRPr="00E41CFD">
        <w:t xml:space="preserve">: </w:t>
      </w:r>
      <w:r w:rsidR="00E945BF">
        <w:t>PMD</w:t>
      </w:r>
      <w:r w:rsidRPr="00E41CFD">
        <w:t xml:space="preserve"> </w:t>
      </w:r>
      <w:r>
        <w:t>is</w:t>
      </w:r>
      <w:r w:rsidRPr="00E41CFD">
        <w:t xml:space="preserve"> reported </w:t>
      </w:r>
      <w:r>
        <w:t xml:space="preserve">to require </w:t>
      </w:r>
      <w:r w:rsidRPr="00E41CFD">
        <w:t>lime and pulverized activated carbon supply</w:t>
      </w:r>
      <w:r>
        <w:t xml:space="preserve"> </w:t>
      </w:r>
      <w:r w:rsidRPr="00E41CFD">
        <w:t>(</w:t>
      </w:r>
      <w:proofErr w:type="spellStart"/>
      <w:r w:rsidRPr="00E41CFD">
        <w:t>Tagashira</w:t>
      </w:r>
      <w:proofErr w:type="spellEnd"/>
      <w:r w:rsidRPr="00E41CFD">
        <w:t xml:space="preserve"> et al., 2006). To improve molten slag fluidity</w:t>
      </w:r>
      <w:r w:rsidR="00E82C92">
        <w:t>,</w:t>
      </w:r>
      <w:r w:rsidRPr="00E41CFD">
        <w:t xml:space="preserve"> </w:t>
      </w:r>
      <w:proofErr w:type="spellStart"/>
      <w:r w:rsidRPr="00E41CFD">
        <w:t>basicity</w:t>
      </w:r>
      <w:proofErr w:type="spellEnd"/>
      <w:r w:rsidR="00F05D47">
        <w:t>-</w:t>
      </w:r>
      <w:r w:rsidRPr="00E41CFD">
        <w:t xml:space="preserve">controlling agents such as silica sand or limestone </w:t>
      </w:r>
      <w:r>
        <w:t>may</w:t>
      </w:r>
      <w:r w:rsidRPr="00E41CFD">
        <w:t xml:space="preserve"> also</w:t>
      </w:r>
      <w:r>
        <w:t xml:space="preserve"> be</w:t>
      </w:r>
      <w:r w:rsidRPr="00E41CFD">
        <w:t xml:space="preserve"> required.</w:t>
      </w:r>
      <w:r w:rsidR="00F05D47">
        <w:t xml:space="preserve"> </w:t>
      </w:r>
    </w:p>
    <w:p w:rsidR="00644B24" w:rsidRPr="00E41CFD" w:rsidRDefault="00644B24" w:rsidP="00EF105B">
      <w:pPr>
        <w:pStyle w:val="Paralevel1"/>
        <w:tabs>
          <w:tab w:val="clear" w:pos="1843"/>
          <w:tab w:val="left" w:pos="1701"/>
        </w:tabs>
        <w:ind w:left="1134" w:firstLine="0"/>
      </w:pPr>
      <w:r w:rsidRPr="00E41CFD">
        <w:rPr>
          <w:i/>
        </w:rPr>
        <w:t>Portability</w:t>
      </w:r>
      <w:r w:rsidRPr="00E41CFD">
        <w:t xml:space="preserve">: </w:t>
      </w:r>
      <w:r w:rsidR="00E945BF">
        <w:t xml:space="preserve">PMD </w:t>
      </w:r>
      <w:r w:rsidRPr="00E41CFD">
        <w:t>is available only in fixed units (JESCO</w:t>
      </w:r>
      <w:r>
        <w:t>,</w:t>
      </w:r>
      <w:r w:rsidRPr="00E41CFD">
        <w:t xml:space="preserve"> 2009</w:t>
      </w:r>
      <w:r w:rsidR="006C2198">
        <w:t>a</w:t>
      </w:r>
      <w:r w:rsidRPr="00E41CFD">
        <w:t>).</w:t>
      </w:r>
    </w:p>
    <w:p w:rsidR="00644B24" w:rsidRPr="00E41CFD" w:rsidRDefault="00644B24" w:rsidP="00EF105B">
      <w:pPr>
        <w:pStyle w:val="Paralevel1"/>
        <w:tabs>
          <w:tab w:val="clear" w:pos="1843"/>
          <w:tab w:val="left" w:pos="1701"/>
        </w:tabs>
        <w:ind w:left="1134" w:firstLine="0"/>
      </w:pPr>
      <w:r w:rsidRPr="00E41CFD">
        <w:rPr>
          <w:i/>
        </w:rPr>
        <w:t>Capacity</w:t>
      </w:r>
      <w:r w:rsidRPr="00E41CFD">
        <w:t xml:space="preserve">: In Japan, it has been demonstrated that the two JESCO </w:t>
      </w:r>
      <w:r w:rsidR="00C355C7">
        <w:t>p</w:t>
      </w:r>
      <w:r w:rsidRPr="00E41CFD">
        <w:t xml:space="preserve">lasma </w:t>
      </w:r>
      <w:r w:rsidR="00C355C7">
        <w:t>m</w:t>
      </w:r>
      <w:r w:rsidRPr="00E41CFD">
        <w:t xml:space="preserve">elting treatment facilities </w:t>
      </w:r>
      <w:r w:rsidR="00374A36">
        <w:t xml:space="preserve">operating there </w:t>
      </w:r>
      <w:r w:rsidRPr="00E41CFD">
        <w:t xml:space="preserve">are capable of treating </w:t>
      </w:r>
      <w:r w:rsidRPr="007F26AA">
        <w:t xml:space="preserve">10.4 </w:t>
      </w:r>
      <w:proofErr w:type="spellStart"/>
      <w:r w:rsidRPr="007F26AA">
        <w:t>ton</w:t>
      </w:r>
      <w:r w:rsidR="00A6576D">
        <w:t>ne</w:t>
      </w:r>
      <w:r w:rsidRPr="007F26AA">
        <w:t>s</w:t>
      </w:r>
      <w:proofErr w:type="spellEnd"/>
      <w:r w:rsidRPr="007F26AA">
        <w:t xml:space="preserve"> </w:t>
      </w:r>
      <w:r w:rsidR="00405DFE" w:rsidRPr="00405DFE">
        <w:t xml:space="preserve">and </w:t>
      </w:r>
      <w:r w:rsidRPr="007F26AA">
        <w:t xml:space="preserve">12.2 </w:t>
      </w:r>
      <w:proofErr w:type="spellStart"/>
      <w:r w:rsidRPr="007F26AA">
        <w:t>ton</w:t>
      </w:r>
      <w:r w:rsidR="00A6576D">
        <w:t>ne</w:t>
      </w:r>
      <w:r w:rsidRPr="007F26AA">
        <w:t>s</w:t>
      </w:r>
      <w:proofErr w:type="spellEnd"/>
      <w:r w:rsidRPr="007F26AA">
        <w:t xml:space="preserve"> of </w:t>
      </w:r>
      <w:r w:rsidR="00C355C7" w:rsidRPr="007F26AA">
        <w:t xml:space="preserve">PCB-containing </w:t>
      </w:r>
      <w:r w:rsidRPr="007F26AA">
        <w:t>waste per day</w:t>
      </w:r>
      <w:r w:rsidR="00374A36">
        <w:t>, respectively</w:t>
      </w:r>
      <w:r w:rsidRPr="00E41CFD">
        <w:t xml:space="preserve">  (JESCO</w:t>
      </w:r>
      <w:r>
        <w:t>,</w:t>
      </w:r>
      <w:r w:rsidRPr="00E41CFD">
        <w:t xml:space="preserve"> 2009</w:t>
      </w:r>
      <w:r w:rsidR="00347DDC">
        <w:t>a</w:t>
      </w:r>
      <w:r>
        <w:t>;</w:t>
      </w:r>
      <w:r w:rsidRPr="00E41CFD">
        <w:t xml:space="preserve"> JESCO</w:t>
      </w:r>
      <w:r>
        <w:t>,</w:t>
      </w:r>
      <w:r w:rsidRPr="00E41CFD">
        <w:t xml:space="preserve"> 2013). </w:t>
      </w:r>
    </w:p>
    <w:p w:rsidR="00644B24" w:rsidRPr="00E41CFD" w:rsidRDefault="00644B24" w:rsidP="00EF105B">
      <w:pPr>
        <w:pStyle w:val="Paralevel1"/>
        <w:tabs>
          <w:tab w:val="clear" w:pos="1843"/>
          <w:tab w:val="left" w:pos="1701"/>
        </w:tabs>
        <w:ind w:left="1134" w:firstLine="0"/>
        <w:rPr>
          <w:b/>
        </w:rPr>
      </w:pPr>
      <w:r w:rsidRPr="00E41CFD">
        <w:rPr>
          <w:i/>
        </w:rPr>
        <w:t>State of commercialization</w:t>
      </w:r>
      <w:r w:rsidRPr="00E41CFD">
        <w:t xml:space="preserve">: In Japan, the JESCO </w:t>
      </w:r>
      <w:r>
        <w:t>p</w:t>
      </w:r>
      <w:r w:rsidRPr="00E41CFD">
        <w:t xml:space="preserve">lasma </w:t>
      </w:r>
      <w:r>
        <w:t>m</w:t>
      </w:r>
      <w:r w:rsidRPr="00E41CFD">
        <w:t xml:space="preserve">elting treatment facility in Kitakyushu </w:t>
      </w:r>
      <w:r>
        <w:t>has used</w:t>
      </w:r>
      <w:r w:rsidRPr="00E41CFD">
        <w:t xml:space="preserve"> </w:t>
      </w:r>
      <w:r w:rsidR="00E945BF">
        <w:t>PMD</w:t>
      </w:r>
      <w:r w:rsidRPr="00E41CFD">
        <w:t xml:space="preserve"> </w:t>
      </w:r>
      <w:r>
        <w:t>t</w:t>
      </w:r>
      <w:r w:rsidRPr="00E41CFD">
        <w:t xml:space="preserve">echnology treatment of 10.4 </w:t>
      </w:r>
      <w:proofErr w:type="spellStart"/>
      <w:r w:rsidRPr="00E41CFD">
        <w:t>ton</w:t>
      </w:r>
      <w:r w:rsidR="00A6576D">
        <w:t>ne</w:t>
      </w:r>
      <w:r w:rsidRPr="00E41CFD">
        <w:t>s</w:t>
      </w:r>
      <w:proofErr w:type="spellEnd"/>
      <w:r w:rsidRPr="00E41CFD">
        <w:t xml:space="preserve"> of </w:t>
      </w:r>
      <w:r w:rsidR="00447627">
        <w:t xml:space="preserve">PCB </w:t>
      </w:r>
      <w:r w:rsidRPr="00E41CFD">
        <w:t xml:space="preserve">waste per day on </w:t>
      </w:r>
      <w:r>
        <w:t xml:space="preserve">a </w:t>
      </w:r>
      <w:r w:rsidRPr="00E41CFD">
        <w:t>commercial scale since July 2009 (JESCO</w:t>
      </w:r>
      <w:r>
        <w:t>,</w:t>
      </w:r>
      <w:r w:rsidRPr="00E41CFD">
        <w:t xml:space="preserve"> 2009</w:t>
      </w:r>
      <w:r w:rsidR="00347DDC">
        <w:t>a</w:t>
      </w:r>
      <w:r w:rsidRPr="00E41CFD">
        <w:t>)</w:t>
      </w:r>
      <w:r>
        <w:t>;</w:t>
      </w:r>
      <w:r w:rsidRPr="00E41CFD">
        <w:t xml:space="preserve"> the same type of facility in Hokkaido </w:t>
      </w:r>
      <w:r>
        <w:t xml:space="preserve">has </w:t>
      </w:r>
      <w:r w:rsidR="00447627">
        <w:t>the</w:t>
      </w:r>
      <w:r>
        <w:t xml:space="preserve"> </w:t>
      </w:r>
      <w:r w:rsidRPr="00E41CFD">
        <w:t xml:space="preserve">capacity </w:t>
      </w:r>
      <w:r w:rsidR="00447627">
        <w:t xml:space="preserve">to treat </w:t>
      </w:r>
      <w:r w:rsidRPr="00E41CFD">
        <w:t xml:space="preserve">12.2 </w:t>
      </w:r>
      <w:proofErr w:type="spellStart"/>
      <w:r w:rsidRPr="00E41CFD">
        <w:t>ton</w:t>
      </w:r>
      <w:r w:rsidR="00A6576D">
        <w:t>ne</w:t>
      </w:r>
      <w:r w:rsidRPr="00E41CFD">
        <w:t>s</w:t>
      </w:r>
      <w:proofErr w:type="spellEnd"/>
      <w:r w:rsidRPr="00E41CFD">
        <w:t xml:space="preserve"> of PCB waste per day </w:t>
      </w:r>
      <w:r>
        <w:t xml:space="preserve">and </w:t>
      </w:r>
      <w:r w:rsidR="00447627">
        <w:t>wa</w:t>
      </w:r>
      <w:r>
        <w:t xml:space="preserve">s expected </w:t>
      </w:r>
      <w:r w:rsidRPr="00E41CFD">
        <w:t xml:space="preserve">to commence commercial operations </w:t>
      </w:r>
      <w:r w:rsidR="00447627">
        <w:t xml:space="preserve">in </w:t>
      </w:r>
      <w:r>
        <w:t>the A</w:t>
      </w:r>
      <w:r w:rsidRPr="00E41CFD">
        <w:t>utumn of 2013</w:t>
      </w:r>
      <w:r w:rsidR="00447627">
        <w:t xml:space="preserve"> </w:t>
      </w:r>
      <w:r w:rsidRPr="00E41CFD">
        <w:t>(JESCO</w:t>
      </w:r>
      <w:r>
        <w:t>,</w:t>
      </w:r>
      <w:r w:rsidRPr="00E41CFD">
        <w:t xml:space="preserve"> 2013). </w:t>
      </w:r>
    </w:p>
    <w:p w:rsidR="00644B24" w:rsidRPr="00E41CFD" w:rsidRDefault="00644B24" w:rsidP="00EF105B">
      <w:pPr>
        <w:pStyle w:val="Paralevel1"/>
        <w:tabs>
          <w:tab w:val="clear" w:pos="1843"/>
          <w:tab w:val="left" w:pos="1701"/>
        </w:tabs>
        <w:ind w:left="1134" w:firstLine="0"/>
        <w:rPr>
          <w:b/>
        </w:rPr>
      </w:pPr>
      <w:r w:rsidRPr="00E41CFD">
        <w:rPr>
          <w:i/>
          <w:iCs/>
        </w:rPr>
        <w:t>Additional information</w:t>
      </w:r>
      <w:r w:rsidRPr="00E41CFD">
        <w:t xml:space="preserve">: </w:t>
      </w:r>
      <w:r>
        <w:t>See</w:t>
      </w:r>
      <w:r w:rsidRPr="00E41CFD">
        <w:t xml:space="preserve"> the following website </w:t>
      </w:r>
      <w:r>
        <w:t>for further information</w:t>
      </w:r>
      <w:r w:rsidRPr="00E41CFD">
        <w:t xml:space="preserve">: </w:t>
      </w:r>
      <w:r w:rsidR="00347DDC" w:rsidRPr="00A530A5">
        <w:t>http://www.jesconet.co.jp/eg/pdf/plasma.pdf</w:t>
      </w:r>
      <w:r w:rsidRPr="00E41CFD">
        <w:t>.</w:t>
      </w:r>
    </w:p>
    <w:p w:rsidR="005D256C" w:rsidRDefault="00415FE3">
      <w:pPr>
        <w:pStyle w:val="Heading4"/>
        <w:spacing w:before="240" w:after="120"/>
        <w:ind w:left="1134" w:hanging="510"/>
      </w:pPr>
      <w:bookmarkStart w:id="752" w:name="_Toc145395153"/>
      <w:bookmarkStart w:id="753" w:name="_Toc161804606"/>
      <w:bookmarkStart w:id="754" w:name="_Toc437340579"/>
      <w:r w:rsidRPr="007808CA">
        <w:rPr>
          <w:szCs w:val="20"/>
        </w:rPr>
        <w:t>(j</w:t>
      </w:r>
      <w:r w:rsidR="00890CDD" w:rsidRPr="007808CA">
        <w:rPr>
          <w:szCs w:val="20"/>
        </w:rPr>
        <w:t>)</w:t>
      </w:r>
      <w:r w:rsidR="00890CDD" w:rsidRPr="00E41CFD">
        <w:rPr>
          <w:szCs w:val="20"/>
        </w:rPr>
        <w:tab/>
        <w:t xml:space="preserve">Supercritical </w:t>
      </w:r>
      <w:r w:rsidR="00890CDD" w:rsidRPr="00E41CFD">
        <w:t>water</w:t>
      </w:r>
      <w:r w:rsidR="00890CDD" w:rsidRPr="00E41CFD">
        <w:rPr>
          <w:szCs w:val="20"/>
        </w:rPr>
        <w:t xml:space="preserve"> oxidation (SCWO) and subcritical water oxidation</w:t>
      </w:r>
      <w:bookmarkEnd w:id="751"/>
      <w:bookmarkEnd w:id="752"/>
      <w:bookmarkEnd w:id="753"/>
      <w:bookmarkEnd w:id="754"/>
      <w:r w:rsidR="0030027B" w:rsidRPr="0030027B">
        <w:rPr>
          <w:rStyle w:val="FootnoteReference"/>
          <w:b w:val="0"/>
          <w:bCs/>
        </w:rPr>
        <w:footnoteReference w:customMarkFollows="1" w:id="115"/>
        <w:t>115</w:t>
      </w:r>
    </w:p>
    <w:p w:rsidR="00890CDD" w:rsidRPr="00E41CFD" w:rsidRDefault="00890CDD" w:rsidP="00EF105B">
      <w:pPr>
        <w:pStyle w:val="Paralevel1"/>
        <w:tabs>
          <w:tab w:val="clear" w:pos="1843"/>
          <w:tab w:val="left" w:pos="1701"/>
        </w:tabs>
        <w:ind w:left="1134" w:firstLine="0"/>
      </w:pPr>
      <w:r w:rsidRPr="00E41CFD">
        <w:rPr>
          <w:i/>
          <w:iCs/>
        </w:rPr>
        <w:t>Process description</w:t>
      </w:r>
      <w:r w:rsidRPr="00E41CFD">
        <w:t>: SCWO and subcritical water oxidation treat wastes in an enclosed system using an oxidant (such as oxygen, hydrogen peroxide, nitrite, nitrate, etc.) in water at temperatures and pressures above the critical point of water (374°C and 218 atmospheres) and below subcritical conditions (370°C and 262 atmospheres). Under these conditions, organic materials become highly soluble in water and are oxidized to produce carbon dioxide, water and inorganic acids or salts.</w:t>
      </w:r>
    </w:p>
    <w:p w:rsidR="00890CDD" w:rsidRPr="00E41CFD" w:rsidRDefault="00890CDD" w:rsidP="00EF105B">
      <w:pPr>
        <w:pStyle w:val="Paralevel1"/>
        <w:tabs>
          <w:tab w:val="clear" w:pos="1843"/>
          <w:tab w:val="left" w:pos="1701"/>
        </w:tabs>
        <w:ind w:left="1134" w:firstLine="0"/>
      </w:pPr>
      <w:r w:rsidRPr="00E41CFD">
        <w:rPr>
          <w:i/>
          <w:iCs/>
        </w:rPr>
        <w:t>Efficiency</w:t>
      </w:r>
      <w:r w:rsidRPr="00E41CFD">
        <w:t xml:space="preserve">: DEs greater than 99.999 </w:t>
      </w:r>
      <w:r w:rsidR="002B4A6E">
        <w:t>per cent</w:t>
      </w:r>
      <w:r w:rsidRPr="00E41CFD">
        <w:t xml:space="preserve"> and DREs greater than 99.9999 </w:t>
      </w:r>
      <w:r w:rsidR="002B4A6E">
        <w:t>per cent</w:t>
      </w:r>
      <w:r>
        <w:t xml:space="preserve"> have been reported for</w:t>
      </w:r>
      <w:r w:rsidRPr="00E41CFD">
        <w:t xml:space="preserve"> chlordane</w:t>
      </w:r>
      <w:r>
        <w:t>, DDT</w:t>
      </w:r>
      <w:r w:rsidRPr="00E41CFD">
        <w:t xml:space="preserve"> and PCBs for SCWO (Ministry of the Environment of Japan, 2004). DEs greater than 99.999999 </w:t>
      </w:r>
      <w:r w:rsidR="006F3910">
        <w:t xml:space="preserve">per cent </w:t>
      </w:r>
      <w:r w:rsidRPr="00E41CFD">
        <w:t xml:space="preserve">and DREs of greater than 99.9999999 </w:t>
      </w:r>
      <w:r w:rsidR="002B4A6E">
        <w:t>per cent</w:t>
      </w:r>
      <w:r w:rsidRPr="00E41CFD">
        <w:t xml:space="preserve"> have been reported for subcritical water oxidation (Ministry of the Environment of Japan, 2004). DREs as high as 99.9999 </w:t>
      </w:r>
      <w:r w:rsidR="00A80017">
        <w:t>per cent</w:t>
      </w:r>
      <w:r w:rsidRPr="00E41CFD">
        <w:t xml:space="preserve"> have also been demonstrated for PCDDs in bench</w:t>
      </w:r>
      <w:r w:rsidRPr="00E41CFD">
        <w:noBreakHyphen/>
      </w:r>
      <w:proofErr w:type="spellStart"/>
      <w:r w:rsidRPr="00E41CFD">
        <w:t>scale</w:t>
      </w:r>
      <w:proofErr w:type="spellEnd"/>
      <w:r w:rsidRPr="00E41CFD">
        <w:t xml:space="preserve"> tests.</w:t>
      </w:r>
      <w:r w:rsidR="00CA3B2C">
        <w:rPr>
          <w:rStyle w:val="FootnoteReference"/>
        </w:rPr>
        <w:footnoteReference w:customMarkFollows="1" w:id="116"/>
        <w:t>116</w:t>
      </w:r>
      <w:r w:rsidRPr="00A21A6F">
        <w:t xml:space="preserve"> </w:t>
      </w:r>
      <w:r w:rsidRPr="00BB0F24">
        <w:t xml:space="preserve">SCWO has been shown </w:t>
      </w:r>
      <w:r w:rsidR="00A80017">
        <w:t xml:space="preserve">to be </w:t>
      </w:r>
      <w:r w:rsidRPr="00BB0F24">
        <w:t xml:space="preserve">effective in the treatment of toxic chlorinated chemicals such as </w:t>
      </w:r>
      <w:r w:rsidR="00A80017">
        <w:t>PCBs</w:t>
      </w:r>
      <w:r w:rsidRPr="00BB0F24">
        <w:t>, pesticide</w:t>
      </w:r>
      <w:r>
        <w:t>s</w:t>
      </w:r>
      <w:r w:rsidR="00E7056E">
        <w:t xml:space="preserve"> and </w:t>
      </w:r>
      <w:r>
        <w:t xml:space="preserve">flame retardants </w:t>
      </w:r>
      <w:r w:rsidRPr="00BB0F24">
        <w:t>(</w:t>
      </w:r>
      <w:proofErr w:type="spellStart"/>
      <w:r w:rsidRPr="00BB0F24">
        <w:t>Marrone</w:t>
      </w:r>
      <w:proofErr w:type="spellEnd"/>
      <w:r w:rsidR="00C7592D">
        <w:t xml:space="preserve"> and</w:t>
      </w:r>
      <w:r w:rsidR="00C7592D" w:rsidRPr="00BB0F24">
        <w:t xml:space="preserve"> </w:t>
      </w:r>
      <w:r w:rsidRPr="00BB0F24">
        <w:t>Hong, 2007)</w:t>
      </w:r>
      <w:r>
        <w:t xml:space="preserve">. Overall, SCWO usually </w:t>
      </w:r>
      <w:r w:rsidR="00E7056E">
        <w:t xml:space="preserve">has a DE greater than </w:t>
      </w:r>
      <w:r>
        <w:t>99.99</w:t>
      </w:r>
      <w:r w:rsidR="007121ED">
        <w:t xml:space="preserve"> </w:t>
      </w:r>
      <w:r w:rsidR="00E7056E">
        <w:t xml:space="preserve">per cent </w:t>
      </w:r>
      <w:r>
        <w:t xml:space="preserve">for </w:t>
      </w:r>
      <w:r w:rsidR="00E7056E">
        <w:t xml:space="preserve">a </w:t>
      </w:r>
      <w:r>
        <w:t>wide range of organic compounds (</w:t>
      </w:r>
      <w:proofErr w:type="spellStart"/>
      <w:r w:rsidRPr="000B6ED0">
        <w:t>Marrone</w:t>
      </w:r>
      <w:proofErr w:type="spellEnd"/>
      <w:r>
        <w:t xml:space="preserve"> and Hong, 2007).</w:t>
      </w:r>
      <w:r w:rsidR="009C4600">
        <w:t xml:space="preserve"> </w:t>
      </w:r>
    </w:p>
    <w:p w:rsidR="00890CDD" w:rsidRPr="00E41CFD" w:rsidRDefault="00890CDD" w:rsidP="00EF105B">
      <w:pPr>
        <w:pStyle w:val="Paralevel1"/>
        <w:tabs>
          <w:tab w:val="clear" w:pos="1843"/>
          <w:tab w:val="left" w:pos="1701"/>
        </w:tabs>
        <w:ind w:left="1134" w:firstLine="0"/>
      </w:pPr>
      <w:r w:rsidRPr="00E41CFD">
        <w:rPr>
          <w:i/>
          <w:iCs/>
        </w:rPr>
        <w:t>Waste types</w:t>
      </w:r>
      <w:r w:rsidRPr="00E41CFD">
        <w:t>: SCWO and subcritical water oxidation are thought to be applicable to all POPs (Japan Industrial Waste Management Foundation, 2005).</w:t>
      </w:r>
      <w:r w:rsidR="00CA3B2C">
        <w:rPr>
          <w:rStyle w:val="FootnoteReference"/>
        </w:rPr>
        <w:footnoteReference w:customMarkFollows="1" w:id="117"/>
        <w:t>117</w:t>
      </w:r>
      <w:r w:rsidRPr="00E41CFD">
        <w:t xml:space="preserve"> Applicable waste types include aqueous wastes, oils, solvents and solids with a diameter of </w:t>
      </w:r>
      <w:proofErr w:type="gramStart"/>
      <w:r w:rsidRPr="00E41CFD">
        <w:t>under</w:t>
      </w:r>
      <w:proofErr w:type="gramEnd"/>
      <w:r w:rsidRPr="00E41CFD">
        <w:t xml:space="preserve"> 200 µm. The organic content of the waste is limited to below 20 </w:t>
      </w:r>
      <w:r w:rsidR="00C91CF7">
        <w:t>per cent</w:t>
      </w:r>
      <w:r w:rsidR="00FA2AB8">
        <w:t xml:space="preserve"> </w:t>
      </w:r>
      <w:r w:rsidR="00FA2AB8" w:rsidRPr="0052530E">
        <w:t>by weight</w:t>
      </w:r>
      <w:r w:rsidRPr="00E41CFD">
        <w:t>.</w:t>
      </w:r>
      <w:r w:rsidR="00CA3B2C">
        <w:rPr>
          <w:rStyle w:val="FootnoteReference"/>
        </w:rPr>
        <w:footnoteReference w:customMarkFollows="1" w:id="118"/>
        <w:t>118</w:t>
      </w:r>
      <w:r w:rsidRPr="00E41CFD">
        <w:t xml:space="preserve"> </w:t>
      </w:r>
    </w:p>
    <w:p w:rsidR="00890CDD" w:rsidRPr="00E41CFD" w:rsidRDefault="00890CDD" w:rsidP="00EF105B">
      <w:pPr>
        <w:pStyle w:val="Paralevel1"/>
        <w:tabs>
          <w:tab w:val="clear" w:pos="1843"/>
          <w:tab w:val="left" w:pos="1701"/>
        </w:tabs>
        <w:ind w:left="1134" w:firstLine="0"/>
      </w:pPr>
      <w:r w:rsidRPr="00E41CFD">
        <w:rPr>
          <w:i/>
          <w:iCs/>
        </w:rPr>
        <w:t>Pre-treatment</w:t>
      </w:r>
      <w:r w:rsidRPr="00E41CFD">
        <w:t xml:space="preserve">: Concentrated wastes may have to be diluted prior to </w:t>
      </w:r>
      <w:r w:rsidR="00642E9B" w:rsidRPr="00C16091">
        <w:t>SCWO</w:t>
      </w:r>
      <w:r w:rsidR="00642E9B">
        <w:t xml:space="preserve"> </w:t>
      </w:r>
      <w:r w:rsidRPr="00E41CFD">
        <w:t>treatment in order to reduce the</w:t>
      </w:r>
      <w:r w:rsidR="00816BA6">
        <w:t>ir</w:t>
      </w:r>
      <w:r w:rsidRPr="00E41CFD">
        <w:t xml:space="preserve"> organic content to below 20 </w:t>
      </w:r>
      <w:r w:rsidR="00816BA6">
        <w:t xml:space="preserve">per cent </w:t>
      </w:r>
      <w:r w:rsidR="00816BA6" w:rsidRPr="001B5056">
        <w:t>by weight</w:t>
      </w:r>
      <w:r w:rsidR="0042289F">
        <w:t>.</w:t>
      </w:r>
      <w:r w:rsidRPr="00E41CFD">
        <w:t xml:space="preserve"> </w:t>
      </w:r>
      <w:r w:rsidRPr="001B5056">
        <w:t>If solids are present, they must be reduced to less than 200 µm in diameter. Other processing options include addition of fuel to low concentration wastes, co-processing of dilute and concentrated wastes</w:t>
      </w:r>
      <w:r w:rsidR="00A95305" w:rsidRPr="001B5056">
        <w:t xml:space="preserve"> and</w:t>
      </w:r>
      <w:r w:rsidRPr="001B5056">
        <w:t xml:space="preserve"> partial sludge dewatering</w:t>
      </w:r>
      <w:r w:rsidR="00A95305" w:rsidRPr="001B5056">
        <w:t>,</w:t>
      </w:r>
      <w:r w:rsidRPr="001B5056">
        <w:t xml:space="preserve"> </w:t>
      </w:r>
      <w:r w:rsidR="00A95305" w:rsidRPr="001B5056">
        <w:t xml:space="preserve">among </w:t>
      </w:r>
      <w:r w:rsidRPr="001B5056">
        <w:t>others</w:t>
      </w:r>
      <w:r>
        <w:t>.</w:t>
      </w:r>
      <w:r w:rsidR="00642E9B">
        <w:t xml:space="preserve"> </w:t>
      </w:r>
      <w:r w:rsidR="00405DFE" w:rsidRPr="00405DFE">
        <w:t>In the case of subcritical water oxidation, the dilution of wastes is not necessary.</w:t>
      </w:r>
      <w:r w:rsidR="0042289F" w:rsidRPr="00E41CFD">
        <w:t xml:space="preserve"> </w:t>
      </w:r>
    </w:p>
    <w:p w:rsidR="000E79E2" w:rsidRDefault="00890CDD" w:rsidP="00EF105B">
      <w:pPr>
        <w:pStyle w:val="Paralevel1"/>
        <w:tabs>
          <w:tab w:val="clear" w:pos="1843"/>
          <w:tab w:val="left" w:pos="1701"/>
        </w:tabs>
        <w:ind w:left="1134" w:firstLine="0"/>
      </w:pPr>
      <w:r w:rsidRPr="00E41CFD">
        <w:rPr>
          <w:i/>
          <w:iCs/>
        </w:rPr>
        <w:t>Emissions and residues</w:t>
      </w:r>
      <w:r w:rsidRPr="00E41CFD">
        <w:t xml:space="preserve">: </w:t>
      </w:r>
      <w:r w:rsidR="00E73E1C">
        <w:t xml:space="preserve">Typical operating conditions are usually well above the critical range of </w:t>
      </w:r>
      <w:r w:rsidR="00E73E1C" w:rsidRPr="00BB0F24">
        <w:t>500°C–650°C</w:t>
      </w:r>
      <w:r w:rsidR="00E73E1C">
        <w:t xml:space="preserve"> and 25 </w:t>
      </w:r>
      <w:proofErr w:type="spellStart"/>
      <w:r w:rsidR="00E73E1C">
        <w:t>MPa</w:t>
      </w:r>
      <w:proofErr w:type="spellEnd"/>
      <w:r w:rsidR="00E73E1C">
        <w:t xml:space="preserve"> </w:t>
      </w:r>
      <w:r w:rsidR="00E73E1C" w:rsidRPr="00BB0F24">
        <w:t xml:space="preserve">with reactor residence times </w:t>
      </w:r>
      <w:r w:rsidR="00086175" w:rsidRPr="001B5056">
        <w:t>of</w:t>
      </w:r>
      <w:r w:rsidR="00086175">
        <w:t xml:space="preserve"> </w:t>
      </w:r>
      <w:r w:rsidR="00E73E1C" w:rsidRPr="00BB0F24">
        <w:t xml:space="preserve">under one minute for complete destruction. Under these conditions, </w:t>
      </w:r>
      <w:r w:rsidR="00E73E1C">
        <w:t xml:space="preserve">PCDD/PCDF, </w:t>
      </w:r>
      <w:proofErr w:type="spellStart"/>
      <w:r w:rsidR="00E73E1C">
        <w:t>NOx</w:t>
      </w:r>
      <w:proofErr w:type="spellEnd"/>
      <w:r w:rsidR="00E73E1C">
        <w:t xml:space="preserve"> and other toxic </w:t>
      </w:r>
      <w:r w:rsidR="00E73E1C" w:rsidRPr="00BB0F24">
        <w:t>by-products are not formed in SCWO</w:t>
      </w:r>
      <w:r w:rsidR="00E73E1C">
        <w:t xml:space="preserve">. </w:t>
      </w:r>
      <w:r w:rsidRPr="00E41CFD">
        <w:t xml:space="preserve">During laboratory-scale PCB destruction, it was </w:t>
      </w:r>
      <w:r w:rsidR="004E7E7C">
        <w:t xml:space="preserve">has been </w:t>
      </w:r>
      <w:r w:rsidRPr="00E41CFD">
        <w:t xml:space="preserve">shown that </w:t>
      </w:r>
      <w:r w:rsidRPr="008D6A4B">
        <w:t>the</w:t>
      </w:r>
      <w:r w:rsidRPr="00E41CFD">
        <w:t xml:space="preserve"> SCWO technology has the potential to form high concentrations of PCDFs during PCB degradation even at temperatures </w:t>
      </w:r>
      <w:r w:rsidRPr="00C7592D">
        <w:t>of practical operation</w:t>
      </w:r>
      <w:r w:rsidR="00752994" w:rsidRPr="00C7592D" w:rsidDel="00752994">
        <w:t xml:space="preserve"> </w:t>
      </w:r>
      <w:r w:rsidRPr="00E41CFD">
        <w:t xml:space="preserve">(Weber, 2004). It has been reported that emissions contain no oxides of nitrogen or acid gases such as hydrogen chloride or oxides of </w:t>
      </w:r>
      <w:proofErr w:type="spellStart"/>
      <w:r w:rsidRPr="00E41CFD">
        <w:t>sulphur</w:t>
      </w:r>
      <w:proofErr w:type="spellEnd"/>
      <w:r w:rsidRPr="00E41CFD">
        <w:t xml:space="preserve"> and that process residues consist of water and solids if the waste contains inorganic salts or organic compounds with halogens, </w:t>
      </w:r>
      <w:proofErr w:type="spellStart"/>
      <w:r w:rsidRPr="00E41CFD">
        <w:t>sulphur</w:t>
      </w:r>
      <w:proofErr w:type="spellEnd"/>
      <w:r w:rsidRPr="00E41CFD">
        <w:t xml:space="preserve"> or phosphorus.</w:t>
      </w:r>
      <w:r w:rsidR="00CA3B2C">
        <w:rPr>
          <w:rStyle w:val="FootnoteReference"/>
        </w:rPr>
        <w:footnoteReference w:customMarkFollows="1" w:id="119"/>
        <w:t>119</w:t>
      </w:r>
      <w:r w:rsidRPr="00E41CFD">
        <w:t xml:space="preserve"> Limited information has been reported regarding potential concentrations of undestroyed chemicals.</w:t>
      </w:r>
      <w:r w:rsidR="00CA3B2C">
        <w:rPr>
          <w:rStyle w:val="FootnoteReference"/>
        </w:rPr>
        <w:footnoteReference w:customMarkFollows="1" w:id="120"/>
        <w:t>120</w:t>
      </w:r>
      <w:r w:rsidRPr="00E41CFD">
        <w:t xml:space="preserve"> The process is designed so that emissions and residues can be captured for reprocessing if needed.</w:t>
      </w:r>
      <w:r w:rsidR="00CA3B2C">
        <w:rPr>
          <w:rStyle w:val="FootnoteReference"/>
        </w:rPr>
        <w:footnoteReference w:customMarkFollows="1" w:id="121"/>
        <w:t>121</w:t>
      </w:r>
      <w:r w:rsidRPr="00A21A6F">
        <w:t xml:space="preserve"> </w:t>
      </w:r>
    </w:p>
    <w:p w:rsidR="00890CDD" w:rsidRPr="00E41CFD" w:rsidRDefault="00890CDD" w:rsidP="00EF105B">
      <w:pPr>
        <w:pStyle w:val="Paralevel1"/>
        <w:tabs>
          <w:tab w:val="clear" w:pos="1843"/>
          <w:tab w:val="left" w:pos="1701"/>
        </w:tabs>
        <w:ind w:left="1134" w:firstLine="0"/>
      </w:pPr>
      <w:r w:rsidRPr="00E41CFD">
        <w:rPr>
          <w:i/>
          <w:iCs/>
        </w:rPr>
        <w:t>Release control and post-treatment</w:t>
      </w:r>
      <w:r w:rsidRPr="00E41CFD">
        <w:t>: Currently, there is no specific information available regarding post-treatment requirements.</w:t>
      </w:r>
    </w:p>
    <w:p w:rsidR="00890CDD" w:rsidRPr="00E41CFD" w:rsidRDefault="00890CDD" w:rsidP="00EF105B">
      <w:pPr>
        <w:pStyle w:val="Paralevel1"/>
        <w:tabs>
          <w:tab w:val="clear" w:pos="1843"/>
          <w:tab w:val="left" w:pos="1701"/>
        </w:tabs>
        <w:ind w:left="1134" w:firstLine="0"/>
      </w:pPr>
      <w:r w:rsidRPr="00E41CFD">
        <w:rPr>
          <w:i/>
          <w:iCs/>
        </w:rPr>
        <w:t>Energy requirements</w:t>
      </w:r>
      <w:r w:rsidRPr="00E41CFD">
        <w:t>: Energy requirements are expected to be relatively high because of the combinations of high temperatures and pressures. It has been claimed, however, that as long as relatively high hydrocarbon content is present in the feed, no energy input is required to heat the feed to supercritical temperatures.</w:t>
      </w:r>
      <w:r w:rsidR="00CA3B2C">
        <w:rPr>
          <w:rStyle w:val="FootnoteReference"/>
        </w:rPr>
        <w:footnoteReference w:customMarkFollows="1" w:id="122"/>
        <w:t>122</w:t>
      </w:r>
      <w:r w:rsidRPr="00E41CFD">
        <w:rPr>
          <w:vertAlign w:val="superscript"/>
        </w:rPr>
        <w:t xml:space="preserve"> </w:t>
      </w:r>
    </w:p>
    <w:p w:rsidR="00890CDD" w:rsidRPr="00E41CFD" w:rsidRDefault="00890CDD" w:rsidP="00EF105B">
      <w:pPr>
        <w:pStyle w:val="Paralevel1"/>
        <w:tabs>
          <w:tab w:val="clear" w:pos="1843"/>
          <w:tab w:val="left" w:pos="1701"/>
        </w:tabs>
        <w:ind w:left="1134" w:firstLine="0"/>
      </w:pPr>
      <w:r w:rsidRPr="00E41CFD">
        <w:rPr>
          <w:i/>
          <w:iCs/>
        </w:rPr>
        <w:t>Material requirements</w:t>
      </w:r>
      <w:r w:rsidRPr="00E41CFD">
        <w:t>: SCWO and subcritical water oxidation reaction vesse</w:t>
      </w:r>
      <w:r w:rsidRPr="00F119C4">
        <w:t>l</w:t>
      </w:r>
      <w:r w:rsidR="009F5E2C" w:rsidRPr="00F119C4">
        <w:t>s</w:t>
      </w:r>
      <w:r w:rsidR="009F5E2C">
        <w:t xml:space="preserve"> </w:t>
      </w:r>
      <w:r w:rsidRPr="00E41CFD">
        <w:t>must be constructed of materials capable of resisting corrosion caused by halogen ions.</w:t>
      </w:r>
      <w:r w:rsidR="00CA3B2C">
        <w:rPr>
          <w:rStyle w:val="FootnoteReference"/>
        </w:rPr>
        <w:footnoteReference w:customMarkFollows="1" w:id="123"/>
        <w:t>123</w:t>
      </w:r>
      <w:r w:rsidRPr="00E41CFD">
        <w:t xml:space="preserve"> Material corrosion can be severe at the temperatures and pressures used in the SCWO and subcritical water oxidation process</w:t>
      </w:r>
      <w:r w:rsidR="00A66F26" w:rsidRPr="00C16091">
        <w:t>es</w:t>
      </w:r>
      <w:r w:rsidRPr="00E41CFD">
        <w:t>. In the past, the use of titanium alloys has been proposed to tackle this problem. Current vendors claim to have overcome this problem through the use of advanced materials and engineering designs.</w:t>
      </w:r>
      <w:r w:rsidR="00CA3B2C">
        <w:rPr>
          <w:rStyle w:val="FootnoteReference"/>
        </w:rPr>
        <w:footnoteReference w:customMarkFollows="1" w:id="124"/>
        <w:t>124</w:t>
      </w:r>
      <w:r w:rsidRPr="00E41CFD">
        <w:t xml:space="preserve"> </w:t>
      </w:r>
    </w:p>
    <w:p w:rsidR="00890CDD" w:rsidRPr="00E41CFD" w:rsidRDefault="00890CDD" w:rsidP="00EF105B">
      <w:pPr>
        <w:pStyle w:val="Paralevel1"/>
        <w:tabs>
          <w:tab w:val="clear" w:pos="1843"/>
          <w:tab w:val="left" w:pos="1701"/>
        </w:tabs>
        <w:ind w:left="1134" w:firstLine="0"/>
      </w:pPr>
      <w:r w:rsidRPr="00E41CFD">
        <w:rPr>
          <w:i/>
          <w:iCs/>
        </w:rPr>
        <w:t>Portability</w:t>
      </w:r>
      <w:r w:rsidRPr="00E41CFD">
        <w:t>: The SCWO and subcritical water oxidation units are currently used in fixed configuration</w:t>
      </w:r>
      <w:r w:rsidR="00813F9D">
        <w:t>s</w:t>
      </w:r>
      <w:r w:rsidRPr="00E41CFD">
        <w:t>, but are thought to be portable.</w:t>
      </w:r>
      <w:r w:rsidR="00CA3B2C">
        <w:rPr>
          <w:rStyle w:val="FootnoteReference"/>
        </w:rPr>
        <w:footnoteReference w:customMarkFollows="1" w:id="125"/>
        <w:t>125</w:t>
      </w:r>
    </w:p>
    <w:p w:rsidR="00890CDD" w:rsidRPr="00E41CFD" w:rsidRDefault="00890CDD" w:rsidP="00EF105B">
      <w:pPr>
        <w:pStyle w:val="Paralevel1"/>
        <w:tabs>
          <w:tab w:val="clear" w:pos="1843"/>
          <w:tab w:val="left" w:pos="1701"/>
        </w:tabs>
        <w:ind w:left="1134" w:firstLine="0"/>
      </w:pPr>
      <w:r w:rsidRPr="00E41CFD">
        <w:rPr>
          <w:i/>
          <w:iCs/>
        </w:rPr>
        <w:t>Hea</w:t>
      </w:r>
      <w:r w:rsidRPr="00C16091">
        <w:rPr>
          <w:i/>
          <w:iCs/>
        </w:rPr>
        <w:t>lth and safety</w:t>
      </w:r>
      <w:r w:rsidRPr="00C16091">
        <w:t xml:space="preserve">: The high temperatures and pressures used in </w:t>
      </w:r>
      <w:r w:rsidR="00813F9D" w:rsidRPr="00C16091">
        <w:t xml:space="preserve">SCWO and subcritical water oxidation </w:t>
      </w:r>
      <w:r w:rsidRPr="00C16091">
        <w:t>process</w:t>
      </w:r>
      <w:r w:rsidR="00813F9D" w:rsidRPr="00C16091">
        <w:t>es</w:t>
      </w:r>
      <w:r w:rsidRPr="00C16091">
        <w:t xml:space="preserve"> require special safety precautions.</w:t>
      </w:r>
      <w:r w:rsidR="00CA3B2C" w:rsidRPr="00CA3B2C">
        <w:rPr>
          <w:rStyle w:val="FootnoteReference"/>
          <w:bCs/>
          <w:iCs/>
        </w:rPr>
        <w:footnoteReference w:customMarkFollows="1" w:id="126"/>
        <w:t>126</w:t>
      </w:r>
      <w:r w:rsidR="00FF7276" w:rsidRPr="00CA3B2C">
        <w:rPr>
          <w:bCs/>
          <w:iCs/>
        </w:rPr>
        <w:t xml:space="preserve"> </w:t>
      </w:r>
    </w:p>
    <w:p w:rsidR="00890CDD" w:rsidRPr="00E41CFD" w:rsidRDefault="00890CDD" w:rsidP="00EF105B">
      <w:pPr>
        <w:pStyle w:val="Paralevel1"/>
        <w:tabs>
          <w:tab w:val="clear" w:pos="1843"/>
          <w:tab w:val="left" w:pos="1701"/>
        </w:tabs>
        <w:ind w:left="1134" w:firstLine="0"/>
      </w:pPr>
      <w:r w:rsidRPr="00E41CFD">
        <w:rPr>
          <w:i/>
          <w:iCs/>
        </w:rPr>
        <w:t>Capacity</w:t>
      </w:r>
      <w:r w:rsidRPr="00E41CFD">
        <w:t>: Current SCWO demonstration units are capable of treating 500 kg/h, while full-scale units will be designed to treat 2,700 kg/h.</w:t>
      </w:r>
      <w:r w:rsidR="00CA3B2C">
        <w:rPr>
          <w:rStyle w:val="FootnoteReference"/>
        </w:rPr>
        <w:footnoteReference w:customMarkFollows="1" w:id="127"/>
        <w:t>127</w:t>
      </w:r>
      <w:r w:rsidRPr="00E41CFD">
        <w:t xml:space="preserve"> </w:t>
      </w:r>
    </w:p>
    <w:p w:rsidR="00890CDD" w:rsidRPr="00E06893" w:rsidRDefault="00890CDD" w:rsidP="00EF105B">
      <w:pPr>
        <w:pStyle w:val="Paralevel1"/>
        <w:tabs>
          <w:tab w:val="clear" w:pos="1843"/>
          <w:tab w:val="left" w:pos="1701"/>
        </w:tabs>
        <w:ind w:left="1134" w:firstLine="0"/>
      </w:pPr>
      <w:r w:rsidRPr="00E06893">
        <w:rPr>
          <w:i/>
          <w:iCs/>
        </w:rPr>
        <w:t>Other practical issues</w:t>
      </w:r>
      <w:r w:rsidRPr="00E06893">
        <w:t>: Earlier designs were plagued by reliability, corrosion and plugging problems. Current vendors claim to have addressed these problems through the use of special reactor designs and corrosion-resistant materials.</w:t>
      </w:r>
      <w:r w:rsidR="00CF5F6B">
        <w:rPr>
          <w:rStyle w:val="FootnoteReference"/>
        </w:rPr>
        <w:footnoteReference w:customMarkFollows="1" w:id="128"/>
        <w:t>128</w:t>
      </w:r>
    </w:p>
    <w:p w:rsidR="00890CDD" w:rsidRPr="00E06893" w:rsidRDefault="00890CDD" w:rsidP="00EF105B">
      <w:pPr>
        <w:pStyle w:val="Paralevel1"/>
        <w:tabs>
          <w:tab w:val="clear" w:pos="1843"/>
          <w:tab w:val="left" w:pos="1701"/>
        </w:tabs>
        <w:ind w:left="1134" w:firstLine="0"/>
      </w:pPr>
      <w:r w:rsidRPr="00E06893">
        <w:rPr>
          <w:i/>
          <w:iCs/>
        </w:rPr>
        <w:t>State of commercialization</w:t>
      </w:r>
      <w:r w:rsidRPr="00E06893">
        <w:t xml:space="preserve">: A full-scale </w:t>
      </w:r>
      <w:r w:rsidR="00313342" w:rsidRPr="00C16091">
        <w:t>SWCO</w:t>
      </w:r>
      <w:r w:rsidR="00BF5431">
        <w:t xml:space="preserve"> </w:t>
      </w:r>
      <w:r w:rsidRPr="00E06893">
        <w:t xml:space="preserve">commercial plant </w:t>
      </w:r>
      <w:r w:rsidR="007121ED" w:rsidRPr="00E06893">
        <w:t xml:space="preserve">with </w:t>
      </w:r>
      <w:r w:rsidR="00313342">
        <w:t>the</w:t>
      </w:r>
      <w:r w:rsidR="00313342" w:rsidRPr="00E06893">
        <w:t xml:space="preserve"> </w:t>
      </w:r>
      <w:r w:rsidRPr="00E06893">
        <w:t xml:space="preserve">capacity </w:t>
      </w:r>
      <w:r w:rsidR="00313342">
        <w:t xml:space="preserve">to </w:t>
      </w:r>
      <w:r w:rsidR="00313342" w:rsidRPr="00C16091">
        <w:t xml:space="preserve">treat </w:t>
      </w:r>
      <w:r w:rsidRPr="00C16091">
        <w:t xml:space="preserve">2 </w:t>
      </w:r>
      <w:proofErr w:type="spellStart"/>
      <w:r w:rsidRPr="00C16091">
        <w:t>ton</w:t>
      </w:r>
      <w:r w:rsidR="00A6576D">
        <w:t>ne</w:t>
      </w:r>
      <w:r w:rsidRPr="00C16091">
        <w:t>s</w:t>
      </w:r>
      <w:proofErr w:type="spellEnd"/>
      <w:r w:rsidRPr="00C16091">
        <w:t xml:space="preserve"> </w:t>
      </w:r>
      <w:r w:rsidR="00313342" w:rsidRPr="00C16091">
        <w:t>of waste</w:t>
      </w:r>
      <w:r w:rsidR="00313342">
        <w:t xml:space="preserve"> </w:t>
      </w:r>
      <w:r w:rsidRPr="00E06893">
        <w:t>per day was installed in 2005 and is in operation in Japan</w:t>
      </w:r>
      <w:r w:rsidR="00730F58">
        <w:t xml:space="preserve"> (JESCO, 2009d)</w:t>
      </w:r>
      <w:r w:rsidRPr="00E06893">
        <w:t>. In addition, the SCWO process has been approved for full-scale development and use in the chemical</w:t>
      </w:r>
      <w:r w:rsidRPr="00E06893">
        <w:noBreakHyphen/>
      </w:r>
      <w:proofErr w:type="spellStart"/>
      <w:r w:rsidRPr="00E06893">
        <w:t>weapon</w:t>
      </w:r>
      <w:proofErr w:type="spellEnd"/>
      <w:r w:rsidRPr="00E06893">
        <w:t xml:space="preserve"> destruction </w:t>
      </w:r>
      <w:proofErr w:type="spellStart"/>
      <w:r w:rsidRPr="00E06893">
        <w:t>programme</w:t>
      </w:r>
      <w:proofErr w:type="spellEnd"/>
      <w:r w:rsidRPr="00E06893">
        <w:t xml:space="preserve"> of the United States.</w:t>
      </w:r>
      <w:r w:rsidR="00986796">
        <w:t xml:space="preserve"> </w:t>
      </w:r>
    </w:p>
    <w:p w:rsidR="005D256C" w:rsidRDefault="00890CDD">
      <w:pPr>
        <w:pStyle w:val="Heading4"/>
        <w:spacing w:before="240" w:after="120"/>
        <w:ind w:left="1134" w:hanging="510"/>
      </w:pPr>
      <w:bookmarkStart w:id="755" w:name="_Toc161804607"/>
      <w:bookmarkStart w:id="756" w:name="_Toc405988686"/>
      <w:bookmarkStart w:id="757" w:name="_Toc437340580"/>
      <w:bookmarkStart w:id="758" w:name="_Toc58997136"/>
      <w:bookmarkStart w:id="759" w:name="_Toc58999212"/>
      <w:bookmarkStart w:id="760" w:name="_Toc58999271"/>
      <w:bookmarkStart w:id="761" w:name="_Toc59943368"/>
      <w:bookmarkStart w:id="762" w:name="_Toc59943532"/>
      <w:bookmarkStart w:id="763" w:name="_Toc59943590"/>
      <w:bookmarkStart w:id="764" w:name="_Toc59943683"/>
      <w:bookmarkStart w:id="765" w:name="_Toc61328056"/>
      <w:bookmarkStart w:id="766" w:name="_Toc61681697"/>
      <w:bookmarkStart w:id="767" w:name="_Toc61681766"/>
      <w:bookmarkStart w:id="768" w:name="_Toc62220559"/>
      <w:bookmarkEnd w:id="715"/>
      <w:bookmarkEnd w:id="716"/>
      <w:bookmarkEnd w:id="748"/>
      <w:bookmarkEnd w:id="749"/>
      <w:r w:rsidRPr="00E41CFD">
        <w:rPr>
          <w:szCs w:val="20"/>
        </w:rPr>
        <w:t>(</w:t>
      </w:r>
      <w:r w:rsidR="00644B24">
        <w:rPr>
          <w:szCs w:val="20"/>
        </w:rPr>
        <w:t>k</w:t>
      </w:r>
      <w:r w:rsidRPr="00E41CFD">
        <w:rPr>
          <w:szCs w:val="20"/>
        </w:rPr>
        <w:t>)</w:t>
      </w:r>
      <w:r w:rsidRPr="00E41CFD">
        <w:rPr>
          <w:szCs w:val="20"/>
        </w:rPr>
        <w:tab/>
        <w:t>Thermal and metallurgical production of metals</w:t>
      </w:r>
      <w:bookmarkEnd w:id="755"/>
      <w:bookmarkEnd w:id="756"/>
      <w:bookmarkEnd w:id="757"/>
      <w:r w:rsidRPr="00E41CFD">
        <w:rPr>
          <w:szCs w:val="20"/>
        </w:rPr>
        <w:t xml:space="preserve"> </w:t>
      </w:r>
    </w:p>
    <w:p w:rsidR="00890CDD" w:rsidRPr="00E41CFD" w:rsidRDefault="00890CDD" w:rsidP="00EF105B">
      <w:pPr>
        <w:pStyle w:val="Paralevel1"/>
        <w:tabs>
          <w:tab w:val="clear" w:pos="1843"/>
          <w:tab w:val="left" w:pos="1701"/>
        </w:tabs>
        <w:ind w:left="1134" w:firstLine="0"/>
      </w:pPr>
      <w:r w:rsidRPr="00E41CFD">
        <w:rPr>
          <w:i/>
        </w:rPr>
        <w:t>Process description</w:t>
      </w:r>
      <w:r w:rsidRPr="00E41CFD">
        <w:t>: The processes described below are primarily designed for the recovery of iron and non-ferrous metals (NFM)</w:t>
      </w:r>
      <w:r w:rsidR="006147E3">
        <w:t>,</w:t>
      </w:r>
      <w:r w:rsidRPr="00E41CFD">
        <w:t xml:space="preserve"> e.g.</w:t>
      </w:r>
      <w:r w:rsidR="006147E3">
        <w:t>,</w:t>
      </w:r>
      <w:r w:rsidRPr="00E41CFD">
        <w:t xml:space="preserve"> </w:t>
      </w:r>
      <w:proofErr w:type="spellStart"/>
      <w:r w:rsidRPr="00E41CFD">
        <w:t>aluminium</w:t>
      </w:r>
      <w:proofErr w:type="spellEnd"/>
      <w:r w:rsidRPr="00E41CFD">
        <w:t xml:space="preserve">, zinc, </w:t>
      </w:r>
      <w:r w:rsidRPr="00FE3702">
        <w:t>lead</w:t>
      </w:r>
      <w:r w:rsidR="006147E3">
        <w:t>,</w:t>
      </w:r>
      <w:r w:rsidRPr="00FE3702">
        <w:t xml:space="preserve"> and nickel from ore concentrates as well as from secondary raw materials (intermediates, wastes</w:t>
      </w:r>
      <w:r w:rsidR="0027709C" w:rsidRPr="007036D7">
        <w:t xml:space="preserve">, </w:t>
      </w:r>
      <w:r w:rsidR="003A088C" w:rsidRPr="007036D7">
        <w:t>scrap</w:t>
      </w:r>
      <w:r w:rsidRPr="00936E1B">
        <w:t>). However, due to the</w:t>
      </w:r>
      <w:r w:rsidR="00286234">
        <w:t>ir</w:t>
      </w:r>
      <w:r w:rsidRPr="00936E1B">
        <w:t xml:space="preserve"> nature</w:t>
      </w:r>
      <w:r w:rsidR="00286234">
        <w:t>,</w:t>
      </w:r>
      <w:r w:rsidRPr="00936E1B">
        <w:t xml:space="preserve"> the processes are in some cases also used on a commercial basis for the destruction of the POP content of appropriate wastes (</w:t>
      </w:r>
      <w:r w:rsidR="00093BCE" w:rsidRPr="00093BCE">
        <w:t>see paragraph 298</w:t>
      </w:r>
      <w:r w:rsidRPr="00936E1B">
        <w:t>). A general description</w:t>
      </w:r>
      <w:r w:rsidRPr="00FE3702">
        <w:t xml:space="preserve"> of some of the following processes may also be found in the European BAT reference</w:t>
      </w:r>
      <w:r w:rsidRPr="00E41CFD">
        <w:t xml:space="preserve"> documents for </w:t>
      </w:r>
      <w:r w:rsidR="002E6F65">
        <w:t>NFM</w:t>
      </w:r>
      <w:r w:rsidRPr="00E41CFD">
        <w:t xml:space="preserve"> industries (</w:t>
      </w:r>
      <w:r w:rsidRPr="00E41CFD">
        <w:rPr>
          <w:lang w:val="en-GB"/>
        </w:rPr>
        <w:t xml:space="preserve">European Commission, 2001a </w:t>
      </w:r>
      <w:r w:rsidR="009921D8">
        <w:rPr>
          <w:lang w:val="en-GB"/>
        </w:rPr>
        <w:t>and</w:t>
      </w:r>
      <w:r w:rsidR="009921D8" w:rsidRPr="00E41CFD">
        <w:rPr>
          <w:lang w:val="en-GB"/>
        </w:rPr>
        <w:t xml:space="preserve"> </w:t>
      </w:r>
      <w:r w:rsidRPr="00E41CFD">
        <w:rPr>
          <w:lang w:val="en-GB"/>
        </w:rPr>
        <w:t>2001b)</w:t>
      </w:r>
      <w:r w:rsidRPr="00E41CFD">
        <w:t>:</w:t>
      </w:r>
    </w:p>
    <w:p w:rsidR="00890CDD" w:rsidRPr="00E41CFD" w:rsidRDefault="00890CDD" w:rsidP="0080213C">
      <w:pPr>
        <w:tabs>
          <w:tab w:val="clear" w:pos="1247"/>
          <w:tab w:val="clear" w:pos="1814"/>
          <w:tab w:val="clear" w:pos="2381"/>
          <w:tab w:val="left" w:pos="2268"/>
        </w:tabs>
        <w:spacing w:after="120"/>
        <w:ind w:left="1134" w:firstLine="567"/>
      </w:pPr>
      <w:r w:rsidRPr="00E41CFD">
        <w:t xml:space="preserve"> (a)</w:t>
      </w:r>
      <w:r w:rsidRPr="00E41CFD">
        <w:tab/>
        <w:t xml:space="preserve">Processes </w:t>
      </w:r>
      <w:r w:rsidR="00C7592D">
        <w:t>that</w:t>
      </w:r>
      <w:r w:rsidR="00C7592D" w:rsidRPr="00E41CFD">
        <w:t xml:space="preserve"> </w:t>
      </w:r>
      <w:r w:rsidRPr="00E41CFD">
        <w:t>are relevant for the destruction of the POP content in iron-containing wastes use certain types of blast furnace</w:t>
      </w:r>
      <w:r w:rsidR="00995E11">
        <w:t>s</w:t>
      </w:r>
      <w:r w:rsidRPr="00E41CFD">
        <w:t>, shaft furnace</w:t>
      </w:r>
      <w:r w:rsidR="00995E11">
        <w:t>s</w:t>
      </w:r>
      <w:r w:rsidRPr="00E41CFD">
        <w:t xml:space="preserve"> or hearth furnace</w:t>
      </w:r>
      <w:r w:rsidR="00995E11">
        <w:t>s</w:t>
      </w:r>
      <w:r w:rsidRPr="00E41CFD">
        <w:t xml:space="preserve">. All these processes operate under reducing atmospheres at high temperatures (1,200°C–1,450°C). The </w:t>
      </w:r>
      <w:r w:rsidR="001E2CEA" w:rsidRPr="00E41CFD">
        <w:t>reducing atmosphere</w:t>
      </w:r>
      <w:r w:rsidR="001E2CEA">
        <w:t>s</w:t>
      </w:r>
      <w:r w:rsidR="001E2CEA" w:rsidRPr="00E41CFD">
        <w:t xml:space="preserve"> </w:t>
      </w:r>
      <w:r w:rsidR="001E2CEA">
        <w:t xml:space="preserve">and </w:t>
      </w:r>
      <w:r w:rsidRPr="00E41CFD">
        <w:t>high temperature</w:t>
      </w:r>
      <w:r w:rsidR="001E2CEA">
        <w:t>s</w:t>
      </w:r>
      <w:r w:rsidRPr="00E41CFD">
        <w:t xml:space="preserve"> destroy PCDDs and PCDFs contained in the wastes and avoid de novo synthesis. The blast furnace and shaft furnace processes use coke and small amounts of other reducing agents to reduce the iron-containing input to cast iron. There are no direct emissions of process gas</w:t>
      </w:r>
      <w:r w:rsidR="001E2CEA">
        <w:t>,</w:t>
      </w:r>
      <w:r w:rsidRPr="00E41CFD">
        <w:t xml:space="preserve"> as </w:t>
      </w:r>
      <w:r w:rsidR="001E2CEA">
        <w:t xml:space="preserve">gas </w:t>
      </w:r>
      <w:r w:rsidRPr="00E41CFD">
        <w:t>is used as a secondary fuel. In the hearth furnace process, the iron-containing material is charged to a multi-hearth furnace together with coal. The iron oxide is directly reduced to solid direct reduced iron (DRI). In a second step</w:t>
      </w:r>
      <w:r w:rsidR="001E2CEA">
        <w:t>,</w:t>
      </w:r>
      <w:r w:rsidRPr="00E41CFD">
        <w:t xml:space="preserve"> the reduced iron is melted in an electric arc furnace to produce cast iron</w:t>
      </w:r>
      <w:r w:rsidR="001E2CEA">
        <w:t>.</w:t>
      </w:r>
      <w:r w:rsidR="00B912F0">
        <w:t xml:space="preserve"> </w:t>
      </w:r>
    </w:p>
    <w:p w:rsidR="00890CDD" w:rsidRPr="00E41CFD" w:rsidRDefault="00890CDD" w:rsidP="0080213C">
      <w:pPr>
        <w:tabs>
          <w:tab w:val="clear" w:pos="1247"/>
          <w:tab w:val="clear" w:pos="1814"/>
          <w:tab w:val="clear" w:pos="2381"/>
          <w:tab w:val="left" w:pos="2268"/>
        </w:tabs>
        <w:spacing w:after="120"/>
        <w:ind w:left="1134" w:firstLine="567"/>
      </w:pPr>
      <w:r w:rsidRPr="00E41CFD">
        <w:t>(b)</w:t>
      </w:r>
      <w:r w:rsidRPr="00E41CFD">
        <w:tab/>
        <w:t xml:space="preserve">Processes </w:t>
      </w:r>
      <w:r w:rsidR="00EE09A7">
        <w:t xml:space="preserve">that </w:t>
      </w:r>
      <w:r w:rsidRPr="00E41CFD">
        <w:t xml:space="preserve">are relevant for the destruction of the POP content in wastes containing NFMs are the </w:t>
      </w:r>
      <w:proofErr w:type="spellStart"/>
      <w:r w:rsidRPr="00E41CFD">
        <w:t>Waelz</w:t>
      </w:r>
      <w:proofErr w:type="spellEnd"/>
      <w:r w:rsidRPr="00E41CFD">
        <w:t xml:space="preserve"> rotary kiln process and bath melting processes using vertical or horizontal furnaces. These processes are reductive, reach temperatures of 1,200°C and use rapid quenching</w:t>
      </w:r>
      <w:r w:rsidR="008342BF">
        <w:t>,</w:t>
      </w:r>
      <w:r w:rsidRPr="00E41CFD">
        <w:t xml:space="preserve"> </w:t>
      </w:r>
      <w:r w:rsidR="008342BF">
        <w:t xml:space="preserve">so </w:t>
      </w:r>
      <w:r w:rsidRPr="00E41CFD">
        <w:t xml:space="preserve">PCDDs and PCDFs are destroyed and de novo synthesis is avoided. In the </w:t>
      </w:r>
      <w:proofErr w:type="spellStart"/>
      <w:r w:rsidRPr="00E41CFD">
        <w:t>Waelz</w:t>
      </w:r>
      <w:proofErr w:type="spellEnd"/>
      <w:r w:rsidRPr="00E41CFD">
        <w:t xml:space="preserve"> process</w:t>
      </w:r>
      <w:r w:rsidR="008342BF">
        <w:t>,</w:t>
      </w:r>
      <w:r w:rsidRPr="00E41CFD">
        <w:t xml:space="preserve"> zinc</w:t>
      </w:r>
      <w:r w:rsidRPr="00E41CFD">
        <w:noBreakHyphen/>
      </w:r>
      <w:proofErr w:type="spellStart"/>
      <w:r w:rsidRPr="00E41CFD">
        <w:t>containing</w:t>
      </w:r>
      <w:proofErr w:type="spellEnd"/>
      <w:r w:rsidRPr="00E41CFD">
        <w:t xml:space="preserve"> steel mill dusts, </w:t>
      </w:r>
      <w:proofErr w:type="spellStart"/>
      <w:r w:rsidRPr="00E41CFD">
        <w:t>sludges</w:t>
      </w:r>
      <w:proofErr w:type="spellEnd"/>
      <w:r w:rsidRPr="00E41CFD">
        <w:t xml:space="preserve">, filter cakes, etc. are pelletized and smelted together with a </w:t>
      </w:r>
      <w:proofErr w:type="spellStart"/>
      <w:r w:rsidRPr="00E41CFD">
        <w:t>reductant</w:t>
      </w:r>
      <w:proofErr w:type="spellEnd"/>
      <w:r w:rsidRPr="00E41CFD">
        <w:t xml:space="preserve">. At </w:t>
      </w:r>
      <w:r w:rsidR="00EC1627">
        <w:t xml:space="preserve">a </w:t>
      </w:r>
      <w:r w:rsidRPr="00E41CFD">
        <w:t>temperature of 1,200°C, the zinc volatizes and is oxidized to “</w:t>
      </w:r>
      <w:proofErr w:type="spellStart"/>
      <w:r w:rsidRPr="00E41CFD">
        <w:t>Waelz</w:t>
      </w:r>
      <w:proofErr w:type="spellEnd"/>
      <w:r w:rsidRPr="00E41CFD">
        <w:t xml:space="preserve"> Oxide”, which is collected in a filter unit. In the vertical bath furnace process, copper-containing residues are used as a catalyst and smelted at temperatures of at least 1,200</w:t>
      </w:r>
      <w:r w:rsidR="009D56A3">
        <w:t>°C</w:t>
      </w:r>
      <w:r w:rsidRPr="00E41CFD">
        <w:t xml:space="preserve">. The filter dust is used for the production of zinc and zinc compounds. In the horizontal bath furnace process, lead-containing residues and ore concentrates are charged continuously into a smelting bath which has an oxidizing </w:t>
      </w:r>
      <w:r w:rsidR="00141D2A">
        <w:t xml:space="preserve">zone </w:t>
      </w:r>
      <w:r w:rsidRPr="00E41CFD">
        <w:t xml:space="preserve">and a reducing zone with temperatures </w:t>
      </w:r>
      <w:r w:rsidR="00EC1627">
        <w:t xml:space="preserve">of </w:t>
      </w:r>
      <w:r w:rsidRPr="00E41CFD">
        <w:t>between 1,000</w:t>
      </w:r>
      <w:r w:rsidR="009D56A3">
        <w:t>°C</w:t>
      </w:r>
      <w:r w:rsidR="009D56A3" w:rsidRPr="00E41CFD" w:rsidDel="009D56A3">
        <w:t xml:space="preserve"> </w:t>
      </w:r>
      <w:r w:rsidRPr="00E41CFD">
        <w:t>and 1,200</w:t>
      </w:r>
      <w:r w:rsidR="009D56A3">
        <w:t>°C</w:t>
      </w:r>
      <w:r w:rsidRPr="00E41CFD">
        <w:t xml:space="preserve">. The process gas (sulphur dioxide concentration above 10 </w:t>
      </w:r>
      <w:r w:rsidR="00141D2A">
        <w:t>per cent</w:t>
      </w:r>
      <w:r w:rsidRPr="00E41CFD">
        <w:t xml:space="preserve">) is used for sulphuric acid production after heat recovery and de-dusting. The dust from the process is recycled after cadmium leaching. </w:t>
      </w:r>
    </w:p>
    <w:p w:rsidR="00670611" w:rsidRPr="00670611" w:rsidRDefault="00670611" w:rsidP="00EF105B">
      <w:pPr>
        <w:pStyle w:val="Paralevel1"/>
        <w:tabs>
          <w:tab w:val="clear" w:pos="1843"/>
          <w:tab w:val="left" w:pos="1701"/>
        </w:tabs>
        <w:ind w:left="1134" w:firstLine="0"/>
        <w:rPr>
          <w:i/>
        </w:rPr>
      </w:pPr>
      <w:r w:rsidRPr="00670611">
        <w:t xml:space="preserve">The guidance on BAT/BEP developed by the Stockholm Convention relevant to Article 5 and Annex C </w:t>
      </w:r>
      <w:r>
        <w:t xml:space="preserve">for </w:t>
      </w:r>
      <w:r w:rsidR="002F1AAE">
        <w:t>thermal process</w:t>
      </w:r>
      <w:r w:rsidR="00911754">
        <w:t>es</w:t>
      </w:r>
      <w:r w:rsidR="002F1AAE">
        <w:t xml:space="preserve"> in the metallurgical industry </w:t>
      </w:r>
      <w:r w:rsidRPr="00670611">
        <w:t>should be used and applied to this technology (</w:t>
      </w:r>
      <w:r w:rsidR="00610A78">
        <w:t xml:space="preserve">UNEP, 2007.) </w:t>
      </w:r>
    </w:p>
    <w:p w:rsidR="00890CDD" w:rsidRPr="00E41CFD" w:rsidRDefault="00890CDD" w:rsidP="00EF105B">
      <w:pPr>
        <w:pStyle w:val="Paralevel1"/>
        <w:tabs>
          <w:tab w:val="clear" w:pos="1843"/>
          <w:tab w:val="left" w:pos="1701"/>
        </w:tabs>
        <w:ind w:left="1134" w:firstLine="0"/>
      </w:pPr>
      <w:r w:rsidRPr="00E41CFD">
        <w:rPr>
          <w:i/>
        </w:rPr>
        <w:t>Efficiency:</w:t>
      </w:r>
      <w:r w:rsidRPr="00E41CFD">
        <w:t xml:space="preserve"> </w:t>
      </w:r>
      <w:r w:rsidRPr="00892ED8">
        <w:t>Data on DE or DRE are not available</w:t>
      </w:r>
      <w:r w:rsidRPr="00E41CFD">
        <w:t xml:space="preserve">. </w:t>
      </w:r>
    </w:p>
    <w:p w:rsidR="00890CDD" w:rsidRPr="00E41CFD" w:rsidRDefault="00890CDD" w:rsidP="00EF105B">
      <w:pPr>
        <w:pStyle w:val="Paralevel1"/>
        <w:tabs>
          <w:tab w:val="clear" w:pos="1843"/>
          <w:tab w:val="left" w:pos="1701"/>
        </w:tabs>
        <w:ind w:left="1134" w:firstLine="0"/>
      </w:pPr>
      <w:r w:rsidRPr="00E41CFD">
        <w:rPr>
          <w:i/>
        </w:rPr>
        <w:t>Waste types:</w:t>
      </w:r>
      <w:r w:rsidRPr="00E41CFD">
        <w:t xml:space="preserve"> The processes described in </w:t>
      </w:r>
      <w:r w:rsidR="00093BCE" w:rsidRPr="00093BCE">
        <w:t>paragraph 295</w:t>
      </w:r>
      <w:r w:rsidRPr="00E41CFD">
        <w:t xml:space="preserve"> above are specific to the treatment of the following wastes:</w:t>
      </w:r>
    </w:p>
    <w:p w:rsidR="00890CDD" w:rsidRPr="00E41CFD" w:rsidRDefault="00890CDD" w:rsidP="0080213C">
      <w:pPr>
        <w:tabs>
          <w:tab w:val="clear" w:pos="1247"/>
          <w:tab w:val="clear" w:pos="1814"/>
          <w:tab w:val="clear" w:pos="2381"/>
          <w:tab w:val="left" w:pos="2268"/>
        </w:tabs>
        <w:spacing w:after="120"/>
        <w:ind w:left="1134" w:firstLine="567"/>
      </w:pPr>
      <w:r w:rsidRPr="00E41CFD">
        <w:t>(a)</w:t>
      </w:r>
      <w:r w:rsidRPr="00E41CFD">
        <w:tab/>
        <w:t xml:space="preserve">Residues from iron- and steel-making processes such as dusts or </w:t>
      </w:r>
      <w:proofErr w:type="spellStart"/>
      <w:r w:rsidRPr="00E41CFD">
        <w:t>sludges</w:t>
      </w:r>
      <w:proofErr w:type="spellEnd"/>
      <w:r w:rsidRPr="00E41CFD">
        <w:t xml:space="preserve"> from gas treatment or mill scale that may be contaminated with PCDDs and PCDFs;</w:t>
      </w:r>
    </w:p>
    <w:p w:rsidR="00890CDD" w:rsidRPr="00E41CFD" w:rsidRDefault="00890CDD" w:rsidP="0080213C">
      <w:pPr>
        <w:tabs>
          <w:tab w:val="clear" w:pos="1247"/>
          <w:tab w:val="clear" w:pos="1814"/>
          <w:tab w:val="clear" w:pos="2381"/>
          <w:tab w:val="left" w:pos="2268"/>
        </w:tabs>
        <w:spacing w:after="120"/>
        <w:ind w:left="1134" w:firstLine="567"/>
      </w:pPr>
      <w:r w:rsidRPr="00E41CFD">
        <w:t>(b)</w:t>
      </w:r>
      <w:r w:rsidRPr="00E41CFD">
        <w:tab/>
        <w:t>Zinc-containing filter dusts from steelworks, dusts from gas cleaning systems of copper smelters</w:t>
      </w:r>
      <w:r w:rsidR="00067F55" w:rsidRPr="00BE016F">
        <w:t>,</w:t>
      </w:r>
      <w:r w:rsidRPr="00BE016F">
        <w:t xml:space="preserve"> etc.</w:t>
      </w:r>
      <w:r w:rsidR="00067F55" w:rsidRPr="00BE016F">
        <w:t>,</w:t>
      </w:r>
      <w:r w:rsidRPr="00E41CFD">
        <w:t xml:space="preserve"> and lead-containing leaching residues of NMF production that may be contaminated with PCDDs and PCDFs;</w:t>
      </w:r>
      <w:r w:rsidR="00D31207">
        <w:t xml:space="preserve"> and</w:t>
      </w:r>
    </w:p>
    <w:p w:rsidR="00890CDD" w:rsidRPr="00E41CFD" w:rsidRDefault="00890CDD" w:rsidP="0080213C">
      <w:pPr>
        <w:tabs>
          <w:tab w:val="clear" w:pos="1247"/>
          <w:tab w:val="clear" w:pos="1814"/>
          <w:tab w:val="clear" w:pos="2381"/>
          <w:tab w:val="left" w:pos="2268"/>
        </w:tabs>
        <w:spacing w:after="120"/>
        <w:ind w:left="1134" w:firstLine="567"/>
      </w:pPr>
      <w:r w:rsidRPr="00E41CFD">
        <w:t>(c)</w:t>
      </w:r>
      <w:r w:rsidRPr="00E41CFD">
        <w:tab/>
        <w:t>Waste</w:t>
      </w:r>
      <w:r w:rsidRPr="00E41CFD">
        <w:rPr>
          <w:lang w:val="en-US"/>
        </w:rPr>
        <w:t xml:space="preserve"> electrical and electronic equipment</w:t>
      </w:r>
      <w:r w:rsidRPr="00E41CFD" w:rsidDel="00371826">
        <w:t xml:space="preserve"> </w:t>
      </w:r>
      <w:r w:rsidRPr="00E41CFD">
        <w:t xml:space="preserve">containing </w:t>
      </w:r>
      <w:r w:rsidR="00986796">
        <w:t>POP-</w:t>
      </w:r>
      <w:r w:rsidRPr="00E41CFD">
        <w:t>BDEs (</w:t>
      </w:r>
      <w:proofErr w:type="spellStart"/>
      <w:r w:rsidRPr="00E41CFD">
        <w:t>Brusselaers</w:t>
      </w:r>
      <w:proofErr w:type="spellEnd"/>
      <w:r w:rsidRPr="00E41CFD">
        <w:t xml:space="preserve"> </w:t>
      </w:r>
      <w:r w:rsidR="00743810">
        <w:t>et</w:t>
      </w:r>
      <w:r w:rsidRPr="00E41CFD">
        <w:t xml:space="preserve"> al, 2006).</w:t>
      </w:r>
    </w:p>
    <w:p w:rsidR="00890CDD" w:rsidRPr="00A6576D" w:rsidRDefault="00890CDD" w:rsidP="00EF105B">
      <w:pPr>
        <w:pStyle w:val="Paralevel1"/>
        <w:tabs>
          <w:tab w:val="clear" w:pos="1843"/>
          <w:tab w:val="left" w:pos="1701"/>
        </w:tabs>
        <w:ind w:left="1134" w:firstLine="0"/>
      </w:pPr>
      <w:r w:rsidRPr="00E41CFD">
        <w:rPr>
          <w:i/>
        </w:rPr>
        <w:t xml:space="preserve"> Pre-treatment: </w:t>
      </w:r>
      <w:r w:rsidRPr="00E41CFD">
        <w:t>Iron-containing materials recycled by the conventional blast furnace process require pre-treatment in an agglomeration plant. For the shaft furnace (“</w:t>
      </w:r>
      <w:proofErr w:type="spellStart"/>
      <w:r w:rsidRPr="00E41CFD">
        <w:t>Oxycup</w:t>
      </w:r>
      <w:proofErr w:type="spellEnd"/>
      <w:r w:rsidRPr="00E41CFD">
        <w:t xml:space="preserve">” furnace) </w:t>
      </w:r>
      <w:r w:rsidRPr="00A6576D">
        <w:t xml:space="preserve">process the iron-containing waste is briquetted. </w:t>
      </w:r>
      <w:r w:rsidR="0062117B" w:rsidRPr="00A6576D">
        <w:t xml:space="preserve">Briquetting </w:t>
      </w:r>
      <w:r w:rsidRPr="00A6576D">
        <w:t xml:space="preserve">is a cold process in which a binder and water </w:t>
      </w:r>
      <w:r w:rsidR="00995E11" w:rsidRPr="00A6576D">
        <w:t>are</w:t>
      </w:r>
      <w:r w:rsidRPr="00A6576D">
        <w:t xml:space="preserve"> added to the fines, which are then pressed to briquettes, dried and hardened. Generally no pre-treatment is necessary for the multi-hearth furnace process, although in some special cases the fine solids may have to be pelletized. </w:t>
      </w:r>
      <w:r w:rsidR="0062117B" w:rsidRPr="00A6576D">
        <w:t>Pell</w:t>
      </w:r>
      <w:r w:rsidR="002B740A" w:rsidRPr="00A6576D">
        <w:t>e</w:t>
      </w:r>
      <w:r w:rsidR="0062117B" w:rsidRPr="00A6576D">
        <w:t>tiz</w:t>
      </w:r>
      <w:r w:rsidR="002B740A" w:rsidRPr="00A6576D">
        <w:t>ing</w:t>
      </w:r>
      <w:r w:rsidR="0062117B" w:rsidRPr="00A6576D">
        <w:t xml:space="preserve"> </w:t>
      </w:r>
      <w:r w:rsidRPr="00A6576D">
        <w:t xml:space="preserve">involves the addition of water and the formation of pellets in a drum. Special </w:t>
      </w:r>
      <w:proofErr w:type="spellStart"/>
      <w:r w:rsidRPr="00A6576D">
        <w:t>pre</w:t>
      </w:r>
      <w:proofErr w:type="spellEnd"/>
      <w:r w:rsidRPr="00A6576D">
        <w:noBreakHyphen/>
      </w:r>
      <w:proofErr w:type="spellStart"/>
      <w:r w:rsidRPr="00A6576D">
        <w:t>treatment</w:t>
      </w:r>
      <w:proofErr w:type="spellEnd"/>
      <w:r w:rsidRPr="00A6576D">
        <w:t xml:space="preserve"> of materials contaminated with POPs is not usually necessary for NFMs.</w:t>
      </w:r>
    </w:p>
    <w:p w:rsidR="00890CDD" w:rsidRPr="00E41CFD" w:rsidRDefault="00890CDD" w:rsidP="00EF105B">
      <w:pPr>
        <w:pStyle w:val="Paralevel1"/>
        <w:tabs>
          <w:tab w:val="clear" w:pos="1843"/>
          <w:tab w:val="left" w:pos="1701"/>
        </w:tabs>
        <w:ind w:left="1134" w:firstLine="0"/>
      </w:pPr>
      <w:r w:rsidRPr="00A6576D">
        <w:rPr>
          <w:i/>
        </w:rPr>
        <w:t xml:space="preserve">Emissions and residues: </w:t>
      </w:r>
      <w:r w:rsidRPr="00A6576D">
        <w:t>In iron and NFM production</w:t>
      </w:r>
      <w:r w:rsidR="00FE6CB1" w:rsidRPr="00A6576D">
        <w:t>,</w:t>
      </w:r>
      <w:r w:rsidRPr="00A6576D">
        <w:t xml:space="preserve"> PCDDs and PCDFs may be </w:t>
      </w:r>
      <w:r w:rsidR="00CD08E7" w:rsidRPr="00A6576D">
        <w:t xml:space="preserve">emitted during </w:t>
      </w:r>
      <w:r w:rsidRPr="00A6576D">
        <w:t xml:space="preserve">the process </w:t>
      </w:r>
      <w:r w:rsidR="00CD08E7" w:rsidRPr="00A6576D">
        <w:t xml:space="preserve">itself </w:t>
      </w:r>
      <w:r w:rsidRPr="00A6576D">
        <w:t>or downstream in the flue gas treatment system. Application of BAT should, however, prevent or at least minimize such emissions. Whe</w:t>
      </w:r>
      <w:r w:rsidR="00D77919" w:rsidRPr="00A6576D">
        <w:t>n</w:t>
      </w:r>
      <w:r w:rsidRPr="00A6576D">
        <w:t xml:space="preserve"> the processes described in </w:t>
      </w:r>
      <w:r w:rsidR="00093BCE" w:rsidRPr="00093BCE">
        <w:t>paragraph 295</w:t>
      </w:r>
      <w:r w:rsidR="002B6D22" w:rsidRPr="00A6576D">
        <w:t xml:space="preserve"> </w:t>
      </w:r>
      <w:r w:rsidRPr="00A6576D">
        <w:t>above are used for the destruction of POP content in wastes</w:t>
      </w:r>
      <w:r w:rsidR="00D77919" w:rsidRPr="00A6576D">
        <w:t>,</w:t>
      </w:r>
      <w:r w:rsidRPr="00A6576D">
        <w:t xml:space="preserve"> appropriate release control and post-treatment techniques are required (see </w:t>
      </w:r>
      <w:r w:rsidR="00093BCE" w:rsidRPr="00093BCE">
        <w:t>paragraph 301</w:t>
      </w:r>
      <w:r w:rsidR="002B6D22" w:rsidRPr="00A6576D">
        <w:t xml:space="preserve"> </w:t>
      </w:r>
      <w:r w:rsidRPr="00A6576D">
        <w:t xml:space="preserve">below). When such techniques are employed, air emissions of PCDDs and PCDFs from </w:t>
      </w:r>
      <w:r w:rsidR="00BB00C7" w:rsidRPr="00A6576D">
        <w:t xml:space="preserve">the </w:t>
      </w:r>
      <w:r w:rsidRPr="00A6576D">
        <w:t xml:space="preserve">processes </w:t>
      </w:r>
      <w:r w:rsidR="00BB00C7" w:rsidRPr="00A6576D">
        <w:t xml:space="preserve">described in </w:t>
      </w:r>
      <w:r w:rsidR="00093BCE" w:rsidRPr="00093BCE">
        <w:t>paragraph 295</w:t>
      </w:r>
      <w:r w:rsidR="00CC514B" w:rsidRPr="00A6576D">
        <w:t xml:space="preserve"> </w:t>
      </w:r>
      <w:r w:rsidRPr="00A6576D">
        <w:t xml:space="preserve">are below 0.1 </w:t>
      </w:r>
      <w:proofErr w:type="spellStart"/>
      <w:r w:rsidRPr="00A6576D">
        <w:t>n</w:t>
      </w:r>
      <w:r w:rsidRPr="00E41CFD">
        <w:t>g</w:t>
      </w:r>
      <w:proofErr w:type="spellEnd"/>
      <w:r w:rsidRPr="00E41CFD">
        <w:t xml:space="preserve"> TEQ/Nm</w:t>
      </w:r>
      <w:r w:rsidRPr="00E41CFD">
        <w:rPr>
          <w:vertAlign w:val="superscript"/>
        </w:rPr>
        <w:t>3</w:t>
      </w:r>
      <w:r w:rsidRPr="00E41CFD">
        <w:t xml:space="preserve">. </w:t>
      </w:r>
      <w:proofErr w:type="spellStart"/>
      <w:r w:rsidRPr="00E41CFD">
        <w:t>Slags</w:t>
      </w:r>
      <w:proofErr w:type="spellEnd"/>
      <w:r w:rsidRPr="00E41CFD">
        <w:t xml:space="preserve"> are in many cases used for construction purposes. For iron metals, emissions can occur from pre-treatment in an agglomeration plant and also in the off-gas from melting furnace</w:t>
      </w:r>
      <w:r w:rsidR="00BB00C7">
        <w:t>s</w:t>
      </w:r>
      <w:r w:rsidRPr="00E41CFD">
        <w:t>. Residues from de-dusting systems are mainly used in the NFM industry. The off-gas of multi-hearth furnace</w:t>
      </w:r>
      <w:r w:rsidR="006E0AF4">
        <w:t>s</w:t>
      </w:r>
      <w:r w:rsidRPr="00E41CFD">
        <w:t xml:space="preserve"> is de-dusted by a cyclone, underlies a post-combustion, </w:t>
      </w:r>
      <w:r w:rsidR="006E0AF4">
        <w:t xml:space="preserve">and </w:t>
      </w:r>
      <w:r w:rsidRPr="00E41CFD">
        <w:t xml:space="preserve">is quenched and cleaned </w:t>
      </w:r>
      <w:r w:rsidR="002C0A39">
        <w:t xml:space="preserve">with the </w:t>
      </w:r>
      <w:r w:rsidRPr="00E41CFD">
        <w:t xml:space="preserve">addition of adsorbent and </w:t>
      </w:r>
      <w:r w:rsidR="009733CB">
        <w:t xml:space="preserve">the use of </w:t>
      </w:r>
      <w:r w:rsidRPr="00E41CFD">
        <w:t>a bag filter. The off-gas of melting furnace</w:t>
      </w:r>
      <w:r w:rsidR="006E0AF4">
        <w:t>s</w:t>
      </w:r>
      <w:r w:rsidRPr="00E41CFD">
        <w:t xml:space="preserve"> also underlies post-combustion and is quenched before it is mixed up with the off-gas of multi</w:t>
      </w:r>
      <w:r w:rsidRPr="00E41CFD">
        <w:noBreakHyphen/>
      </w:r>
      <w:proofErr w:type="spellStart"/>
      <w:r w:rsidRPr="00E41CFD">
        <w:t>hearth</w:t>
      </w:r>
      <w:proofErr w:type="spellEnd"/>
      <w:r w:rsidRPr="00E41CFD">
        <w:t xml:space="preserve"> furnace</w:t>
      </w:r>
      <w:r w:rsidR="009733CB">
        <w:t>s</w:t>
      </w:r>
      <w:r w:rsidRPr="00E41CFD">
        <w:t xml:space="preserve"> for the joint </w:t>
      </w:r>
      <w:proofErr w:type="spellStart"/>
      <w:r w:rsidRPr="00E41CFD">
        <w:t>adsorbance</w:t>
      </w:r>
      <w:proofErr w:type="spellEnd"/>
      <w:r w:rsidRPr="00E41CFD">
        <w:t xml:space="preserve"> step. For NFMs, residues include filter dusts and </w:t>
      </w:r>
      <w:proofErr w:type="spellStart"/>
      <w:r w:rsidRPr="00E41CFD">
        <w:t>sludges</w:t>
      </w:r>
      <w:proofErr w:type="spellEnd"/>
      <w:r w:rsidRPr="00E41CFD">
        <w:t xml:space="preserve"> from wastewater treatment. </w:t>
      </w:r>
    </w:p>
    <w:p w:rsidR="00890CDD" w:rsidRPr="00E41CFD" w:rsidRDefault="00890CDD" w:rsidP="00EF105B">
      <w:pPr>
        <w:pStyle w:val="Paralevel1"/>
        <w:tabs>
          <w:tab w:val="clear" w:pos="1843"/>
          <w:tab w:val="left" w:pos="1701"/>
        </w:tabs>
        <w:ind w:left="1134" w:firstLine="0"/>
      </w:pPr>
      <w:r w:rsidRPr="00E41CFD">
        <w:rPr>
          <w:i/>
        </w:rPr>
        <w:t xml:space="preserve">Release control and post-treatment: </w:t>
      </w:r>
      <w:r w:rsidRPr="00E41CFD">
        <w:t xml:space="preserve">Control of temperatures and rapid quenching are often suitable means of minimizing PCDD and PCDF formation. Process gases require treatment to remove dust </w:t>
      </w:r>
      <w:r w:rsidR="00743810">
        <w:t xml:space="preserve">that </w:t>
      </w:r>
      <w:r w:rsidRPr="00E41CFD">
        <w:t xml:space="preserve">consists mainly of metals or metal oxides as well as </w:t>
      </w:r>
      <w:proofErr w:type="spellStart"/>
      <w:r w:rsidRPr="00E41CFD">
        <w:t>sulphur</w:t>
      </w:r>
      <w:proofErr w:type="spellEnd"/>
      <w:r w:rsidRPr="00E41CFD">
        <w:t xml:space="preserve"> dioxide when smelting </w:t>
      </w:r>
      <w:proofErr w:type="spellStart"/>
      <w:r w:rsidRPr="00E41CFD">
        <w:t>sulphidic</w:t>
      </w:r>
      <w:proofErr w:type="spellEnd"/>
      <w:r w:rsidRPr="00E41CFD">
        <w:t xml:space="preserve"> materials. In the ferrous metals industry</w:t>
      </w:r>
      <w:r w:rsidR="002C0A39">
        <w:t>,</w:t>
      </w:r>
      <w:r w:rsidRPr="00E41CFD">
        <w:t xml:space="preserve"> waste gases from agglomeration plants are treated by an electrostatic precipitator followed by further flue gas treatment, e.g., </w:t>
      </w:r>
      <w:r w:rsidR="002C0A39" w:rsidRPr="00CC514B">
        <w:t>with the use of</w:t>
      </w:r>
      <w:r w:rsidR="002C0A39">
        <w:t xml:space="preserve"> </w:t>
      </w:r>
      <w:r w:rsidRPr="00E41CFD">
        <w:t xml:space="preserve">adsorption techniques followed by an additional bag filter. The off-gases from multi-hearth furnaces are de-dusted by a cyclone and subjected to treatment by post-combustion, quenching and further </w:t>
      </w:r>
      <w:r w:rsidRPr="00CC514B">
        <w:t xml:space="preserve">cleaning </w:t>
      </w:r>
      <w:r w:rsidR="00CC514B">
        <w:t xml:space="preserve">by </w:t>
      </w:r>
      <w:r w:rsidR="002C0A39" w:rsidRPr="00CC514B">
        <w:t xml:space="preserve">the </w:t>
      </w:r>
      <w:r w:rsidRPr="00CC514B">
        <w:t xml:space="preserve">addition of adsorbent followed by </w:t>
      </w:r>
      <w:r w:rsidR="009733CB" w:rsidRPr="00CC514B">
        <w:t xml:space="preserve">the use of </w:t>
      </w:r>
      <w:r w:rsidRPr="00CC514B">
        <w:t>a bag filter.</w:t>
      </w:r>
      <w:r w:rsidRPr="00E41CFD">
        <w:t xml:space="preserve"> The off-gases from melting furnaces also require post</w:t>
      </w:r>
      <w:r w:rsidRPr="00E41CFD">
        <w:noBreakHyphen/>
      </w:r>
      <w:proofErr w:type="spellStart"/>
      <w:r w:rsidRPr="00E41CFD">
        <w:t>combustion</w:t>
      </w:r>
      <w:proofErr w:type="spellEnd"/>
      <w:r w:rsidRPr="00E41CFD">
        <w:t xml:space="preserve"> and quenching and are then combined with the off-gas stream from multi-hearth furnaces for further treatment </w:t>
      </w:r>
      <w:r w:rsidR="009733CB">
        <w:t xml:space="preserve">with the </w:t>
      </w:r>
      <w:r w:rsidRPr="00E41CFD">
        <w:t xml:space="preserve">addition of absorbent followed by </w:t>
      </w:r>
      <w:r w:rsidR="009733CB" w:rsidRPr="009733CB">
        <w:t>the use of</w:t>
      </w:r>
      <w:r w:rsidR="009733CB">
        <w:t xml:space="preserve"> </w:t>
      </w:r>
      <w:r w:rsidRPr="00E41CFD">
        <w:t>a bag filter. In NFM production</w:t>
      </w:r>
      <w:r w:rsidR="002B2BC7">
        <w:t>,</w:t>
      </w:r>
      <w:r w:rsidRPr="00E41CFD">
        <w:t xml:space="preserve"> suitable treatment techniques include</w:t>
      </w:r>
      <w:r w:rsidR="002B2BC7">
        <w:t xml:space="preserve"> the use of</w:t>
      </w:r>
      <w:r w:rsidRPr="00E41CFD">
        <w:t xml:space="preserve">, </w:t>
      </w:r>
      <w:r w:rsidR="00405DFE" w:rsidRPr="00405DFE">
        <w:rPr>
          <w:i/>
        </w:rPr>
        <w:t>inter alia</w:t>
      </w:r>
      <w:r w:rsidRPr="00E41CFD">
        <w:t xml:space="preserve">, fabric </w:t>
      </w:r>
      <w:proofErr w:type="gramStart"/>
      <w:r w:rsidRPr="00E41CFD">
        <w:t>filters,</w:t>
      </w:r>
      <w:proofErr w:type="gramEnd"/>
      <w:r w:rsidRPr="00E41CFD">
        <w:t xml:space="preserve"> electrostatic precipitators or scrubbers, </w:t>
      </w:r>
      <w:proofErr w:type="spellStart"/>
      <w:r w:rsidRPr="00E41CFD">
        <w:t>sulphuric</w:t>
      </w:r>
      <w:proofErr w:type="spellEnd"/>
      <w:r w:rsidRPr="00E41CFD">
        <w:t xml:space="preserve"> acid plants</w:t>
      </w:r>
      <w:r w:rsidR="007A0796">
        <w:t>,</w:t>
      </w:r>
      <w:r w:rsidRPr="00E41CFD">
        <w:t xml:space="preserve"> </w:t>
      </w:r>
      <w:r w:rsidR="007A0796">
        <w:t>and</w:t>
      </w:r>
      <w:r w:rsidR="007A0796" w:rsidRPr="00E41CFD">
        <w:t xml:space="preserve"> </w:t>
      </w:r>
      <w:r w:rsidRPr="00E41CFD">
        <w:t>adsorption techniques with activated carbon.</w:t>
      </w:r>
      <w:r w:rsidR="009F2C0F">
        <w:t xml:space="preserve"> </w:t>
      </w:r>
    </w:p>
    <w:p w:rsidR="00890CDD" w:rsidRPr="00E41CFD" w:rsidRDefault="00890CDD" w:rsidP="00EF105B">
      <w:pPr>
        <w:pStyle w:val="Paralevel1"/>
        <w:tabs>
          <w:tab w:val="clear" w:pos="1843"/>
          <w:tab w:val="left" w:pos="1701"/>
        </w:tabs>
        <w:ind w:left="1134" w:firstLine="0"/>
      </w:pPr>
      <w:r w:rsidRPr="00E41CFD">
        <w:rPr>
          <w:i/>
        </w:rPr>
        <w:t xml:space="preserve">Energy requirements: </w:t>
      </w:r>
      <w:r w:rsidRPr="00E41CFD">
        <w:t>Production processes for iron and NFM are energy-intensive with significant differences between different metals. The treatment of the POP content in wastes within these processes requires little additional energy.</w:t>
      </w:r>
    </w:p>
    <w:p w:rsidR="00890CDD" w:rsidRPr="00E41CFD" w:rsidRDefault="00890CDD" w:rsidP="00EF105B">
      <w:pPr>
        <w:pStyle w:val="Paralevel1"/>
        <w:tabs>
          <w:tab w:val="clear" w:pos="1843"/>
          <w:tab w:val="left" w:pos="1701"/>
        </w:tabs>
        <w:ind w:left="1134" w:firstLine="0"/>
      </w:pPr>
      <w:r w:rsidRPr="00E41CFD">
        <w:rPr>
          <w:i/>
        </w:rPr>
        <w:t xml:space="preserve">Material requirements: </w:t>
      </w:r>
      <w:r w:rsidRPr="00E41CFD">
        <w:t xml:space="preserve">For </w:t>
      </w:r>
      <w:r w:rsidR="00A80A1C">
        <w:t xml:space="preserve">the </w:t>
      </w:r>
      <w:r w:rsidRPr="00E41CFD">
        <w:t xml:space="preserve">production of metals, raw materials (ores, concentrates or secondary material) are used </w:t>
      </w:r>
      <w:r w:rsidR="00A80A1C">
        <w:t xml:space="preserve">together with </w:t>
      </w:r>
      <w:r w:rsidRPr="00E41CFD">
        <w:t xml:space="preserve">additives (e.g., sand, limestone), </w:t>
      </w:r>
      <w:proofErr w:type="spellStart"/>
      <w:r w:rsidRPr="00E41CFD">
        <w:t>reductants</w:t>
      </w:r>
      <w:proofErr w:type="spellEnd"/>
      <w:r w:rsidRPr="00E41CFD">
        <w:t xml:space="preserve"> (coal and coke) and fuels (oil and gas). Temperature control to avoid de novo synthesis of PCDDs and PCDFs requires additional water for quenching.</w:t>
      </w:r>
    </w:p>
    <w:p w:rsidR="00890CDD" w:rsidRPr="00E41CFD" w:rsidRDefault="00890CDD" w:rsidP="00EF105B">
      <w:pPr>
        <w:pStyle w:val="Paralevel1"/>
        <w:tabs>
          <w:tab w:val="clear" w:pos="1843"/>
          <w:tab w:val="left" w:pos="1701"/>
        </w:tabs>
        <w:ind w:left="1134" w:firstLine="0"/>
        <w:rPr>
          <w:i/>
        </w:rPr>
      </w:pPr>
      <w:r w:rsidRPr="00E41CFD">
        <w:rPr>
          <w:i/>
        </w:rPr>
        <w:t>Portability:</w:t>
      </w:r>
      <w:r w:rsidRPr="00E41CFD">
        <w:t xml:space="preserve"> Metal smelters are large and fixed installations.</w:t>
      </w:r>
    </w:p>
    <w:p w:rsidR="00890CDD" w:rsidRPr="00E41CFD" w:rsidRDefault="00890CDD" w:rsidP="00EF105B">
      <w:pPr>
        <w:pStyle w:val="Paralevel1"/>
        <w:tabs>
          <w:tab w:val="clear" w:pos="1843"/>
          <w:tab w:val="left" w:pos="1701"/>
        </w:tabs>
        <w:ind w:left="1134" w:firstLine="0"/>
      </w:pPr>
      <w:r w:rsidRPr="00E41CFD">
        <w:rPr>
          <w:i/>
        </w:rPr>
        <w:t xml:space="preserve">Health and safety: </w:t>
      </w:r>
      <w:r w:rsidRPr="00E41CFD">
        <w:t>The treatment of wastes within thermal processes can be regarded as safe if properly designed and operated.</w:t>
      </w:r>
    </w:p>
    <w:p w:rsidR="00890CDD" w:rsidRPr="00E41CFD" w:rsidRDefault="00890CDD" w:rsidP="00EF105B">
      <w:pPr>
        <w:pStyle w:val="Paralevel1"/>
        <w:tabs>
          <w:tab w:val="clear" w:pos="1843"/>
          <w:tab w:val="left" w:pos="1701"/>
        </w:tabs>
        <w:ind w:left="1134" w:firstLine="0"/>
      </w:pPr>
      <w:r w:rsidRPr="00E41CFD">
        <w:rPr>
          <w:i/>
        </w:rPr>
        <w:t xml:space="preserve">Capacity: </w:t>
      </w:r>
      <w:r w:rsidR="002F3D01">
        <w:t>The m</w:t>
      </w:r>
      <w:r w:rsidRPr="00E41CFD">
        <w:t xml:space="preserve">etal smelters described above have feedstock capacities above 100,000 </w:t>
      </w:r>
      <w:proofErr w:type="spellStart"/>
      <w:r w:rsidRPr="00E41CFD">
        <w:t>tonnes</w:t>
      </w:r>
      <w:proofErr w:type="spellEnd"/>
      <w:r w:rsidRPr="00E41CFD">
        <w:t xml:space="preserve"> per year. Current experience with the addition of wastes contaminated with POPs to the feedstock involves much smaller quantities but the capability for treating larger quantities may well exist and is being explored.</w:t>
      </w:r>
    </w:p>
    <w:p w:rsidR="00890CDD" w:rsidRPr="00E41CFD" w:rsidRDefault="00405DFE" w:rsidP="00EF105B">
      <w:pPr>
        <w:pStyle w:val="Paralevel1"/>
        <w:tabs>
          <w:tab w:val="clear" w:pos="1843"/>
          <w:tab w:val="left" w:pos="1701"/>
        </w:tabs>
        <w:ind w:left="1134" w:firstLine="0"/>
      </w:pPr>
      <w:r w:rsidRPr="00405DFE">
        <w:rPr>
          <w:i/>
        </w:rPr>
        <w:t>Other practical issues</w:t>
      </w:r>
      <w:r w:rsidR="00890CDD" w:rsidRPr="00E41CFD">
        <w:t>: None</w:t>
      </w:r>
      <w:r w:rsidR="00442682">
        <w:t>.</w:t>
      </w:r>
    </w:p>
    <w:p w:rsidR="00890CDD" w:rsidRPr="00E41CFD" w:rsidRDefault="00890CDD" w:rsidP="00EF105B">
      <w:pPr>
        <w:pStyle w:val="Paralevel1"/>
        <w:tabs>
          <w:tab w:val="clear" w:pos="1843"/>
          <w:tab w:val="left" w:pos="1701"/>
        </w:tabs>
        <w:ind w:left="1134" w:firstLine="0"/>
      </w:pPr>
      <w:r w:rsidRPr="00E41CFD">
        <w:rPr>
          <w:i/>
        </w:rPr>
        <w:t xml:space="preserve">State of commercialization: </w:t>
      </w:r>
      <w:r w:rsidRPr="00E41CFD">
        <w:t>Cast iron production from iron-containing materials of iron and steel production in a conventional blast furnace has been in operation for some years in Germany (</w:t>
      </w:r>
      <w:r w:rsidR="00880C5F" w:rsidRPr="00880C5F">
        <w:t>http://</w:t>
      </w:r>
      <w:hyperlink r:id="rId16" w:history="1">
        <w:r w:rsidRPr="00E41CFD">
          <w:t>www.dk-duisburg.de</w:t>
        </w:r>
      </w:hyperlink>
      <w:r w:rsidRPr="00E41CFD">
        <w:t>)</w:t>
      </w:r>
      <w:r w:rsidR="00874C91">
        <w:t>, where</w:t>
      </w:r>
      <w:r w:rsidRPr="00E41CFD">
        <w:t xml:space="preserve"> </w:t>
      </w:r>
      <w:r w:rsidR="00874C91">
        <w:t>a</w:t>
      </w:r>
      <w:r w:rsidRPr="00E41CFD">
        <w:t xml:space="preserve"> shaft furnace (“</w:t>
      </w:r>
      <w:proofErr w:type="spellStart"/>
      <w:r w:rsidRPr="00E41CFD">
        <w:t>Oxycup</w:t>
      </w:r>
      <w:proofErr w:type="spellEnd"/>
      <w:r w:rsidRPr="00E41CFD">
        <w:t>”</w:t>
      </w:r>
      <w:r w:rsidR="00874C91">
        <w:t xml:space="preserve"> furnace</w:t>
      </w:r>
      <w:r w:rsidRPr="00E41CFD">
        <w:t>) has been in operation since 2003 (</w:t>
      </w:r>
      <w:r w:rsidR="00880C5F" w:rsidRPr="00880C5F">
        <w:t>http://</w:t>
      </w:r>
      <w:hyperlink r:id="rId17" w:history="1">
        <w:r w:rsidRPr="00E41CFD">
          <w:t>www.thyssenkrupp.com</w:t>
        </w:r>
      </w:hyperlink>
      <w:r w:rsidRPr="00E41CFD">
        <w:t>). The hearth furnace process has been in operation on an industrial scale in Luxembourg</w:t>
      </w:r>
      <w:r w:rsidR="00880C5F">
        <w:t>,</w:t>
      </w:r>
      <w:r w:rsidRPr="00E41CFD">
        <w:t xml:space="preserve"> since 2003 (</w:t>
      </w:r>
      <w:hyperlink r:id="rId18" w:history="1">
        <w:r w:rsidRPr="00E41CFD">
          <w:t>www.paulwurth.com</w:t>
        </w:r>
      </w:hyperlink>
      <w:r w:rsidRPr="00E41CFD">
        <w:t>)</w:t>
      </w:r>
      <w:r w:rsidR="00880C5F">
        <w:t>,</w:t>
      </w:r>
      <w:r w:rsidRPr="00E41CFD">
        <w:t xml:space="preserve"> and in Italy (</w:t>
      </w:r>
      <w:hyperlink r:id="rId19" w:history="1">
        <w:r w:rsidRPr="00E41CFD">
          <w:t>www.lucchini.it</w:t>
        </w:r>
      </w:hyperlink>
      <w:r w:rsidRPr="00E41CFD">
        <w:t xml:space="preserve">). The </w:t>
      </w:r>
      <w:proofErr w:type="spellStart"/>
      <w:r w:rsidRPr="00E41CFD">
        <w:t>Waelz</w:t>
      </w:r>
      <w:proofErr w:type="spellEnd"/>
      <w:r w:rsidRPr="00E41CFD">
        <w:t xml:space="preserve"> rotary kiln process is well-established and is covered by BAT </w:t>
      </w:r>
      <w:proofErr w:type="gramStart"/>
      <w:r w:rsidR="00880C5F">
        <w:t>that are</w:t>
      </w:r>
      <w:proofErr w:type="gramEnd"/>
      <w:r w:rsidR="00880C5F">
        <w:t xml:space="preserve"> in </w:t>
      </w:r>
      <w:r w:rsidRPr="00880C5F">
        <w:t>operati</w:t>
      </w:r>
      <w:r w:rsidR="00880C5F">
        <w:t>on</w:t>
      </w:r>
      <w:r w:rsidRPr="00E41CFD">
        <w:t xml:space="preserve"> at different sites in Europe (</w:t>
      </w:r>
      <w:hyperlink r:id="rId20" w:history="1">
        <w:r w:rsidRPr="00E41CFD">
          <w:rPr>
            <w:rStyle w:val="Hyperlink"/>
          </w:rPr>
          <w:t>http://www.befesa-steel.com</w:t>
        </w:r>
      </w:hyperlink>
      <w:r w:rsidRPr="00E41CFD">
        <w:t xml:space="preserve">). The vertical bath melting process is </w:t>
      </w:r>
      <w:r w:rsidR="00D26EB7">
        <w:t xml:space="preserve">in </w:t>
      </w:r>
      <w:r w:rsidRPr="00E41CFD">
        <w:t>operati</w:t>
      </w:r>
      <w:r w:rsidR="00D26EB7">
        <w:t>on</w:t>
      </w:r>
      <w:r w:rsidRPr="00E41CFD">
        <w:t xml:space="preserve"> in Germany (http://www.aurubis.com)</w:t>
      </w:r>
      <w:r w:rsidR="00D26EB7">
        <w:t>,</w:t>
      </w:r>
      <w:r w:rsidRPr="00E41CFD">
        <w:t xml:space="preserve"> as is the horizontal bath melting process (</w:t>
      </w:r>
      <w:hyperlink r:id="rId21" w:history="1">
        <w:r w:rsidRPr="00E41CFD">
          <w:t>www.berzelius.de</w:t>
        </w:r>
      </w:hyperlink>
      <w:r w:rsidRPr="00E41CFD">
        <w:t>).</w:t>
      </w:r>
    </w:p>
    <w:p w:rsidR="00890CDD" w:rsidRPr="00E41CFD" w:rsidRDefault="00890CDD">
      <w:pPr>
        <w:pStyle w:val="Heading3"/>
        <w:spacing w:before="240" w:after="120"/>
        <w:ind w:left="1134" w:hanging="425"/>
      </w:pPr>
      <w:bookmarkStart w:id="769" w:name="_Toc95280688"/>
      <w:bookmarkStart w:id="770" w:name="_Toc145395154"/>
      <w:bookmarkStart w:id="771" w:name="_Toc161804609"/>
      <w:bookmarkStart w:id="772" w:name="_Toc405988688"/>
      <w:bookmarkStart w:id="773" w:name="_Toc437340581"/>
      <w:r w:rsidRPr="00E41CFD">
        <w:rPr>
          <w:szCs w:val="20"/>
        </w:rPr>
        <w:t>3.</w:t>
      </w:r>
      <w:r w:rsidRPr="00E41CFD">
        <w:rPr>
          <w:szCs w:val="20"/>
        </w:rPr>
        <w:tab/>
      </w:r>
      <w:bookmarkEnd w:id="769"/>
      <w:r w:rsidRPr="00E41CFD">
        <w:rPr>
          <w:szCs w:val="20"/>
        </w:rPr>
        <w:t>Other disposal methods when neither destruction nor irreversible transformation is the environmentally preferable option</w:t>
      </w:r>
      <w:bookmarkEnd w:id="770"/>
      <w:bookmarkEnd w:id="771"/>
      <w:bookmarkEnd w:id="772"/>
      <w:bookmarkEnd w:id="773"/>
    </w:p>
    <w:p w:rsidR="00890CDD" w:rsidRDefault="00D268D0" w:rsidP="00EF105B">
      <w:pPr>
        <w:pStyle w:val="Paralevel1"/>
        <w:tabs>
          <w:tab w:val="clear" w:pos="1843"/>
          <w:tab w:val="left" w:pos="1701"/>
        </w:tabs>
        <w:ind w:left="1134" w:firstLine="0"/>
      </w:pPr>
      <w:r w:rsidRPr="004C4D52">
        <w:t>When</w:t>
      </w:r>
      <w:r w:rsidRPr="00E41CFD">
        <w:t xml:space="preserve"> </w:t>
      </w:r>
      <w:r w:rsidR="00890CDD" w:rsidRPr="00E41CFD">
        <w:t>neither destruction nor irreversible transformation is the environmentally preferable option for wastes with a POP content above the low POP content referred to in subsection A of section III above</w:t>
      </w:r>
      <w:r>
        <w:t>,</w:t>
      </w:r>
      <w:r w:rsidR="00890CDD" w:rsidRPr="00E41CFD">
        <w:t xml:space="preserve"> countries may allow such wastes to be disposed </w:t>
      </w:r>
      <w:r>
        <w:t xml:space="preserve">of through </w:t>
      </w:r>
      <w:r w:rsidR="00890CDD" w:rsidRPr="00E41CFD">
        <w:t xml:space="preserve">methods </w:t>
      </w:r>
      <w:r>
        <w:t xml:space="preserve">other </w:t>
      </w:r>
      <w:r w:rsidR="00890CDD" w:rsidRPr="00E41CFD">
        <w:t xml:space="preserve">than </w:t>
      </w:r>
      <w:r>
        <w:t xml:space="preserve">those </w:t>
      </w:r>
      <w:r w:rsidR="00890CDD" w:rsidRPr="00E41CFD">
        <w:t xml:space="preserve">referred to in subsection IV.G.2. </w:t>
      </w:r>
    </w:p>
    <w:p w:rsidR="006D0D75" w:rsidRPr="002A4B24" w:rsidRDefault="006D0D75" w:rsidP="00EF105B">
      <w:pPr>
        <w:pStyle w:val="Paralevel1"/>
        <w:tabs>
          <w:tab w:val="clear" w:pos="1843"/>
          <w:tab w:val="left" w:pos="1701"/>
        </w:tabs>
        <w:ind w:left="1134" w:firstLine="0"/>
        <w:rPr>
          <w:b/>
          <w:i/>
        </w:rPr>
      </w:pPr>
      <w:r>
        <w:t>Wastes</w:t>
      </w:r>
      <w:r w:rsidR="00DD6554">
        <w:t xml:space="preserve"> </w:t>
      </w:r>
      <w:r w:rsidRPr="00CB288F">
        <w:t>containing or contaminated with POPs where such other disposal methods may be considered include</w:t>
      </w:r>
      <w:r>
        <w:t>, but are not limited to:</w:t>
      </w:r>
      <w:r w:rsidR="00D64487">
        <w:t xml:space="preserve"> </w:t>
      </w:r>
    </w:p>
    <w:p w:rsidR="006D0D75" w:rsidRPr="00CB288F" w:rsidRDefault="006D0D75" w:rsidP="0080213C">
      <w:pPr>
        <w:tabs>
          <w:tab w:val="clear" w:pos="1247"/>
          <w:tab w:val="clear" w:pos="1814"/>
          <w:tab w:val="clear" w:pos="2381"/>
          <w:tab w:val="left" w:pos="2268"/>
        </w:tabs>
        <w:spacing w:after="120"/>
        <w:ind w:left="1134" w:firstLine="567"/>
      </w:pPr>
      <w:r w:rsidRPr="00CB288F">
        <w:t>(a)</w:t>
      </w:r>
      <w:r w:rsidRPr="00CB288F">
        <w:tab/>
        <w:t>Waste</w:t>
      </w:r>
      <w:r w:rsidR="00A95382">
        <w:t>s</w:t>
      </w:r>
      <w:r w:rsidRPr="00CB288F">
        <w:t xml:space="preserve"> from power stations and other combustion plants (except those listed in subparagraph (d) below), wastes from the iron and steel industry and wastes from aluminium, lead, zinc, copper and other non</w:t>
      </w:r>
      <w:r w:rsidRPr="00CB288F">
        <w:noBreakHyphen/>
        <w:t xml:space="preserve">ferrous thermal metallurgy. </w:t>
      </w:r>
      <w:r w:rsidR="00A95382">
        <w:t>Such wastes</w:t>
      </w:r>
      <w:r w:rsidRPr="00CB288F">
        <w:t xml:space="preserve"> include bottom ash, slag, salt </w:t>
      </w:r>
      <w:proofErr w:type="spellStart"/>
      <w:r w:rsidRPr="00CB288F">
        <w:t>slags</w:t>
      </w:r>
      <w:proofErr w:type="spellEnd"/>
      <w:r w:rsidRPr="00CB288F">
        <w:t>, fly ash, boiler dust, flue</w:t>
      </w:r>
      <w:r w:rsidR="00D82BFA">
        <w:t xml:space="preserve"> </w:t>
      </w:r>
      <w:r w:rsidRPr="00CB288F">
        <w:t>gas dust</w:t>
      </w:r>
      <w:r w:rsidR="00A95382">
        <w:t xml:space="preserve"> and</w:t>
      </w:r>
      <w:r w:rsidRPr="00CB288F">
        <w:t xml:space="preserve"> other particulates and dust, solid wastes from gas treatment, black </w:t>
      </w:r>
      <w:proofErr w:type="spellStart"/>
      <w:r w:rsidRPr="00CB288F">
        <w:t>drosses</w:t>
      </w:r>
      <w:proofErr w:type="spellEnd"/>
      <w:r w:rsidRPr="00CB288F">
        <w:t xml:space="preserve">, wastes from treatment of salt </w:t>
      </w:r>
      <w:proofErr w:type="spellStart"/>
      <w:r w:rsidRPr="00CB288F">
        <w:t>slags</w:t>
      </w:r>
      <w:proofErr w:type="spellEnd"/>
      <w:r w:rsidRPr="00CB288F">
        <w:t xml:space="preserve"> and black </w:t>
      </w:r>
      <w:proofErr w:type="spellStart"/>
      <w:r w:rsidRPr="00CB288F">
        <w:t>drosses</w:t>
      </w:r>
      <w:proofErr w:type="spellEnd"/>
      <w:r w:rsidRPr="00CB288F">
        <w:t xml:space="preserve">, dross and </w:t>
      </w:r>
      <w:proofErr w:type="spellStart"/>
      <w:r w:rsidRPr="00CB288F">
        <w:t>skimmings</w:t>
      </w:r>
      <w:proofErr w:type="spellEnd"/>
      <w:r w:rsidRPr="00CB288F">
        <w:t>;</w:t>
      </w:r>
    </w:p>
    <w:p w:rsidR="006D0D75" w:rsidRPr="00CB288F" w:rsidRDefault="006D0D75" w:rsidP="0080213C">
      <w:pPr>
        <w:tabs>
          <w:tab w:val="clear" w:pos="1247"/>
          <w:tab w:val="clear" w:pos="1814"/>
          <w:tab w:val="clear" w:pos="2381"/>
          <w:tab w:val="left" w:pos="2268"/>
        </w:tabs>
        <w:spacing w:after="120"/>
        <w:ind w:left="1134" w:firstLine="567"/>
      </w:pPr>
      <w:r w:rsidRPr="00CB288F">
        <w:t>(b)</w:t>
      </w:r>
      <w:r w:rsidRPr="00CB288F">
        <w:tab/>
        <w:t xml:space="preserve">Carbon-based and other linings and </w:t>
      </w:r>
      <w:proofErr w:type="spellStart"/>
      <w:r w:rsidRPr="00CB288F">
        <w:t>refractories</w:t>
      </w:r>
      <w:proofErr w:type="spellEnd"/>
      <w:r w:rsidRPr="00CB288F">
        <w:t xml:space="preserve"> from metallurgical processes;</w:t>
      </w:r>
    </w:p>
    <w:p w:rsidR="006D0D75" w:rsidRPr="00CB288F" w:rsidRDefault="006D0D75" w:rsidP="0080213C">
      <w:pPr>
        <w:tabs>
          <w:tab w:val="clear" w:pos="1247"/>
          <w:tab w:val="clear" w:pos="1814"/>
          <w:tab w:val="clear" w:pos="2381"/>
          <w:tab w:val="left" w:pos="2268"/>
        </w:tabs>
        <w:spacing w:after="120"/>
        <w:ind w:left="1134" w:firstLine="567"/>
      </w:pPr>
      <w:r w:rsidRPr="00CB288F">
        <w:t>(c)</w:t>
      </w:r>
      <w:r w:rsidRPr="00CB288F">
        <w:tab/>
        <w:t>The following construction and demolition wastes:</w:t>
      </w:r>
    </w:p>
    <w:p w:rsidR="006D0D75" w:rsidRPr="00CB288F" w:rsidRDefault="006D0D75" w:rsidP="0080213C">
      <w:pPr>
        <w:keepNext/>
        <w:tabs>
          <w:tab w:val="clear" w:pos="1814"/>
          <w:tab w:val="clear" w:pos="2381"/>
          <w:tab w:val="clear" w:pos="2948"/>
          <w:tab w:val="clear" w:pos="3515"/>
        </w:tabs>
        <w:spacing w:after="120"/>
        <w:ind w:left="2835" w:hanging="567"/>
      </w:pPr>
      <w:r w:rsidRPr="00CB288F">
        <w:t>(</w:t>
      </w:r>
      <w:proofErr w:type="spellStart"/>
      <w:r w:rsidRPr="00CB288F">
        <w:t>i</w:t>
      </w:r>
      <w:proofErr w:type="spellEnd"/>
      <w:r w:rsidRPr="00CB288F">
        <w:t>)</w:t>
      </w:r>
      <w:r w:rsidRPr="00CB288F">
        <w:tab/>
        <w:t>Mixtures of, or separate fractions of, concrete, bricks, tiles and ceramics;</w:t>
      </w:r>
    </w:p>
    <w:p w:rsidR="006D0D75" w:rsidRPr="00CB288F" w:rsidRDefault="006D0D75" w:rsidP="0080213C">
      <w:pPr>
        <w:keepNext/>
        <w:tabs>
          <w:tab w:val="clear" w:pos="1814"/>
          <w:tab w:val="clear" w:pos="2381"/>
          <w:tab w:val="clear" w:pos="2948"/>
          <w:tab w:val="clear" w:pos="3515"/>
        </w:tabs>
        <w:spacing w:after="120"/>
        <w:ind w:left="2835" w:hanging="567"/>
      </w:pPr>
      <w:r w:rsidRPr="00CB288F">
        <w:t>(ii)</w:t>
      </w:r>
      <w:r w:rsidRPr="00CB288F">
        <w:tab/>
        <w:t>The inorganic fraction of soil and stones, including excavated soil from contaminated sites;</w:t>
      </w:r>
      <w:r w:rsidR="00A95382">
        <w:t xml:space="preserve"> and</w:t>
      </w:r>
    </w:p>
    <w:p w:rsidR="006D0D75" w:rsidRPr="00CB288F" w:rsidRDefault="006D0D75" w:rsidP="0080213C">
      <w:pPr>
        <w:keepNext/>
        <w:tabs>
          <w:tab w:val="clear" w:pos="1814"/>
          <w:tab w:val="clear" w:pos="2381"/>
          <w:tab w:val="clear" w:pos="2948"/>
          <w:tab w:val="clear" w:pos="3515"/>
        </w:tabs>
        <w:spacing w:after="120"/>
        <w:ind w:left="2835" w:hanging="567"/>
      </w:pPr>
      <w:r w:rsidRPr="00CB288F">
        <w:t>(iii)</w:t>
      </w:r>
      <w:r w:rsidRPr="00CB288F">
        <w:tab/>
        <w:t xml:space="preserve">Construction and demolition wastes containing PCBs, excluding equipment containing PCBs; </w:t>
      </w:r>
    </w:p>
    <w:p w:rsidR="006D0D75" w:rsidRPr="00CB288F" w:rsidRDefault="006D0D75" w:rsidP="0080213C">
      <w:pPr>
        <w:tabs>
          <w:tab w:val="clear" w:pos="1247"/>
          <w:tab w:val="clear" w:pos="1814"/>
          <w:tab w:val="clear" w:pos="2381"/>
          <w:tab w:val="left" w:pos="2268"/>
        </w:tabs>
        <w:spacing w:after="120"/>
        <w:ind w:left="1134" w:firstLine="567"/>
      </w:pPr>
      <w:r w:rsidRPr="00CB288F">
        <w:t>(d)</w:t>
      </w:r>
      <w:r w:rsidRPr="00CB288F">
        <w:tab/>
        <w:t xml:space="preserve">Wastes from the incineration or </w:t>
      </w:r>
      <w:proofErr w:type="spellStart"/>
      <w:r w:rsidRPr="00CB288F">
        <w:t>pyrolysis</w:t>
      </w:r>
      <w:proofErr w:type="spellEnd"/>
      <w:r w:rsidRPr="00CB288F">
        <w:t xml:space="preserve"> of waste, including solid wastes from gas treatment, bottom ash, slag, fly ash and boiler dust; </w:t>
      </w:r>
      <w:r w:rsidR="00A95382">
        <w:t>and</w:t>
      </w:r>
    </w:p>
    <w:p w:rsidR="006D0D75" w:rsidRPr="00CB288F" w:rsidRDefault="006D0D75" w:rsidP="0080213C">
      <w:pPr>
        <w:tabs>
          <w:tab w:val="clear" w:pos="1247"/>
          <w:tab w:val="clear" w:pos="1814"/>
          <w:tab w:val="clear" w:pos="2381"/>
          <w:tab w:val="left" w:pos="2268"/>
        </w:tabs>
        <w:spacing w:after="120"/>
        <w:ind w:left="1134" w:firstLine="567"/>
      </w:pPr>
      <w:r w:rsidRPr="00CB288F">
        <w:t>(e)</w:t>
      </w:r>
      <w:r w:rsidRPr="00CB288F">
        <w:tab/>
        <w:t xml:space="preserve">Vitrified wastes and waste from </w:t>
      </w:r>
      <w:proofErr w:type="spellStart"/>
      <w:r w:rsidRPr="00CB288F">
        <w:t>vitrification</w:t>
      </w:r>
      <w:proofErr w:type="spellEnd"/>
      <w:r w:rsidRPr="00CB288F">
        <w:t>, including fly ash and other flue</w:t>
      </w:r>
      <w:r w:rsidR="00D82BFA">
        <w:t xml:space="preserve"> </w:t>
      </w:r>
      <w:r w:rsidRPr="00CB288F">
        <w:t>gas treatment wastes and non-vitrified solid phase wastes.</w:t>
      </w:r>
    </w:p>
    <w:p w:rsidR="00890CDD" w:rsidRDefault="00890CDD" w:rsidP="00EF105B">
      <w:pPr>
        <w:pStyle w:val="Paralevel1"/>
        <w:tabs>
          <w:tab w:val="clear" w:pos="1843"/>
          <w:tab w:val="left" w:pos="1701"/>
        </w:tabs>
        <w:ind w:left="1134" w:firstLine="0"/>
      </w:pPr>
      <w:r>
        <w:t xml:space="preserve">The relevant authority of the country concerned should be satisfied that neither destruction nor irreversible transformation of the POP content, </w:t>
      </w:r>
      <w:r w:rsidRPr="00752994">
        <w:t xml:space="preserve">performed </w:t>
      </w:r>
      <w:r w:rsidR="00405DFE" w:rsidRPr="00752994">
        <w:t>using</w:t>
      </w:r>
      <w:r>
        <w:t xml:space="preserve"> best environmental practice</w:t>
      </w:r>
      <w:r w:rsidR="001C6DDB">
        <w:t>s</w:t>
      </w:r>
      <w:r>
        <w:t xml:space="preserve"> or best available techniques, is the environmentally preferable option.</w:t>
      </w:r>
    </w:p>
    <w:p w:rsidR="00890CDD" w:rsidRDefault="00890CDD" w:rsidP="00EF105B">
      <w:pPr>
        <w:pStyle w:val="Paralevel1"/>
        <w:tabs>
          <w:tab w:val="clear" w:pos="1843"/>
          <w:tab w:val="left" w:pos="1701"/>
        </w:tabs>
        <w:ind w:left="1134" w:firstLine="0"/>
      </w:pPr>
      <w:bookmarkStart w:id="774" w:name="_Toc35062060"/>
      <w:bookmarkEnd w:id="758"/>
      <w:bookmarkEnd w:id="759"/>
      <w:bookmarkEnd w:id="760"/>
      <w:bookmarkEnd w:id="761"/>
      <w:bookmarkEnd w:id="762"/>
      <w:bookmarkEnd w:id="763"/>
      <w:bookmarkEnd w:id="764"/>
      <w:bookmarkEnd w:id="765"/>
      <w:bookmarkEnd w:id="766"/>
      <w:bookmarkEnd w:id="767"/>
      <w:bookmarkEnd w:id="768"/>
      <w:r>
        <w:t>Other disposal methods when neither destruction nor irreversible transformation is the environmentally preferable option include those described below.</w:t>
      </w:r>
    </w:p>
    <w:p w:rsidR="00890CDD" w:rsidRDefault="00890CDD">
      <w:pPr>
        <w:pStyle w:val="Heading4"/>
        <w:spacing w:before="240" w:after="120"/>
        <w:ind w:left="1134" w:hanging="510"/>
        <w:rPr>
          <w:szCs w:val="20"/>
        </w:rPr>
      </w:pPr>
      <w:bookmarkStart w:id="775" w:name="_Toc145395155"/>
      <w:bookmarkStart w:id="776" w:name="_Toc161804610"/>
      <w:bookmarkStart w:id="777" w:name="_Toc405988689"/>
      <w:bookmarkStart w:id="778" w:name="_Toc437340582"/>
      <w:r w:rsidRPr="005E5BFF">
        <w:rPr>
          <w:szCs w:val="20"/>
        </w:rPr>
        <w:t>(a)</w:t>
      </w:r>
      <w:r w:rsidRPr="005E5BFF">
        <w:rPr>
          <w:szCs w:val="20"/>
        </w:rPr>
        <w:tab/>
      </w:r>
      <w:r w:rsidRPr="005E5BFF">
        <w:rPr>
          <w:szCs w:val="20"/>
          <w:lang w:eastAsia="ja-JP"/>
        </w:rPr>
        <w:t>Specially</w:t>
      </w:r>
      <w:r w:rsidRPr="005E5BFF">
        <w:rPr>
          <w:szCs w:val="20"/>
        </w:rPr>
        <w:t xml:space="preserve"> engineered landfill</w:t>
      </w:r>
      <w:bookmarkEnd w:id="775"/>
      <w:bookmarkEnd w:id="776"/>
      <w:bookmarkEnd w:id="777"/>
      <w:bookmarkEnd w:id="778"/>
      <w:r w:rsidR="00CF5F6B" w:rsidRPr="00CF5F6B">
        <w:rPr>
          <w:rStyle w:val="FootnoteReference"/>
          <w:b w:val="0"/>
          <w:bCs/>
        </w:rPr>
        <w:footnoteReference w:customMarkFollows="1" w:id="129"/>
        <w:t>129</w:t>
      </w:r>
    </w:p>
    <w:p w:rsidR="000E79E2" w:rsidRDefault="00890CDD" w:rsidP="00EF105B">
      <w:pPr>
        <w:pStyle w:val="Paralevel1"/>
        <w:tabs>
          <w:tab w:val="clear" w:pos="1843"/>
          <w:tab w:val="left" w:pos="1701"/>
        </w:tabs>
        <w:ind w:left="1134" w:firstLine="0"/>
      </w:pPr>
      <w:r>
        <w:t xml:space="preserve">Any </w:t>
      </w:r>
      <w:proofErr w:type="spellStart"/>
      <w:r>
        <w:t>landfilling</w:t>
      </w:r>
      <w:proofErr w:type="spellEnd"/>
      <w:r>
        <w:t xml:space="preserve"> should be carried out in a way that minimizes the potential of the POP content to enter the environment. This may be achieved </w:t>
      </w:r>
      <w:r w:rsidR="001C6DDB" w:rsidRPr="000B1115">
        <w:t>through</w:t>
      </w:r>
      <w:r w:rsidR="001C6DDB">
        <w:t xml:space="preserve"> </w:t>
      </w:r>
      <w:r>
        <w:t>pre-treatment, e.g., a suitable solidification process. A specially engineered landfill should comply with requirements regard</w:t>
      </w:r>
      <w:r w:rsidR="002A4B24">
        <w:t>ing</w:t>
      </w:r>
      <w:r>
        <w:t xml:space="preserve"> location, conditioning, management, control, closure and preventive and protective measures to be taken against any threat to the environment </w:t>
      </w:r>
      <w:r w:rsidRPr="000B1115">
        <w:t xml:space="preserve">in </w:t>
      </w:r>
      <w:r w:rsidR="002A4B24" w:rsidRPr="000B1115">
        <w:t xml:space="preserve">both </w:t>
      </w:r>
      <w:r w:rsidRPr="000B1115">
        <w:t xml:space="preserve">the short </w:t>
      </w:r>
      <w:r w:rsidR="002A4B24" w:rsidRPr="000B1115">
        <w:t>and</w:t>
      </w:r>
      <w:r w:rsidRPr="000B1115">
        <w:t xml:space="preserve"> long</w:t>
      </w:r>
      <w:r w:rsidR="002A4B24" w:rsidRPr="000B1115">
        <w:t xml:space="preserve"> </w:t>
      </w:r>
      <w:r w:rsidRPr="000B1115">
        <w:t>term</w:t>
      </w:r>
      <w:r w:rsidR="00193BCE">
        <w:t>s</w:t>
      </w:r>
      <w:r w:rsidRPr="000B1115">
        <w:t>.</w:t>
      </w:r>
      <w:r>
        <w:t xml:space="preserve"> In particular</w:t>
      </w:r>
      <w:r w:rsidR="00175199">
        <w:t>,</w:t>
      </w:r>
      <w:r>
        <w:t xml:space="preserve"> measures should prevent the pollution of groundwater </w:t>
      </w:r>
      <w:r w:rsidR="000B1115">
        <w:t xml:space="preserve">through </w:t>
      </w:r>
      <w:proofErr w:type="spellStart"/>
      <w:r>
        <w:t>leachate</w:t>
      </w:r>
      <w:proofErr w:type="spellEnd"/>
      <w:r>
        <w:t xml:space="preserve"> infiltration into the soil. Protection of soil, groundwater and surface water should be achieved </w:t>
      </w:r>
      <w:r w:rsidR="000B1115">
        <w:t xml:space="preserve">through a </w:t>
      </w:r>
      <w:r w:rsidRPr="000B1115">
        <w:t xml:space="preserve">combination of a geological barrier and a synthetic bottom </w:t>
      </w:r>
      <w:proofErr w:type="spellStart"/>
      <w:r w:rsidRPr="000B1115">
        <w:t>liner</w:t>
      </w:r>
      <w:proofErr w:type="spellEnd"/>
      <w:r w:rsidRPr="000B1115">
        <w:t xml:space="preserve"> system during the operational phase and </w:t>
      </w:r>
      <w:r w:rsidR="000B1115">
        <w:t xml:space="preserve">through a </w:t>
      </w:r>
      <w:r w:rsidRPr="000B1115">
        <w:t>combination of a geological barrier and a top liner during the closure and post-closure phase</w:t>
      </w:r>
      <w:r w:rsidR="000B1115">
        <w:t>s</w:t>
      </w:r>
      <w:r>
        <w:t xml:space="preserve">. Measures should be taken to </w:t>
      </w:r>
      <w:r w:rsidR="00061F43">
        <w:t xml:space="preserve">prevent and </w:t>
      </w:r>
      <w:r>
        <w:t>reduce the production of gas</w:t>
      </w:r>
      <w:r w:rsidR="00061F43">
        <w:t>es</w:t>
      </w:r>
      <w:r>
        <w:t xml:space="preserve"> and</w:t>
      </w:r>
      <w:r w:rsidR="00061F43">
        <w:t>, as appropriate,</w:t>
      </w:r>
      <w:r>
        <w:t xml:space="preserve"> introduce landfill gas collection and control</w:t>
      </w:r>
      <w:r w:rsidR="00175199">
        <w:t xml:space="preserve"> </w:t>
      </w:r>
      <w:r w:rsidR="00175199" w:rsidRPr="00C16091">
        <w:t>systems</w:t>
      </w:r>
      <w:r>
        <w:t xml:space="preserve">. </w:t>
      </w:r>
    </w:p>
    <w:p w:rsidR="00890CDD" w:rsidRDefault="00890CDD" w:rsidP="00EF105B">
      <w:pPr>
        <w:pStyle w:val="Paralevel1"/>
        <w:tabs>
          <w:tab w:val="clear" w:pos="1843"/>
          <w:tab w:val="left" w:pos="1701"/>
        </w:tabs>
        <w:ind w:left="1134" w:firstLine="0"/>
      </w:pPr>
      <w:r>
        <w:t xml:space="preserve">Chemicals, including POPs, found in </w:t>
      </w:r>
      <w:proofErr w:type="spellStart"/>
      <w:r>
        <w:t>leachate</w:t>
      </w:r>
      <w:proofErr w:type="spellEnd"/>
      <w:r>
        <w:t xml:space="preserve"> and discharged into the receiving environment can have an impact on the environment and human health. Landfill </w:t>
      </w:r>
      <w:proofErr w:type="spellStart"/>
      <w:r>
        <w:t>leachate</w:t>
      </w:r>
      <w:proofErr w:type="spellEnd"/>
      <w:r>
        <w:t xml:space="preserve"> on-site treatment technologies should be in place to reduce and prevent toxic </w:t>
      </w:r>
      <w:proofErr w:type="spellStart"/>
      <w:r>
        <w:t>leachate</w:t>
      </w:r>
      <w:proofErr w:type="spellEnd"/>
      <w:r>
        <w:t xml:space="preserve"> from entering the environment. </w:t>
      </w:r>
      <w:proofErr w:type="spellStart"/>
      <w:r>
        <w:t>Leachate</w:t>
      </w:r>
      <w:proofErr w:type="spellEnd"/>
      <w:r>
        <w:t xml:space="preserve"> can be treated </w:t>
      </w:r>
      <w:r w:rsidR="002E4EDD">
        <w:t xml:space="preserve">through </w:t>
      </w:r>
      <w:r w:rsidR="00175199" w:rsidRPr="002E4EDD">
        <w:t>the use of</w:t>
      </w:r>
      <w:r w:rsidR="00175199">
        <w:t xml:space="preserve"> </w:t>
      </w:r>
      <w:proofErr w:type="spellStart"/>
      <w:r>
        <w:t>physico</w:t>
      </w:r>
      <w:proofErr w:type="spellEnd"/>
      <w:r>
        <w:t>-chemical and biological treatments or advanced treatment technologies</w:t>
      </w:r>
      <w:r w:rsidR="00FC6432">
        <w:t xml:space="preserve"> such as </w:t>
      </w:r>
      <w:r>
        <w:t>active carbon filtration, reverse osmosis</w:t>
      </w:r>
      <w:r w:rsidR="00175199">
        <w:t xml:space="preserve"> and </w:t>
      </w:r>
      <w:proofErr w:type="spellStart"/>
      <w:r>
        <w:t>nanofiltration</w:t>
      </w:r>
      <w:proofErr w:type="spellEnd"/>
      <w:r>
        <w:t xml:space="preserve">, </w:t>
      </w:r>
      <w:r w:rsidR="00175199">
        <w:t xml:space="preserve">among </w:t>
      </w:r>
      <w:r>
        <w:t>other</w:t>
      </w:r>
      <w:r w:rsidR="00175199">
        <w:t>s</w:t>
      </w:r>
      <w:r>
        <w:t xml:space="preserve">. </w:t>
      </w:r>
    </w:p>
    <w:p w:rsidR="00890CDD" w:rsidRDefault="00890CDD" w:rsidP="00EF105B">
      <w:pPr>
        <w:pStyle w:val="Paralevel1"/>
        <w:tabs>
          <w:tab w:val="clear" w:pos="1843"/>
          <w:tab w:val="left" w:pos="1701"/>
        </w:tabs>
        <w:ind w:left="1134" w:firstLine="0"/>
      </w:pPr>
      <w:r>
        <w:t xml:space="preserve">In addition, a uniform waste acceptance procedure based on a classification procedure for acceptable waste, including standardized concentration limit values, should be introduced. Moreover, monitoring procedures during the operation and post-closure phases of a landfill should be established in order to identify any possible adverse environmental effects of the landfill and take the appropriate corrective measures. A specific permit procedure should be introduced for the landfill. Permits should include specifications regarding </w:t>
      </w:r>
      <w:r w:rsidR="006B1AD8">
        <w:t xml:space="preserve">the </w:t>
      </w:r>
      <w:r>
        <w:t xml:space="preserve">types and concentrations of wastes to be accepted, </w:t>
      </w:r>
      <w:proofErr w:type="spellStart"/>
      <w:r>
        <w:t>leachate</w:t>
      </w:r>
      <w:proofErr w:type="spellEnd"/>
      <w:r>
        <w:t xml:space="preserve"> and gas control systems, monitoring, on-site security, and closure and post-closure.</w:t>
      </w:r>
    </w:p>
    <w:p w:rsidR="00890CDD" w:rsidRDefault="00890CDD" w:rsidP="00EF105B">
      <w:pPr>
        <w:pStyle w:val="Paralevel1"/>
        <w:tabs>
          <w:tab w:val="clear" w:pos="1843"/>
          <w:tab w:val="left" w:pos="1701"/>
        </w:tabs>
        <w:ind w:left="1134" w:firstLine="0"/>
      </w:pPr>
      <w:r>
        <w:t xml:space="preserve">The following wastes containing or contaminated with POPs are not suitable for disposal in specially engineered landfills: </w:t>
      </w:r>
    </w:p>
    <w:p w:rsidR="00890CDD" w:rsidRDefault="00890CDD" w:rsidP="0080213C">
      <w:pPr>
        <w:tabs>
          <w:tab w:val="clear" w:pos="1247"/>
          <w:tab w:val="clear" w:pos="1814"/>
          <w:tab w:val="clear" w:pos="2381"/>
          <w:tab w:val="left" w:pos="2268"/>
        </w:tabs>
        <w:spacing w:after="120"/>
        <w:ind w:left="1134" w:firstLine="567"/>
      </w:pPr>
      <w:r>
        <w:t>(a)</w:t>
      </w:r>
      <w:r>
        <w:tab/>
        <w:t>Liquids and materials containing free liquids;</w:t>
      </w:r>
    </w:p>
    <w:p w:rsidR="00890CDD" w:rsidRDefault="00890CDD" w:rsidP="0080213C">
      <w:pPr>
        <w:tabs>
          <w:tab w:val="clear" w:pos="1247"/>
          <w:tab w:val="clear" w:pos="1814"/>
          <w:tab w:val="clear" w:pos="2381"/>
          <w:tab w:val="left" w:pos="2268"/>
        </w:tabs>
        <w:spacing w:after="120"/>
        <w:ind w:left="1134" w:firstLine="567"/>
      </w:pPr>
      <w:r>
        <w:t>(b)</w:t>
      </w:r>
      <w:r>
        <w:tab/>
        <w:t>Biodegradable organic wastes;</w:t>
      </w:r>
    </w:p>
    <w:p w:rsidR="00890CDD" w:rsidRDefault="00890CDD" w:rsidP="0080213C">
      <w:pPr>
        <w:tabs>
          <w:tab w:val="clear" w:pos="1247"/>
          <w:tab w:val="clear" w:pos="1814"/>
          <w:tab w:val="clear" w:pos="2381"/>
          <w:tab w:val="left" w:pos="2268"/>
        </w:tabs>
        <w:spacing w:after="120"/>
        <w:ind w:left="1134" w:firstLine="567"/>
      </w:pPr>
      <w:r>
        <w:t>(c)</w:t>
      </w:r>
      <w:r>
        <w:tab/>
        <w:t>Empty containers, unless they are crushed, shredded or similarly reduced in volume;</w:t>
      </w:r>
      <w:r w:rsidR="00FC6432">
        <w:t xml:space="preserve"> and</w:t>
      </w:r>
    </w:p>
    <w:p w:rsidR="001545A8" w:rsidRDefault="00890CDD" w:rsidP="0080213C">
      <w:pPr>
        <w:tabs>
          <w:tab w:val="clear" w:pos="1247"/>
          <w:tab w:val="clear" w:pos="1814"/>
          <w:tab w:val="clear" w:pos="2381"/>
          <w:tab w:val="left" w:pos="2268"/>
        </w:tabs>
        <w:spacing w:after="120"/>
        <w:ind w:left="1134" w:firstLine="567"/>
      </w:pPr>
      <w:r>
        <w:t>(d)</w:t>
      </w:r>
      <w:r>
        <w:tab/>
      </w:r>
      <w:r w:rsidR="001545A8" w:rsidRPr="008B2A1A">
        <w:t xml:space="preserve">Explosives, flammable solids, </w:t>
      </w:r>
      <w:r w:rsidR="001545A8">
        <w:t xml:space="preserve">self-heating </w:t>
      </w:r>
      <w:r w:rsidR="001545A8" w:rsidRPr="008B2A1A">
        <w:t xml:space="preserve">spontaneously combustible materials, water-reactive materials, </w:t>
      </w:r>
      <w:proofErr w:type="spellStart"/>
      <w:r w:rsidR="001545A8">
        <w:t>pyrophoric</w:t>
      </w:r>
      <w:proofErr w:type="spellEnd"/>
      <w:r w:rsidR="001545A8">
        <w:t xml:space="preserve"> solids, self-reactive wastes, </w:t>
      </w:r>
      <w:r w:rsidR="001545A8" w:rsidRPr="008B2A1A">
        <w:t>oxidizers</w:t>
      </w:r>
      <w:r w:rsidR="001545A8">
        <w:t xml:space="preserve">, </w:t>
      </w:r>
      <w:r w:rsidR="001545A8" w:rsidRPr="008B2A1A">
        <w:t>organic peroxides</w:t>
      </w:r>
      <w:r w:rsidR="001545A8">
        <w:t xml:space="preserve">, </w:t>
      </w:r>
      <w:r w:rsidR="00FC6432">
        <w:t xml:space="preserve">and </w:t>
      </w:r>
      <w:r w:rsidR="001545A8">
        <w:t>corrosive and infectious wastes</w:t>
      </w:r>
      <w:r w:rsidR="001545A8" w:rsidRPr="008B2A1A">
        <w:t>.</w:t>
      </w:r>
      <w:r w:rsidR="001545A8" w:rsidRPr="008B2A1A" w:rsidDel="001545A8">
        <w:t xml:space="preserve"> </w:t>
      </w:r>
    </w:p>
    <w:p w:rsidR="003A088C" w:rsidRDefault="00890CDD" w:rsidP="009841E7">
      <w:pPr>
        <w:pStyle w:val="Heading4"/>
        <w:spacing w:before="240" w:after="120"/>
        <w:ind w:left="1134" w:hanging="510"/>
      </w:pPr>
      <w:bookmarkStart w:id="779" w:name="_Toc145395156"/>
      <w:bookmarkStart w:id="780" w:name="_Toc161804611"/>
      <w:bookmarkStart w:id="781" w:name="_Toc405988690"/>
      <w:bookmarkStart w:id="782" w:name="_Toc437340583"/>
      <w:r w:rsidRPr="009841E7">
        <w:rPr>
          <w:szCs w:val="20"/>
        </w:rPr>
        <w:t>(b)</w:t>
      </w:r>
      <w:r w:rsidRPr="009841E7">
        <w:rPr>
          <w:szCs w:val="20"/>
        </w:rPr>
        <w:tab/>
        <w:t>Permanent storage in underground mines and formations</w:t>
      </w:r>
      <w:bookmarkEnd w:id="779"/>
      <w:bookmarkEnd w:id="780"/>
      <w:bookmarkEnd w:id="781"/>
      <w:bookmarkEnd w:id="782"/>
      <w:r>
        <w:tab/>
      </w:r>
    </w:p>
    <w:p w:rsidR="00890CDD" w:rsidRDefault="00890CDD" w:rsidP="00EF105B">
      <w:pPr>
        <w:pStyle w:val="Paralevel1"/>
        <w:tabs>
          <w:tab w:val="clear" w:pos="1843"/>
          <w:tab w:val="left" w:pos="1701"/>
        </w:tabs>
        <w:ind w:left="1134" w:firstLine="0"/>
      </w:pPr>
      <w:r>
        <w:t xml:space="preserve">Permanent storage in facilities located underground in </w:t>
      </w:r>
      <w:proofErr w:type="spellStart"/>
      <w:r>
        <w:t>geohydrologically</w:t>
      </w:r>
      <w:proofErr w:type="spellEnd"/>
      <w:r>
        <w:t xml:space="preserve"> isolated salt mines and hard rock formations is an option </w:t>
      </w:r>
      <w:r w:rsidR="00FC6432" w:rsidRPr="002E4EDD">
        <w:t xml:space="preserve">for </w:t>
      </w:r>
      <w:r w:rsidRPr="002E4EDD">
        <w:t>separat</w:t>
      </w:r>
      <w:r w:rsidR="00FC6432" w:rsidRPr="002E4EDD">
        <w:t>ing</w:t>
      </w:r>
      <w:r>
        <w:t xml:space="preserve"> hazardous wastes from the biosphere for geological periods of time. A site-specific security assessment </w:t>
      </w:r>
      <w:r w:rsidR="00405DFE" w:rsidRPr="00512DE2">
        <w:t>conducted in accordance with</w:t>
      </w:r>
      <w:r>
        <w:t xml:space="preserve"> pertinent national legislation</w:t>
      </w:r>
      <w:r w:rsidR="00FC6432">
        <w:t>,</w:t>
      </w:r>
      <w:r>
        <w:t xml:space="preserve"> such as the provisions contained in European Council </w:t>
      </w:r>
      <w:r w:rsidR="00FC6432">
        <w:t>D</w:t>
      </w:r>
      <w:r>
        <w:t xml:space="preserve">ecision 2003/33/EC of 19 December 2002 </w:t>
      </w:r>
      <w:r w:rsidR="001064CF">
        <w:t>(</w:t>
      </w:r>
      <w:r>
        <w:t xml:space="preserve">establishing criteria and procedures for the acceptance of waste at landfills pursuant to Article 16 of </w:t>
      </w:r>
      <w:proofErr w:type="spellStart"/>
      <w:r>
        <w:t>and</w:t>
      </w:r>
      <w:proofErr w:type="spellEnd"/>
      <w:r>
        <w:t xml:space="preserve"> </w:t>
      </w:r>
      <w:r w:rsidR="00E44D72">
        <w:t>A</w:t>
      </w:r>
      <w:r>
        <w:t xml:space="preserve">nnex II to </w:t>
      </w:r>
      <w:r w:rsidR="00121BC2">
        <w:t>Council D</w:t>
      </w:r>
      <w:r>
        <w:t>irective 1999/31/EC</w:t>
      </w:r>
      <w:r w:rsidR="001064CF">
        <w:t>)</w:t>
      </w:r>
      <w:r w:rsidR="00FC6432">
        <w:t>,</w:t>
      </w:r>
      <w:r w:rsidR="00944A8E">
        <w:t xml:space="preserve"> </w:t>
      </w:r>
      <w:r w:rsidR="00E44D72">
        <w:t>A</w:t>
      </w:r>
      <w:r w:rsidR="00944A8E">
        <w:t>nnex, a</w:t>
      </w:r>
      <w:r w:rsidR="001064CF">
        <w:t>ppendix A,</w:t>
      </w:r>
      <w:r>
        <w:t xml:space="preserve"> should be performed for every planned underground storage facility.</w:t>
      </w:r>
    </w:p>
    <w:p w:rsidR="00890CDD" w:rsidRDefault="00890CDD" w:rsidP="00EF105B">
      <w:pPr>
        <w:pStyle w:val="Paralevel1"/>
        <w:tabs>
          <w:tab w:val="clear" w:pos="1843"/>
          <w:tab w:val="left" w:pos="1701"/>
        </w:tabs>
        <w:ind w:left="1134" w:firstLine="0"/>
      </w:pPr>
      <w:r>
        <w:t>Wastes should be disposed of in a manner that excludes any undesirable reaction between different wastes or between wastes and storage lining</w:t>
      </w:r>
      <w:r w:rsidR="00832E8C">
        <w:t>s</w:t>
      </w:r>
      <w:r>
        <w:t xml:space="preserve">, </w:t>
      </w:r>
      <w:r w:rsidR="002E4EDD">
        <w:t xml:space="preserve">through, </w:t>
      </w:r>
      <w:r>
        <w:t>among other things</w:t>
      </w:r>
      <w:r w:rsidR="006B1AD8">
        <w:t>,</w:t>
      </w:r>
      <w:r>
        <w:t xml:space="preserve"> </w:t>
      </w:r>
      <w:r w:rsidR="00405DFE" w:rsidRPr="00512DE2">
        <w:t>t</w:t>
      </w:r>
      <w:r w:rsidR="00405DFE" w:rsidRPr="00405DFE">
        <w:t xml:space="preserve">he </w:t>
      </w:r>
      <w:r w:rsidRPr="002E4EDD">
        <w:t>stor</w:t>
      </w:r>
      <w:r w:rsidR="00832E8C" w:rsidRPr="002E4EDD">
        <w:t>age</w:t>
      </w:r>
      <w:r w:rsidRPr="002E4EDD">
        <w:t xml:space="preserve"> </w:t>
      </w:r>
      <w:r w:rsidR="00832E8C" w:rsidRPr="002E4EDD">
        <w:t xml:space="preserve">of </w:t>
      </w:r>
      <w:r w:rsidR="00832E8C" w:rsidRPr="00C16091">
        <w:t>wastes</w:t>
      </w:r>
      <w:r w:rsidR="00832E8C">
        <w:t xml:space="preserve"> </w:t>
      </w:r>
      <w:r>
        <w:t>in chemically and mechanically secure containers. Wastes that are liquid, gaseous, emit toxic gases or are explosive, flammable or infectious should not be stored underground in mines. Operational permits should define waste types that should be generally excluded.</w:t>
      </w:r>
    </w:p>
    <w:p w:rsidR="00890CDD" w:rsidRDefault="00890CDD" w:rsidP="00EF105B">
      <w:pPr>
        <w:pStyle w:val="Paralevel1"/>
        <w:tabs>
          <w:tab w:val="clear" w:pos="1843"/>
          <w:tab w:val="left" w:pos="1701"/>
        </w:tabs>
        <w:ind w:left="1134" w:firstLine="0"/>
      </w:pPr>
      <w:r>
        <w:t xml:space="preserve">The following should be considered in the selection of permanent storage for disposal of POP wastes: </w:t>
      </w:r>
    </w:p>
    <w:p w:rsidR="00890CDD" w:rsidRDefault="00890CDD" w:rsidP="0080213C">
      <w:pPr>
        <w:tabs>
          <w:tab w:val="clear" w:pos="1247"/>
          <w:tab w:val="clear" w:pos="1814"/>
          <w:tab w:val="clear" w:pos="2381"/>
          <w:tab w:val="left" w:pos="2268"/>
        </w:tabs>
        <w:spacing w:after="120"/>
        <w:ind w:left="1134" w:firstLine="567"/>
      </w:pPr>
      <w:r>
        <w:t>(a)</w:t>
      </w:r>
      <w:r>
        <w:tab/>
        <w:t>Caverns or tunnels used for storage should be completely separated from active mining areas and areas that may</w:t>
      </w:r>
      <w:r w:rsidR="00356CC8">
        <w:t xml:space="preserve"> </w:t>
      </w:r>
      <w:r>
        <w:t>be reopened for mining;</w:t>
      </w:r>
    </w:p>
    <w:p w:rsidR="00890CDD" w:rsidRDefault="00890CDD" w:rsidP="0080213C">
      <w:pPr>
        <w:tabs>
          <w:tab w:val="clear" w:pos="1247"/>
          <w:tab w:val="clear" w:pos="1814"/>
          <w:tab w:val="clear" w:pos="2381"/>
          <w:tab w:val="left" w:pos="2268"/>
        </w:tabs>
        <w:spacing w:after="120"/>
        <w:ind w:left="1134" w:firstLine="567"/>
      </w:pPr>
      <w:r>
        <w:t>(b)</w:t>
      </w:r>
      <w:r>
        <w:tab/>
        <w:t xml:space="preserve">Caverns or tunnels should be located in geological formations that are well below zones of available groundwater or in formations that are completely isolated by impermeable rock or clay layers from water-bearing zones; </w:t>
      </w:r>
    </w:p>
    <w:p w:rsidR="00890CDD" w:rsidRDefault="00890CDD" w:rsidP="0080213C">
      <w:pPr>
        <w:tabs>
          <w:tab w:val="clear" w:pos="1247"/>
          <w:tab w:val="clear" w:pos="1814"/>
          <w:tab w:val="clear" w:pos="2381"/>
          <w:tab w:val="left" w:pos="2268"/>
        </w:tabs>
        <w:spacing w:after="120"/>
        <w:ind w:left="1134" w:firstLine="567"/>
      </w:pPr>
      <w:r>
        <w:t>(c)</w:t>
      </w:r>
      <w:r>
        <w:tab/>
        <w:t>Caverns and tunnels should be located in geological formations that are extremely stable and not in areas subject to earthquakes.</w:t>
      </w:r>
    </w:p>
    <w:p w:rsidR="00890CDD" w:rsidRDefault="00890CDD">
      <w:pPr>
        <w:pStyle w:val="Heading3"/>
        <w:spacing w:before="240" w:after="120"/>
        <w:ind w:left="1134" w:hanging="425"/>
      </w:pPr>
      <w:bookmarkStart w:id="783" w:name="_Toc95280689"/>
      <w:bookmarkStart w:id="784" w:name="_Toc145395157"/>
      <w:bookmarkStart w:id="785" w:name="_Toc161804612"/>
      <w:bookmarkStart w:id="786" w:name="_Toc405988691"/>
      <w:bookmarkStart w:id="787" w:name="_Toc437340584"/>
      <w:r w:rsidRPr="005E5BFF">
        <w:rPr>
          <w:szCs w:val="20"/>
        </w:rPr>
        <w:t>4.</w:t>
      </w:r>
      <w:r w:rsidRPr="005E5BFF">
        <w:rPr>
          <w:szCs w:val="20"/>
        </w:rPr>
        <w:tab/>
        <w:t>Other</w:t>
      </w:r>
      <w:r>
        <w:rPr>
          <w:szCs w:val="20"/>
        </w:rPr>
        <w:t xml:space="preserve"> </w:t>
      </w:r>
      <w:r w:rsidR="00095594">
        <w:rPr>
          <w:szCs w:val="20"/>
        </w:rPr>
        <w:t xml:space="preserve">disposal methods </w:t>
      </w:r>
      <w:r w:rsidRPr="005E5BFF">
        <w:rPr>
          <w:szCs w:val="20"/>
        </w:rPr>
        <w:t>when</w:t>
      </w:r>
      <w:r>
        <w:rPr>
          <w:szCs w:val="20"/>
        </w:rPr>
        <w:t xml:space="preserve"> </w:t>
      </w:r>
      <w:r w:rsidRPr="005E5BFF">
        <w:rPr>
          <w:szCs w:val="20"/>
        </w:rPr>
        <w:t>the POP content is low</w:t>
      </w:r>
      <w:bookmarkEnd w:id="783"/>
      <w:bookmarkEnd w:id="784"/>
      <w:bookmarkEnd w:id="785"/>
      <w:bookmarkEnd w:id="786"/>
      <w:bookmarkEnd w:id="787"/>
      <w:r w:rsidRPr="005E5BFF">
        <w:rPr>
          <w:szCs w:val="20"/>
        </w:rPr>
        <w:t xml:space="preserve"> </w:t>
      </w:r>
    </w:p>
    <w:bookmarkEnd w:id="774"/>
    <w:p w:rsidR="00890CDD" w:rsidRDefault="00890CDD" w:rsidP="00EF105B">
      <w:pPr>
        <w:pStyle w:val="Paralevel1"/>
        <w:tabs>
          <w:tab w:val="clear" w:pos="1843"/>
          <w:tab w:val="left" w:pos="1701"/>
        </w:tabs>
        <w:ind w:left="1134" w:firstLine="0"/>
      </w:pPr>
      <w:r w:rsidRPr="00A90105">
        <w:t xml:space="preserve">If wastes </w:t>
      </w:r>
      <w:r>
        <w:t xml:space="preserve">with a </w:t>
      </w:r>
      <w:r w:rsidRPr="00A90105">
        <w:t xml:space="preserve">POP </w:t>
      </w:r>
      <w:r>
        <w:t>content</w:t>
      </w:r>
      <w:r w:rsidRPr="00A90105">
        <w:t xml:space="preserve"> </w:t>
      </w:r>
      <w:r w:rsidR="00C916E2">
        <w:t xml:space="preserve">below </w:t>
      </w:r>
      <w:r w:rsidRPr="00A90105">
        <w:t xml:space="preserve">the low POP content are not disposed of </w:t>
      </w:r>
      <w:r w:rsidR="00C916E2" w:rsidRPr="00C5407D">
        <w:t>using</w:t>
      </w:r>
      <w:r w:rsidR="00C916E2">
        <w:t xml:space="preserve"> </w:t>
      </w:r>
      <w:r w:rsidRPr="00A90105">
        <w:t xml:space="preserve">the methods described above, they should be disposed of in </w:t>
      </w:r>
      <w:r>
        <w:t xml:space="preserve">an environmentally sound manner in </w:t>
      </w:r>
      <w:r w:rsidRPr="00A90105">
        <w:t xml:space="preserve">accordance with pertinent national legislation and international rules, standards and guidelines, including specific technical guidelines developed under the Basel Convention. </w:t>
      </w:r>
    </w:p>
    <w:p w:rsidR="00890CDD" w:rsidRDefault="00095594" w:rsidP="00EF105B">
      <w:pPr>
        <w:pStyle w:val="Paralevel1"/>
        <w:tabs>
          <w:tab w:val="clear" w:pos="1843"/>
          <w:tab w:val="left" w:pos="1701"/>
        </w:tabs>
        <w:ind w:left="1134" w:firstLine="0"/>
      </w:pPr>
      <w:r>
        <w:t xml:space="preserve">Depending </w:t>
      </w:r>
      <w:r w:rsidR="00CF53FE">
        <w:t xml:space="preserve">on, </w:t>
      </w:r>
      <w:r w:rsidR="00405DFE" w:rsidRPr="00405DFE">
        <w:rPr>
          <w:i/>
        </w:rPr>
        <w:t>inter alia</w:t>
      </w:r>
      <w:r w:rsidR="00CF53FE">
        <w:t xml:space="preserve">, </w:t>
      </w:r>
      <w:r w:rsidR="002B5F40">
        <w:t xml:space="preserve">the </w:t>
      </w:r>
      <w:r w:rsidR="00890CDD">
        <w:t>type of waste stream in question</w:t>
      </w:r>
      <w:r w:rsidR="002B5F40">
        <w:t>,</w:t>
      </w:r>
      <w:r w:rsidR="00890CDD">
        <w:t xml:space="preserve"> the </w:t>
      </w:r>
      <w:r>
        <w:t xml:space="preserve">appropriate </w:t>
      </w:r>
      <w:r w:rsidR="00890CDD">
        <w:t>disposal method</w:t>
      </w:r>
      <w:r>
        <w:t xml:space="preserve"> should be chosen</w:t>
      </w:r>
      <w:r w:rsidR="00890CDD">
        <w:t xml:space="preserve"> to manage </w:t>
      </w:r>
      <w:r w:rsidR="002B5F40">
        <w:t xml:space="preserve">the waste </w:t>
      </w:r>
      <w:r w:rsidR="00890CDD">
        <w:t xml:space="preserve">in an environmentally sound manner. For example, </w:t>
      </w:r>
      <w:r>
        <w:t>technical</w:t>
      </w:r>
      <w:r w:rsidR="00890CDD">
        <w:t xml:space="preserve"> guidelines </w:t>
      </w:r>
      <w:r w:rsidR="001A1CC4">
        <w:t xml:space="preserve">on </w:t>
      </w:r>
      <w:r w:rsidR="00890CDD">
        <w:t xml:space="preserve">the </w:t>
      </w:r>
      <w:r w:rsidR="00A760B6">
        <w:t>ESM</w:t>
      </w:r>
      <w:r w:rsidR="00890CDD">
        <w:t xml:space="preserve"> of</w:t>
      </w:r>
      <w:r>
        <w:t xml:space="preserve"> a number of waste streams have been developed under the Basel Convention</w:t>
      </w:r>
      <w:r w:rsidR="00674BAD">
        <w:t xml:space="preserve"> and are available </w:t>
      </w:r>
      <w:r w:rsidR="002B5F40">
        <w:t xml:space="preserve">from </w:t>
      </w:r>
      <w:r w:rsidR="00674BAD">
        <w:t>www.basel.int</w:t>
      </w:r>
      <w:r>
        <w:t>.</w:t>
      </w:r>
    </w:p>
    <w:p w:rsidR="00890CDD" w:rsidRDefault="00890CDD" w:rsidP="00EF105B">
      <w:pPr>
        <w:pStyle w:val="Paralevel1"/>
        <w:tabs>
          <w:tab w:val="clear" w:pos="1843"/>
          <w:tab w:val="left" w:pos="1701"/>
        </w:tabs>
        <w:ind w:left="1134" w:firstLine="0"/>
      </w:pPr>
      <w:r>
        <w:t>E</w:t>
      </w:r>
      <w:r w:rsidRPr="00A90105">
        <w:t>xamples of pertinent national legislation are given in annex II to the present guidelines.</w:t>
      </w:r>
    </w:p>
    <w:p w:rsidR="00890CDD" w:rsidRDefault="00890CDD">
      <w:pPr>
        <w:pStyle w:val="Heading2"/>
        <w:spacing w:before="240" w:after="120"/>
        <w:ind w:left="1134" w:hanging="510"/>
      </w:pPr>
      <w:bookmarkStart w:id="788" w:name="_Toc58997138"/>
      <w:bookmarkStart w:id="789" w:name="_Toc58999214"/>
      <w:bookmarkStart w:id="790" w:name="_Toc58999273"/>
      <w:bookmarkStart w:id="791" w:name="_Toc59943370"/>
      <w:bookmarkStart w:id="792" w:name="_Toc59943534"/>
      <w:bookmarkStart w:id="793" w:name="_Toc59943592"/>
      <w:bookmarkStart w:id="794" w:name="_Toc59943685"/>
      <w:bookmarkStart w:id="795" w:name="_Toc61328058"/>
      <w:bookmarkStart w:id="796" w:name="_Toc61681699"/>
      <w:bookmarkStart w:id="797" w:name="_Toc61681768"/>
      <w:bookmarkStart w:id="798" w:name="_Toc62220561"/>
      <w:bookmarkStart w:id="799" w:name="_Toc161804613"/>
      <w:bookmarkStart w:id="800" w:name="_Toc405988692"/>
      <w:bookmarkStart w:id="801" w:name="_Toc437340585"/>
      <w:r w:rsidRPr="00DB6052">
        <w:t>H.</w:t>
      </w:r>
      <w:r w:rsidRPr="00DB6052">
        <w:tab/>
        <w:t xml:space="preserve">Remediation of </w:t>
      </w:r>
      <w:r w:rsidRPr="00AC1596">
        <w:t xml:space="preserve">contaminated </w:t>
      </w:r>
      <w:bookmarkEnd w:id="788"/>
      <w:bookmarkEnd w:id="789"/>
      <w:bookmarkEnd w:id="790"/>
      <w:bookmarkEnd w:id="791"/>
      <w:bookmarkEnd w:id="792"/>
      <w:bookmarkEnd w:id="793"/>
      <w:bookmarkEnd w:id="794"/>
      <w:bookmarkEnd w:id="795"/>
      <w:bookmarkEnd w:id="796"/>
      <w:bookmarkEnd w:id="797"/>
      <w:bookmarkEnd w:id="798"/>
      <w:bookmarkEnd w:id="799"/>
      <w:r w:rsidRPr="00AC1596">
        <w:t>sites</w:t>
      </w:r>
      <w:bookmarkEnd w:id="800"/>
      <w:bookmarkEnd w:id="801"/>
    </w:p>
    <w:p w:rsidR="00890CDD" w:rsidRDefault="00890CDD">
      <w:pPr>
        <w:pStyle w:val="Heading3"/>
        <w:spacing w:before="240" w:after="120"/>
        <w:ind w:left="1134" w:hanging="425"/>
      </w:pPr>
      <w:bookmarkStart w:id="802" w:name="_Toc72312030"/>
      <w:bookmarkStart w:id="803" w:name="_Toc95280691"/>
      <w:bookmarkStart w:id="804" w:name="_Toc145395159"/>
      <w:bookmarkStart w:id="805" w:name="_Toc161804614"/>
      <w:bookmarkStart w:id="806" w:name="_Toc405988693"/>
      <w:bookmarkStart w:id="807" w:name="_Toc437340586"/>
      <w:r w:rsidRPr="005E5BFF">
        <w:rPr>
          <w:szCs w:val="20"/>
        </w:rPr>
        <w:t>1.</w:t>
      </w:r>
      <w:r w:rsidRPr="005E5BFF">
        <w:rPr>
          <w:szCs w:val="20"/>
        </w:rPr>
        <w:tab/>
        <w:t>Contaminated site identification</w:t>
      </w:r>
      <w:bookmarkEnd w:id="802"/>
      <w:bookmarkEnd w:id="803"/>
      <w:bookmarkEnd w:id="804"/>
      <w:bookmarkEnd w:id="805"/>
      <w:bookmarkEnd w:id="806"/>
      <w:bookmarkEnd w:id="807"/>
    </w:p>
    <w:p w:rsidR="00890CDD" w:rsidRDefault="00890CDD" w:rsidP="00EF105B">
      <w:pPr>
        <w:pStyle w:val="Paralevel1"/>
        <w:tabs>
          <w:tab w:val="clear" w:pos="1843"/>
          <w:tab w:val="left" w:pos="1701"/>
        </w:tabs>
        <w:ind w:left="1134" w:firstLine="0"/>
      </w:pPr>
      <w:r>
        <w:t xml:space="preserve">Poor handling and storage practices in particular may lead to releases of POPs at sites storing these chemicals, resulting in contamination of the site with high levels of POPs that may pose serious health concerns. Identification of such sites is the first step in addressing potential concerns. </w:t>
      </w:r>
    </w:p>
    <w:p w:rsidR="00890CDD" w:rsidRDefault="00890CDD" w:rsidP="00EF105B">
      <w:pPr>
        <w:pStyle w:val="Paralevel1"/>
        <w:tabs>
          <w:tab w:val="clear" w:pos="1843"/>
          <w:tab w:val="left" w:pos="1701"/>
        </w:tabs>
        <w:ind w:left="1134" w:firstLine="0"/>
      </w:pPr>
      <w:r>
        <w:t>Identification of such sites can be undertaken using a phased approach, including:</w:t>
      </w:r>
    </w:p>
    <w:p w:rsidR="00890CDD" w:rsidRDefault="00890CDD" w:rsidP="0080213C">
      <w:pPr>
        <w:tabs>
          <w:tab w:val="clear" w:pos="1247"/>
          <w:tab w:val="clear" w:pos="1814"/>
          <w:tab w:val="clear" w:pos="2381"/>
          <w:tab w:val="left" w:pos="2268"/>
        </w:tabs>
        <w:spacing w:after="120"/>
        <w:ind w:left="1134" w:firstLine="567"/>
      </w:pPr>
      <w:r>
        <w:t>(a)</w:t>
      </w:r>
      <w:r>
        <w:tab/>
        <w:t>Identification of suspect</w:t>
      </w:r>
      <w:r w:rsidR="006B1AD8">
        <w:t>ed</w:t>
      </w:r>
      <w:r>
        <w:t xml:space="preserve"> sites, such as sites </w:t>
      </w:r>
      <w:r w:rsidR="00E17D56" w:rsidRPr="007657AF">
        <w:t xml:space="preserve">presently </w:t>
      </w:r>
      <w:r w:rsidR="00E45818" w:rsidRPr="007657AF">
        <w:t>or</w:t>
      </w:r>
      <w:r w:rsidR="00E17D56" w:rsidRPr="007657AF">
        <w:t xml:space="preserve"> historically</w:t>
      </w:r>
      <w:r w:rsidR="00E17D56">
        <w:t xml:space="preserve"> </w:t>
      </w:r>
      <w:r>
        <w:t>involved in:</w:t>
      </w:r>
    </w:p>
    <w:p w:rsidR="00890CDD" w:rsidRDefault="00890CDD" w:rsidP="0080213C">
      <w:pPr>
        <w:keepNext/>
        <w:tabs>
          <w:tab w:val="clear" w:pos="1247"/>
          <w:tab w:val="clear" w:pos="1814"/>
          <w:tab w:val="clear" w:pos="2381"/>
          <w:tab w:val="clear" w:pos="2948"/>
          <w:tab w:val="clear" w:pos="3515"/>
        </w:tabs>
        <w:spacing w:after="120"/>
        <w:ind w:left="2835" w:hanging="567"/>
      </w:pPr>
      <w:r>
        <w:t>(</w:t>
      </w:r>
      <w:proofErr w:type="spellStart"/>
      <w:proofErr w:type="gramStart"/>
      <w:r>
        <w:t>i</w:t>
      </w:r>
      <w:proofErr w:type="spellEnd"/>
      <w:proofErr w:type="gramEnd"/>
      <w:r>
        <w:t>)</w:t>
      </w:r>
      <w:r>
        <w:tab/>
        <w:t>Manufacture of POPs;</w:t>
      </w:r>
    </w:p>
    <w:p w:rsidR="00E45818" w:rsidRDefault="00E45818" w:rsidP="0080213C">
      <w:pPr>
        <w:keepNext/>
        <w:tabs>
          <w:tab w:val="clear" w:pos="1247"/>
          <w:tab w:val="clear" w:pos="1814"/>
          <w:tab w:val="clear" w:pos="2381"/>
          <w:tab w:val="clear" w:pos="2948"/>
          <w:tab w:val="clear" w:pos="3515"/>
        </w:tabs>
        <w:spacing w:after="120"/>
        <w:ind w:left="2835" w:hanging="567"/>
      </w:pPr>
      <w:r w:rsidRPr="00F86509">
        <w:t>(</w:t>
      </w:r>
      <w:r w:rsidR="006E7C79" w:rsidRPr="00F86509">
        <w:t>ii</w:t>
      </w:r>
      <w:r w:rsidRPr="00F86509">
        <w:t>)</w:t>
      </w:r>
      <w:r w:rsidR="00BA42B8">
        <w:tab/>
      </w:r>
      <w:r>
        <w:t>Other process</w:t>
      </w:r>
      <w:r w:rsidR="00D1106D">
        <w:t xml:space="preserve">es listed in Annex C </w:t>
      </w:r>
      <w:r w:rsidR="00C1583E">
        <w:t>to</w:t>
      </w:r>
      <w:r w:rsidR="00D1106D">
        <w:t xml:space="preserve"> the S</w:t>
      </w:r>
      <w:r w:rsidR="00673C15">
        <w:t xml:space="preserve">tockholm </w:t>
      </w:r>
      <w:r w:rsidR="00D1106D">
        <w:t>C</w:t>
      </w:r>
      <w:r w:rsidR="00673C15">
        <w:t>onvention</w:t>
      </w:r>
      <w:r>
        <w:t xml:space="preserve"> leading to the creation of </w:t>
      </w:r>
      <w:r w:rsidR="00673C15">
        <w:t xml:space="preserve">unintentional </w:t>
      </w:r>
      <w:r>
        <w:t>POPs</w:t>
      </w:r>
      <w:r w:rsidR="00673C15">
        <w:t xml:space="preserve">; </w:t>
      </w:r>
    </w:p>
    <w:p w:rsidR="00890CDD" w:rsidRDefault="00890CDD" w:rsidP="0080213C">
      <w:pPr>
        <w:keepNext/>
        <w:tabs>
          <w:tab w:val="clear" w:pos="1247"/>
          <w:tab w:val="clear" w:pos="1814"/>
          <w:tab w:val="clear" w:pos="2381"/>
          <w:tab w:val="clear" w:pos="2948"/>
          <w:tab w:val="clear" w:pos="3515"/>
        </w:tabs>
        <w:spacing w:after="120"/>
        <w:ind w:left="2835" w:hanging="567"/>
      </w:pPr>
      <w:r>
        <w:t>(ii</w:t>
      </w:r>
      <w:r w:rsidR="006E7C79">
        <w:t>i</w:t>
      </w:r>
      <w:r>
        <w:t>)</w:t>
      </w:r>
      <w:r>
        <w:tab/>
        <w:t xml:space="preserve">Formulation of pesticides and filling and </w:t>
      </w:r>
      <w:proofErr w:type="spellStart"/>
      <w:r>
        <w:t>retrofilling</w:t>
      </w:r>
      <w:proofErr w:type="spellEnd"/>
      <w:r>
        <w:t xml:space="preserve"> of transformers; </w:t>
      </w:r>
    </w:p>
    <w:p w:rsidR="00890CDD" w:rsidRDefault="00890CDD" w:rsidP="0080213C">
      <w:pPr>
        <w:keepNext/>
        <w:tabs>
          <w:tab w:val="clear" w:pos="1247"/>
          <w:tab w:val="clear" w:pos="1814"/>
          <w:tab w:val="clear" w:pos="2381"/>
          <w:tab w:val="clear" w:pos="2948"/>
          <w:tab w:val="clear" w:pos="3515"/>
        </w:tabs>
        <w:spacing w:after="120"/>
        <w:ind w:left="2835" w:hanging="567"/>
      </w:pPr>
      <w:proofErr w:type="gramStart"/>
      <w:r>
        <w:t>(i</w:t>
      </w:r>
      <w:r w:rsidR="006E7C79">
        <w:t>v</w:t>
      </w:r>
      <w:r>
        <w:t>)</w:t>
      </w:r>
      <w:r>
        <w:tab/>
        <w:t>Usage</w:t>
      </w:r>
      <w:proofErr w:type="gramEnd"/>
      <w:r>
        <w:t xml:space="preserve"> </w:t>
      </w:r>
      <w:r w:rsidR="00C16762" w:rsidRPr="007657AF">
        <w:t>and storage</w:t>
      </w:r>
      <w:r w:rsidR="00C16762">
        <w:t xml:space="preserve"> </w:t>
      </w:r>
      <w:r>
        <w:t>of POPs, such as</w:t>
      </w:r>
      <w:r w:rsidR="00E752E2">
        <w:t xml:space="preserve"> </w:t>
      </w:r>
      <w:r>
        <w:t>application of pesticides and placement of transformers;</w:t>
      </w:r>
      <w:r w:rsidR="00DC7834">
        <w:t xml:space="preserve"> </w:t>
      </w:r>
      <w:r w:rsidR="002F4B3F">
        <w:t>and</w:t>
      </w:r>
    </w:p>
    <w:p w:rsidR="00C16762" w:rsidRDefault="00890CDD" w:rsidP="0080213C">
      <w:pPr>
        <w:keepNext/>
        <w:tabs>
          <w:tab w:val="clear" w:pos="1247"/>
          <w:tab w:val="clear" w:pos="1814"/>
          <w:tab w:val="clear" w:pos="2381"/>
          <w:tab w:val="clear" w:pos="2948"/>
          <w:tab w:val="clear" w:pos="3515"/>
        </w:tabs>
        <w:spacing w:after="120"/>
        <w:ind w:left="2835" w:hanging="567"/>
      </w:pPr>
      <w:r>
        <w:t>(v)</w:t>
      </w:r>
      <w:r>
        <w:tab/>
        <w:t>Disposal of POP wastes;</w:t>
      </w:r>
    </w:p>
    <w:p w:rsidR="00890CDD" w:rsidRDefault="00890CDD" w:rsidP="0080213C">
      <w:pPr>
        <w:tabs>
          <w:tab w:val="clear" w:pos="1247"/>
          <w:tab w:val="clear" w:pos="1814"/>
          <w:tab w:val="clear" w:pos="2381"/>
          <w:tab w:val="left" w:pos="2268"/>
        </w:tabs>
        <w:spacing w:after="120"/>
        <w:ind w:left="1134" w:firstLine="567"/>
      </w:pPr>
      <w:r>
        <w:t>(b)</w:t>
      </w:r>
      <w:r>
        <w:tab/>
        <w:t>Review of current and historical information pertaining to the suspected site;</w:t>
      </w:r>
    </w:p>
    <w:p w:rsidR="00890CDD" w:rsidRDefault="00890CDD" w:rsidP="0080213C">
      <w:pPr>
        <w:tabs>
          <w:tab w:val="clear" w:pos="1247"/>
          <w:tab w:val="clear" w:pos="1814"/>
          <w:tab w:val="clear" w:pos="2381"/>
          <w:tab w:val="left" w:pos="2268"/>
        </w:tabs>
        <w:spacing w:after="120"/>
        <w:ind w:left="1134" w:firstLine="567"/>
      </w:pPr>
      <w:r>
        <w:t>(c)</w:t>
      </w:r>
      <w:r>
        <w:tab/>
        <w:t>An initial testing programme to confirm the presence or absence of suspected contaminants and</w:t>
      </w:r>
      <w:r w:rsidR="00F55B70">
        <w:t xml:space="preserve"> </w:t>
      </w:r>
      <w:r w:rsidR="00DC7834" w:rsidRPr="00F55B70">
        <w:t>to</w:t>
      </w:r>
      <w:r w:rsidR="00DC7834">
        <w:t xml:space="preserve"> </w:t>
      </w:r>
      <w:r>
        <w:t xml:space="preserve">characterize the physical conditions </w:t>
      </w:r>
      <w:r w:rsidR="00F55B70" w:rsidRPr="00C5407D">
        <w:t>of</w:t>
      </w:r>
      <w:r w:rsidR="00F55B70">
        <w:t xml:space="preserve"> </w:t>
      </w:r>
      <w:r>
        <w:t>the suspected site;</w:t>
      </w:r>
      <w:r w:rsidR="00DC7834">
        <w:t xml:space="preserve"> and</w:t>
      </w:r>
    </w:p>
    <w:p w:rsidR="00890CDD" w:rsidRPr="00F50359" w:rsidRDefault="00890CDD" w:rsidP="0080213C">
      <w:pPr>
        <w:tabs>
          <w:tab w:val="clear" w:pos="1247"/>
          <w:tab w:val="clear" w:pos="1814"/>
          <w:tab w:val="clear" w:pos="2381"/>
          <w:tab w:val="left" w:pos="2268"/>
        </w:tabs>
        <w:spacing w:after="120"/>
        <w:ind w:left="1134" w:firstLine="567"/>
      </w:pPr>
      <w:r>
        <w:t>(d)</w:t>
      </w:r>
      <w:r>
        <w:tab/>
        <w:t>A detailed testing programme to identify the nature of the site contamination and gather any additional information required.</w:t>
      </w:r>
    </w:p>
    <w:p w:rsidR="00890CDD" w:rsidRPr="00F50359" w:rsidRDefault="00890CDD" w:rsidP="00EF105B">
      <w:pPr>
        <w:pStyle w:val="Paralevel1"/>
        <w:tabs>
          <w:tab w:val="clear" w:pos="1843"/>
          <w:tab w:val="left" w:pos="1701"/>
        </w:tabs>
        <w:ind w:left="1134" w:firstLine="0"/>
      </w:pPr>
      <w:bookmarkStart w:id="808" w:name="_Toc95280692"/>
      <w:bookmarkStart w:id="809" w:name="_Toc145395160"/>
      <w:bookmarkStart w:id="810" w:name="_Toc161804615"/>
      <w:r w:rsidRPr="00674BAD">
        <w:t>I</w:t>
      </w:r>
      <w:r w:rsidRPr="00674BAD">
        <w:rPr>
          <w:rStyle w:val="FootnoteReference"/>
          <w:szCs w:val="20"/>
          <w:vertAlign w:val="baseline"/>
        </w:rPr>
        <w:t xml:space="preserve">nformation on contaminated site identification is </w:t>
      </w:r>
      <w:r w:rsidRPr="00674BAD">
        <w:t xml:space="preserve">widely </w:t>
      </w:r>
      <w:r w:rsidRPr="00674BAD">
        <w:rPr>
          <w:rStyle w:val="FootnoteReference"/>
          <w:szCs w:val="20"/>
          <w:vertAlign w:val="baseline"/>
        </w:rPr>
        <w:t>available. For example</w:t>
      </w:r>
      <w:r w:rsidR="00A760B6" w:rsidRPr="00674BAD">
        <w:t>,</w:t>
      </w:r>
      <w:r w:rsidRPr="00674BAD">
        <w:rPr>
          <w:rStyle w:val="FootnoteReference"/>
          <w:szCs w:val="20"/>
          <w:vertAlign w:val="baseline"/>
        </w:rPr>
        <w:t xml:space="preserve"> </w:t>
      </w:r>
      <w:r w:rsidRPr="00674BAD">
        <w:t xml:space="preserve">the United Nations Industrial Development Organization (UNIDO) Expert Group on POPs has developed a comprehensive </w:t>
      </w:r>
      <w:r w:rsidR="00A760B6" w:rsidRPr="00674BAD">
        <w:t>t</w:t>
      </w:r>
      <w:r w:rsidRPr="00674BAD">
        <w:t xml:space="preserve">oolkit </w:t>
      </w:r>
      <w:r w:rsidR="00DC7834">
        <w:t xml:space="preserve">aimed at </w:t>
      </w:r>
      <w:r w:rsidRPr="00674BAD">
        <w:t>a</w:t>
      </w:r>
      <w:r w:rsidR="00EF1951">
        <w:t>ssisting</w:t>
      </w:r>
      <w:r w:rsidRPr="00674BAD">
        <w:t xml:space="preserve"> developing countries with the identification, classification and prioritization of POP-contaminated sites and with the development of suitable technologies for land remediation</w:t>
      </w:r>
      <w:r w:rsidR="007D6E1B" w:rsidRPr="00674BAD">
        <w:t>,</w:t>
      </w:r>
      <w:r w:rsidRPr="00674BAD">
        <w:t xml:space="preserve"> in accordance with best available techniques and best environmental practices (BAT/BEP) (UNIDO, 2010). Other information can be found </w:t>
      </w:r>
      <w:r w:rsidRPr="00F50359">
        <w:rPr>
          <w:rStyle w:val="FootnoteReference"/>
          <w:szCs w:val="20"/>
          <w:vertAlign w:val="baseline"/>
        </w:rPr>
        <w:t xml:space="preserve">in </w:t>
      </w:r>
      <w:proofErr w:type="gramStart"/>
      <w:r w:rsidR="007D6E1B">
        <w:t xml:space="preserve">the </w:t>
      </w:r>
      <w:r w:rsidR="00405DFE" w:rsidRPr="00405DFE">
        <w:rPr>
          <w:rStyle w:val="FootnoteReference"/>
          <w:i/>
          <w:szCs w:val="20"/>
          <w:vertAlign w:val="baseline"/>
        </w:rPr>
        <w:t>Reference manual</w:t>
      </w:r>
      <w:r w:rsidR="00405DFE" w:rsidRPr="00405DFE">
        <w:rPr>
          <w:i/>
        </w:rPr>
        <w:t xml:space="preserve"> for</w:t>
      </w:r>
      <w:proofErr w:type="gramEnd"/>
      <w:r w:rsidR="00405DFE" w:rsidRPr="00405DFE">
        <w:rPr>
          <w:i/>
        </w:rPr>
        <w:t xml:space="preserve"> a</w:t>
      </w:r>
      <w:r w:rsidR="00405DFE" w:rsidRPr="00405DFE">
        <w:rPr>
          <w:rStyle w:val="FootnoteReference"/>
          <w:i/>
          <w:szCs w:val="20"/>
          <w:vertAlign w:val="baseline"/>
        </w:rPr>
        <w:t>ssessing soil contamination</w:t>
      </w:r>
      <w:r w:rsidR="00405DFE" w:rsidRPr="00405DFE">
        <w:rPr>
          <w:i/>
        </w:rPr>
        <w:t xml:space="preserve"> </w:t>
      </w:r>
      <w:r w:rsidRPr="00F50359">
        <w:t>(</w:t>
      </w:r>
      <w:r w:rsidRPr="00F50359">
        <w:rPr>
          <w:rStyle w:val="FootnoteReference"/>
          <w:szCs w:val="20"/>
          <w:vertAlign w:val="baseline"/>
        </w:rPr>
        <w:t>FAO, 2000)</w:t>
      </w:r>
      <w:r w:rsidRPr="00F50359">
        <w:t xml:space="preserve"> and the </w:t>
      </w:r>
      <w:r w:rsidR="00405DFE" w:rsidRPr="00405DFE">
        <w:rPr>
          <w:rStyle w:val="FootnoteReference"/>
          <w:i/>
          <w:szCs w:val="20"/>
          <w:vertAlign w:val="baseline"/>
        </w:rPr>
        <w:t xml:space="preserve">Guidance </w:t>
      </w:r>
      <w:r w:rsidR="00405DFE" w:rsidRPr="00405DFE">
        <w:rPr>
          <w:i/>
        </w:rPr>
        <w:t>d</w:t>
      </w:r>
      <w:r w:rsidR="00405DFE" w:rsidRPr="00405DFE">
        <w:rPr>
          <w:rStyle w:val="FootnoteReference"/>
          <w:i/>
          <w:szCs w:val="20"/>
          <w:vertAlign w:val="baseline"/>
        </w:rPr>
        <w:t xml:space="preserve">ocument on the </w:t>
      </w:r>
      <w:r w:rsidR="00405DFE" w:rsidRPr="00405DFE">
        <w:rPr>
          <w:i/>
        </w:rPr>
        <w:t>m</w:t>
      </w:r>
      <w:r w:rsidR="00405DFE" w:rsidRPr="00405DFE">
        <w:rPr>
          <w:rStyle w:val="FootnoteReference"/>
          <w:i/>
          <w:szCs w:val="20"/>
          <w:vertAlign w:val="baseline"/>
        </w:rPr>
        <w:t xml:space="preserve">anagement of </w:t>
      </w:r>
      <w:r w:rsidR="00405DFE" w:rsidRPr="00405DFE">
        <w:rPr>
          <w:i/>
        </w:rPr>
        <w:t>c</w:t>
      </w:r>
      <w:r w:rsidR="00405DFE" w:rsidRPr="00405DFE">
        <w:rPr>
          <w:rStyle w:val="FootnoteReference"/>
          <w:i/>
          <w:szCs w:val="20"/>
          <w:vertAlign w:val="baseline"/>
        </w:rPr>
        <w:t xml:space="preserve">ontaminated sites in Canada </w:t>
      </w:r>
      <w:r w:rsidRPr="00F50359">
        <w:rPr>
          <w:rStyle w:val="FootnoteReference"/>
          <w:szCs w:val="20"/>
          <w:vertAlign w:val="baseline"/>
        </w:rPr>
        <w:t>(Canadian Council of Ministers of the Environment, 1997)</w:t>
      </w:r>
      <w:r w:rsidRPr="00F50359">
        <w:t>.</w:t>
      </w:r>
      <w:r w:rsidR="00D36371">
        <w:t xml:space="preserve"> </w:t>
      </w:r>
    </w:p>
    <w:p w:rsidR="00890CDD" w:rsidRDefault="00890CDD">
      <w:pPr>
        <w:pStyle w:val="Heading3"/>
        <w:spacing w:before="240" w:after="120"/>
        <w:ind w:left="1134" w:hanging="425"/>
      </w:pPr>
      <w:bookmarkStart w:id="811" w:name="_Toc405988694"/>
      <w:bookmarkStart w:id="812" w:name="_Toc437340587"/>
      <w:r w:rsidRPr="005E5BFF">
        <w:rPr>
          <w:szCs w:val="20"/>
        </w:rPr>
        <w:t>2.</w:t>
      </w:r>
      <w:r w:rsidRPr="005E5BFF">
        <w:rPr>
          <w:szCs w:val="20"/>
        </w:rPr>
        <w:tab/>
        <w:t>Environmentally sound remediation</w:t>
      </w:r>
      <w:bookmarkEnd w:id="808"/>
      <w:bookmarkEnd w:id="809"/>
      <w:bookmarkEnd w:id="810"/>
      <w:bookmarkEnd w:id="811"/>
      <w:bookmarkEnd w:id="812"/>
    </w:p>
    <w:p w:rsidR="007036D7" w:rsidRDefault="00890CDD" w:rsidP="00EF105B">
      <w:pPr>
        <w:pStyle w:val="Paralevel1"/>
        <w:tabs>
          <w:tab w:val="clear" w:pos="1843"/>
          <w:tab w:val="left" w:pos="1701"/>
        </w:tabs>
        <w:ind w:left="1134" w:firstLine="0"/>
      </w:pPr>
      <w:r>
        <w:t xml:space="preserve">Contaminated site criteria developed by </w:t>
      </w:r>
      <w:r w:rsidR="003B6FD7">
        <w:t>G</w:t>
      </w:r>
      <w:r>
        <w:t xml:space="preserve">overnments using risk assessment techniques are used as general targets in site remediation. Separate criteria can be developed or adopted for soil, sediment and groundwater. Often, a distinction is made between soil quality criteria depending on the use of the site: industrial (least stringent criteria), commercial, residential </w:t>
      </w:r>
      <w:r w:rsidR="003B6FD7">
        <w:t xml:space="preserve">or </w:t>
      </w:r>
      <w:r>
        <w:t xml:space="preserve">agricultural (most stringent criteria) soils. Examples of such criteria can be found in the German </w:t>
      </w:r>
      <w:r w:rsidR="002F7926">
        <w:t>F</w:t>
      </w:r>
      <w:r>
        <w:t xml:space="preserve">ederal </w:t>
      </w:r>
      <w:r w:rsidR="002F7926">
        <w:t>S</w:t>
      </w:r>
      <w:r>
        <w:t xml:space="preserve">oil </w:t>
      </w:r>
      <w:r w:rsidR="002F7926">
        <w:t>P</w:t>
      </w:r>
      <w:r>
        <w:t xml:space="preserve">rotection and </w:t>
      </w:r>
      <w:r w:rsidR="002F7926">
        <w:t>C</w:t>
      </w:r>
      <w:r>
        <w:t xml:space="preserve">ontaminated </w:t>
      </w:r>
      <w:r w:rsidR="002F7926">
        <w:t>S</w:t>
      </w:r>
      <w:r>
        <w:t xml:space="preserve">ites </w:t>
      </w:r>
      <w:r w:rsidR="002F7926">
        <w:t>O</w:t>
      </w:r>
      <w:r>
        <w:t xml:space="preserve">rdinance, the Swiss </w:t>
      </w:r>
      <w:r w:rsidR="002F7926">
        <w:t>S</w:t>
      </w:r>
      <w:r>
        <w:t xml:space="preserve">oil </w:t>
      </w:r>
      <w:r w:rsidR="002F7926">
        <w:t>B</w:t>
      </w:r>
      <w:r>
        <w:t xml:space="preserve">urden </w:t>
      </w:r>
      <w:r w:rsidR="002F7926">
        <w:t>O</w:t>
      </w:r>
      <w:r>
        <w:t xml:space="preserve">rdinance and the Canadian </w:t>
      </w:r>
      <w:r w:rsidR="002F7926">
        <w:t>E</w:t>
      </w:r>
      <w:r>
        <w:t xml:space="preserve">nvironmental </w:t>
      </w:r>
      <w:r w:rsidR="002F7926">
        <w:t>Q</w:t>
      </w:r>
      <w:r>
        <w:t xml:space="preserve">uality </w:t>
      </w:r>
      <w:r w:rsidR="002F7926">
        <w:t>G</w:t>
      </w:r>
      <w:r>
        <w:t>uidelines.</w:t>
      </w:r>
      <w:r w:rsidR="008C4CFA">
        <w:rPr>
          <w:rStyle w:val="FootnoteReference"/>
        </w:rPr>
        <w:footnoteReference w:customMarkFollows="1" w:id="130"/>
        <w:t>130</w:t>
      </w:r>
      <w:r>
        <w:t xml:space="preserve"> </w:t>
      </w:r>
    </w:p>
    <w:p w:rsidR="00D5610D" w:rsidRPr="004125C3" w:rsidRDefault="00D5610D" w:rsidP="00EF105B">
      <w:pPr>
        <w:pStyle w:val="Paralevel1"/>
        <w:tabs>
          <w:tab w:val="clear" w:pos="1843"/>
          <w:tab w:val="left" w:pos="1701"/>
        </w:tabs>
        <w:ind w:left="1134" w:firstLine="0"/>
      </w:pPr>
      <w:r w:rsidRPr="00EF105B">
        <w:t>Information</w:t>
      </w:r>
      <w:r w:rsidRPr="00B90A58">
        <w:rPr>
          <w:rStyle w:val="FootnoteReference"/>
          <w:szCs w:val="20"/>
          <w:vertAlign w:val="baseline"/>
          <w:lang w:val="en-GB"/>
        </w:rPr>
        <w:t xml:space="preserve"> on methods currently used for the remediation of sites contaminated with POPs</w:t>
      </w:r>
      <w:r w:rsidR="00F22CC5">
        <w:rPr>
          <w:rStyle w:val="FootnoteReference"/>
          <w:szCs w:val="20"/>
          <w:vertAlign w:val="baseline"/>
          <w:lang w:val="en-GB"/>
        </w:rPr>
        <w:t>,</w:t>
      </w:r>
      <w:r w:rsidRPr="00B90A58">
        <w:rPr>
          <w:rStyle w:val="FootnoteReference"/>
          <w:szCs w:val="20"/>
          <w:vertAlign w:val="baseline"/>
          <w:lang w:val="en-GB"/>
        </w:rPr>
        <w:t xml:space="preserve"> </w:t>
      </w:r>
      <w:r w:rsidRPr="004125C3">
        <w:t>including guidance on site assessment, remediation program</w:t>
      </w:r>
      <w:r w:rsidR="00F22CC5">
        <w:t>s and</w:t>
      </w:r>
      <w:r w:rsidRPr="004125C3">
        <w:t xml:space="preserve"> risk assessment</w:t>
      </w:r>
      <w:r w:rsidR="00F22CC5">
        <w:t>,</w:t>
      </w:r>
      <w:r w:rsidRPr="004125C3">
        <w:t xml:space="preserve"> </w:t>
      </w:r>
      <w:r w:rsidRPr="00B90A58">
        <w:rPr>
          <w:rStyle w:val="FootnoteReference"/>
          <w:szCs w:val="20"/>
          <w:vertAlign w:val="baseline"/>
          <w:lang w:val="en-GB"/>
        </w:rPr>
        <w:t>is available from a variety of sources</w:t>
      </w:r>
      <w:r w:rsidR="00F22CC5">
        <w:t>, including</w:t>
      </w:r>
      <w:r w:rsidRPr="004125C3">
        <w:t>:</w:t>
      </w:r>
      <w:r w:rsidR="008C4CFA">
        <w:rPr>
          <w:rStyle w:val="FootnoteReference"/>
        </w:rPr>
        <w:footnoteReference w:customMarkFollows="1" w:id="131"/>
        <w:t>131</w:t>
      </w:r>
    </w:p>
    <w:p w:rsidR="00515F20" w:rsidRDefault="004125C3">
      <w:pPr>
        <w:pStyle w:val="ColorfulList-Accent11"/>
        <w:numPr>
          <w:ilvl w:val="3"/>
          <w:numId w:val="14"/>
        </w:numPr>
        <w:tabs>
          <w:tab w:val="clear" w:pos="1247"/>
          <w:tab w:val="clear" w:pos="1814"/>
          <w:tab w:val="clear" w:pos="2381"/>
          <w:tab w:val="left" w:pos="2268"/>
        </w:tabs>
        <w:spacing w:after="120"/>
        <w:ind w:left="1138" w:firstLine="562"/>
        <w:rPr>
          <w:lang w:val="es-ES"/>
        </w:rPr>
      </w:pPr>
      <w:r w:rsidRPr="00C16091">
        <w:rPr>
          <w:lang w:val="es-ES"/>
        </w:rPr>
        <w:t>Canadian</w:t>
      </w:r>
      <w:r w:rsidRPr="00C16091">
        <w:rPr>
          <w:rStyle w:val="FootnoteReference"/>
          <w:szCs w:val="20"/>
          <w:vertAlign w:val="baseline"/>
          <w:lang w:val="es-ES"/>
        </w:rPr>
        <w:t xml:space="preserve"> Council of </w:t>
      </w:r>
      <w:proofErr w:type="spellStart"/>
      <w:r w:rsidRPr="00C16091">
        <w:rPr>
          <w:rStyle w:val="FootnoteReference"/>
          <w:szCs w:val="20"/>
          <w:vertAlign w:val="baseline"/>
          <w:lang w:val="es-ES"/>
        </w:rPr>
        <w:t>Ministers</w:t>
      </w:r>
      <w:proofErr w:type="spellEnd"/>
      <w:r w:rsidRPr="00C16091">
        <w:rPr>
          <w:rStyle w:val="FootnoteReference"/>
          <w:szCs w:val="20"/>
          <w:vertAlign w:val="baseline"/>
          <w:lang w:val="es-ES"/>
        </w:rPr>
        <w:t xml:space="preserve"> of </w:t>
      </w:r>
      <w:proofErr w:type="spellStart"/>
      <w:r w:rsidRPr="00C16091">
        <w:rPr>
          <w:rStyle w:val="FootnoteReference"/>
          <w:szCs w:val="20"/>
          <w:vertAlign w:val="baseline"/>
          <w:lang w:val="es-ES"/>
        </w:rPr>
        <w:t>the</w:t>
      </w:r>
      <w:proofErr w:type="spellEnd"/>
      <w:r w:rsidRPr="00C16091">
        <w:rPr>
          <w:rStyle w:val="FootnoteReference"/>
          <w:szCs w:val="20"/>
          <w:vertAlign w:val="baseline"/>
          <w:lang w:val="es-ES"/>
        </w:rPr>
        <w:t xml:space="preserve"> </w:t>
      </w:r>
      <w:proofErr w:type="spellStart"/>
      <w:r w:rsidRPr="00C16091">
        <w:rPr>
          <w:rStyle w:val="FootnoteReference"/>
          <w:szCs w:val="20"/>
          <w:vertAlign w:val="baseline"/>
          <w:lang w:val="es-ES"/>
        </w:rPr>
        <w:t>Environment</w:t>
      </w:r>
      <w:proofErr w:type="spellEnd"/>
      <w:r w:rsidRPr="00C16091">
        <w:rPr>
          <w:rStyle w:val="FootnoteReference"/>
          <w:szCs w:val="20"/>
          <w:vertAlign w:val="baseline"/>
          <w:lang w:val="es-ES"/>
        </w:rPr>
        <w:t xml:space="preserve">, </w:t>
      </w:r>
      <w:r w:rsidRPr="00C16091">
        <w:rPr>
          <w:lang w:val="es-ES"/>
        </w:rPr>
        <w:t>1997</w:t>
      </w:r>
      <w:r w:rsidR="000C7C9B">
        <w:rPr>
          <w:lang w:val="es-ES"/>
        </w:rPr>
        <w:t>.</w:t>
      </w:r>
      <w:r w:rsidR="00C16091">
        <w:rPr>
          <w:lang w:val="es-ES"/>
        </w:rPr>
        <w:t xml:space="preserve"> </w:t>
      </w:r>
      <w:r w:rsidR="00405DFE" w:rsidRPr="00405DFE">
        <w:rPr>
          <w:i/>
        </w:rPr>
        <w:t>Guidance Document on the Management of Contaminated Sites in Canada</w:t>
      </w:r>
      <w:r w:rsidR="000C7C9B" w:rsidRPr="00F9232A">
        <w:t xml:space="preserve">. Available </w:t>
      </w:r>
      <w:r w:rsidR="000C7C9B">
        <w:t xml:space="preserve">from: </w:t>
      </w:r>
      <w:hyperlink r:id="rId22" w:history="1">
        <w:r w:rsidR="000C7C9B" w:rsidRPr="00F9232A">
          <w:rPr>
            <w:rStyle w:val="Hyperlink"/>
          </w:rPr>
          <w:t>www.ccme.ca</w:t>
        </w:r>
      </w:hyperlink>
      <w:r w:rsidR="000C7C9B" w:rsidRPr="00F9232A">
        <w:t>.</w:t>
      </w:r>
    </w:p>
    <w:p w:rsidR="00515F20" w:rsidRDefault="00D5610D">
      <w:pPr>
        <w:pStyle w:val="ColorfulList-Accent11"/>
        <w:numPr>
          <w:ilvl w:val="3"/>
          <w:numId w:val="14"/>
        </w:numPr>
        <w:tabs>
          <w:tab w:val="clear" w:pos="1247"/>
          <w:tab w:val="clear" w:pos="1814"/>
          <w:tab w:val="clear" w:pos="2381"/>
          <w:tab w:val="left" w:pos="2268"/>
        </w:tabs>
        <w:spacing w:after="120"/>
        <w:ind w:left="1138" w:firstLine="562"/>
      </w:pPr>
      <w:r w:rsidRPr="00D36371">
        <w:t>FAO</w:t>
      </w:r>
      <w:r w:rsidR="00405DFE" w:rsidRPr="00405DFE">
        <w:t xml:space="preserve">, 2001. </w:t>
      </w:r>
      <w:r w:rsidR="00405DFE" w:rsidRPr="00405DFE">
        <w:rPr>
          <w:i/>
        </w:rPr>
        <w:t>Training manual on inventory taking of obsolete pesticides</w:t>
      </w:r>
      <w:r w:rsidR="000C7C9B" w:rsidRPr="00F2109C" w:rsidDel="00D5610D">
        <w:t xml:space="preserve">, </w:t>
      </w:r>
      <w:r w:rsidR="00D36371">
        <w:t xml:space="preserve">Pesticide Disposal </w:t>
      </w:r>
      <w:r w:rsidR="000C7C9B" w:rsidRPr="00F2109C" w:rsidDel="00D5610D">
        <w:t>Series No</w:t>
      </w:r>
      <w:r w:rsidR="000C7C9B">
        <w:t>.</w:t>
      </w:r>
      <w:r w:rsidR="000C7C9B" w:rsidRPr="00F2109C" w:rsidDel="00D5610D">
        <w:t xml:space="preserve"> 10</w:t>
      </w:r>
      <w:r w:rsidR="00D36371">
        <w:t>.</w:t>
      </w:r>
      <w:r w:rsidR="00405DFE" w:rsidRPr="00405DFE">
        <w:t xml:space="preserve"> </w:t>
      </w:r>
      <w:r w:rsidR="00F119C4">
        <w:t xml:space="preserve">Available from: </w:t>
      </w:r>
      <w:hyperlink r:id="rId23" w:history="1">
        <w:r w:rsidR="00D36371" w:rsidRPr="000D5CCC">
          <w:rPr>
            <w:rStyle w:val="Hyperlink"/>
          </w:rPr>
          <w:t>www.fao.org</w:t>
        </w:r>
      </w:hyperlink>
      <w:r w:rsidR="00F119C4">
        <w:t>.</w:t>
      </w:r>
      <w:r w:rsidR="00D36371">
        <w:t xml:space="preserve"> </w:t>
      </w:r>
    </w:p>
    <w:p w:rsidR="00515F20" w:rsidRDefault="000C7C9B">
      <w:pPr>
        <w:pStyle w:val="ColorfulList-Accent11"/>
        <w:numPr>
          <w:ilvl w:val="3"/>
          <w:numId w:val="14"/>
        </w:numPr>
        <w:tabs>
          <w:tab w:val="clear" w:pos="1247"/>
          <w:tab w:val="clear" w:pos="1814"/>
          <w:tab w:val="clear" w:pos="2381"/>
          <w:tab w:val="left" w:pos="2268"/>
        </w:tabs>
        <w:spacing w:after="120"/>
        <w:ind w:left="1138" w:firstLine="562"/>
      </w:pPr>
      <w:r w:rsidRPr="005E5BFF">
        <w:t>Federal Remediation Technolog</w:t>
      </w:r>
      <w:r w:rsidR="00424862">
        <w:t>y</w:t>
      </w:r>
      <w:r w:rsidRPr="005E5BFF">
        <w:t xml:space="preserve"> Roundtable </w:t>
      </w:r>
      <w:r>
        <w:t>(</w:t>
      </w:r>
      <w:r w:rsidRPr="00F2109C">
        <w:t>FRTR</w:t>
      </w:r>
      <w:r>
        <w:t>)</w:t>
      </w:r>
      <w:r w:rsidRPr="00F2109C">
        <w:t xml:space="preserve">, 2002. </w:t>
      </w:r>
      <w:r w:rsidRPr="00F2109C">
        <w:rPr>
          <w:i/>
        </w:rPr>
        <w:t>Remediation Technologies Screening Matrix and Reference Guide, Version 4.0</w:t>
      </w:r>
      <w:r w:rsidRPr="00F2109C">
        <w:t xml:space="preserve">. Available at </w:t>
      </w:r>
      <w:hyperlink r:id="rId24" w:history="1">
        <w:r w:rsidRPr="00F2109C">
          <w:rPr>
            <w:rStyle w:val="Hyperlink"/>
          </w:rPr>
          <w:t>www.frtr.gov/matrix2/top_page.html</w:t>
        </w:r>
      </w:hyperlink>
      <w:r w:rsidRPr="00F2109C">
        <w:t>.</w:t>
      </w:r>
      <w:r w:rsidRPr="000C7C9B" w:rsidDel="000C7C9B">
        <w:rPr>
          <w:highlight w:val="yellow"/>
        </w:rPr>
        <w:t xml:space="preserve"> </w:t>
      </w:r>
    </w:p>
    <w:p w:rsidR="007135DD" w:rsidRPr="00616CA7" w:rsidRDefault="00616CA7" w:rsidP="00616CA7">
      <w:pPr>
        <w:tabs>
          <w:tab w:val="clear" w:pos="1247"/>
          <w:tab w:val="clear" w:pos="1814"/>
          <w:tab w:val="clear" w:pos="2381"/>
          <w:tab w:val="left" w:pos="2268"/>
        </w:tabs>
        <w:spacing w:after="120"/>
        <w:ind w:left="1134" w:firstLine="567"/>
        <w:rPr>
          <w:lang w:val="en-US"/>
        </w:rPr>
      </w:pPr>
      <w:r>
        <w:t>(</w:t>
      </w:r>
      <w:r w:rsidR="000C7C9B">
        <w:t>d</w:t>
      </w:r>
      <w:r>
        <w:t>)</w:t>
      </w:r>
      <w:r>
        <w:tab/>
      </w:r>
      <w:proofErr w:type="gramStart"/>
      <w:r w:rsidR="00D5610D" w:rsidRPr="00616CA7">
        <w:t>United</w:t>
      </w:r>
      <w:proofErr w:type="gramEnd"/>
      <w:r w:rsidR="00D5610D" w:rsidRPr="00616CA7">
        <w:rPr>
          <w:rStyle w:val="FootnoteReference"/>
          <w:szCs w:val="20"/>
          <w:vertAlign w:val="baseline"/>
          <w:lang w:val="en-US"/>
        </w:rPr>
        <w:t xml:space="preserve"> States Environmental Protection Agency </w:t>
      </w:r>
      <w:r w:rsidR="00D5610D" w:rsidRPr="00616CA7">
        <w:rPr>
          <w:lang w:val="en-US"/>
        </w:rPr>
        <w:t>(EPA</w:t>
      </w:r>
      <w:r>
        <w:rPr>
          <w:lang w:val="en-US"/>
        </w:rPr>
        <w:t>)</w:t>
      </w:r>
      <w:r w:rsidR="00965B4F">
        <w:rPr>
          <w:lang w:val="en-US"/>
        </w:rPr>
        <w:t>:</w:t>
      </w:r>
    </w:p>
    <w:p w:rsidR="007135DD" w:rsidRPr="00616CA7" w:rsidRDefault="003747B3" w:rsidP="00616CA7">
      <w:pPr>
        <w:pStyle w:val="Paralevel1"/>
        <w:numPr>
          <w:ilvl w:val="0"/>
          <w:numId w:val="0"/>
        </w:numPr>
        <w:tabs>
          <w:tab w:val="clear" w:pos="1843"/>
        </w:tabs>
        <w:spacing w:after="0"/>
        <w:ind w:left="2268"/>
      </w:pPr>
      <w:hyperlink r:id="rId25" w:history="1">
        <w:r w:rsidR="00D5610D" w:rsidRPr="00616CA7">
          <w:rPr>
            <w:rStyle w:val="Hyperlink"/>
          </w:rPr>
          <w:t>http://www.epa.gov/superfund/</w:t>
        </w:r>
      </w:hyperlink>
    </w:p>
    <w:p w:rsidR="007135DD" w:rsidRPr="00AA2890" w:rsidRDefault="003747B3" w:rsidP="00616CA7">
      <w:pPr>
        <w:pStyle w:val="Paralevel1"/>
        <w:numPr>
          <w:ilvl w:val="0"/>
          <w:numId w:val="0"/>
        </w:numPr>
        <w:tabs>
          <w:tab w:val="clear" w:pos="1843"/>
        </w:tabs>
        <w:spacing w:after="0"/>
        <w:ind w:left="2268"/>
      </w:pPr>
      <w:hyperlink r:id="rId26" w:history="1">
        <w:r w:rsidR="00D5610D" w:rsidRPr="00AA2890">
          <w:rPr>
            <w:rStyle w:val="Hyperlink"/>
          </w:rPr>
          <w:t>http://www.epa.gov/oswer/riskassessment/risk_superfund.htm</w:t>
        </w:r>
      </w:hyperlink>
      <w:r w:rsidR="00D5610D" w:rsidRPr="00AA2890">
        <w:t> </w:t>
      </w:r>
    </w:p>
    <w:p w:rsidR="004125C3" w:rsidRPr="00AA2890" w:rsidRDefault="003747B3" w:rsidP="00616CA7">
      <w:pPr>
        <w:pStyle w:val="Paralevel1"/>
        <w:numPr>
          <w:ilvl w:val="0"/>
          <w:numId w:val="0"/>
        </w:numPr>
        <w:tabs>
          <w:tab w:val="clear" w:pos="1843"/>
        </w:tabs>
        <w:spacing w:after="0"/>
        <w:ind w:left="2268"/>
      </w:pPr>
      <w:hyperlink r:id="rId27" w:history="1">
        <w:r w:rsidR="00D5610D" w:rsidRPr="00AA2890">
          <w:rPr>
            <w:rStyle w:val="Hyperlink"/>
          </w:rPr>
          <w:t>http://www.epa.gov/superfund/cleanup/pasi.htm</w:t>
        </w:r>
      </w:hyperlink>
      <w:r w:rsidR="00D5610D" w:rsidRPr="00AA2890">
        <w:t xml:space="preserve">, </w:t>
      </w:r>
      <w:hyperlink r:id="rId28" w:history="1">
        <w:r w:rsidR="00D5610D" w:rsidRPr="00AA2890">
          <w:rPr>
            <w:rStyle w:val="Hyperlink"/>
          </w:rPr>
          <w:t>http://www.epa.gov/superfund/policy/remedy/sfremedy/rifs.htm</w:t>
        </w:r>
      </w:hyperlink>
      <w:r w:rsidR="00D5610D" w:rsidRPr="00AA2890">
        <w:t xml:space="preserve">, </w:t>
      </w:r>
      <w:hyperlink r:id="rId29" w:history="1">
        <w:r w:rsidR="00D5610D" w:rsidRPr="00AA2890">
          <w:rPr>
            <w:rStyle w:val="Hyperlink"/>
          </w:rPr>
          <w:t>http://www.epa.gov/superfund/cleanup/rdra.htm</w:t>
        </w:r>
      </w:hyperlink>
      <w:r w:rsidR="004125C3" w:rsidRPr="00AA2890">
        <w:t xml:space="preserve"> </w:t>
      </w:r>
    </w:p>
    <w:p w:rsidR="007135DD" w:rsidRPr="00AA2890" w:rsidRDefault="007135DD" w:rsidP="007135DD">
      <w:pPr>
        <w:pStyle w:val="Paralevel1"/>
        <w:numPr>
          <w:ilvl w:val="0"/>
          <w:numId w:val="0"/>
        </w:numPr>
        <w:spacing w:after="0"/>
        <w:ind w:left="2160"/>
      </w:pPr>
    </w:p>
    <w:p w:rsidR="00CE496A" w:rsidRDefault="00616CA7" w:rsidP="00616CA7">
      <w:pPr>
        <w:tabs>
          <w:tab w:val="clear" w:pos="1247"/>
          <w:tab w:val="clear" w:pos="1814"/>
          <w:tab w:val="clear" w:pos="2381"/>
          <w:tab w:val="left" w:pos="2268"/>
        </w:tabs>
        <w:spacing w:after="120"/>
        <w:ind w:left="1134" w:firstLine="567"/>
      </w:pPr>
      <w:r w:rsidRPr="00616CA7">
        <w:rPr>
          <w:lang w:val="en-US"/>
        </w:rPr>
        <w:t>(</w:t>
      </w:r>
      <w:proofErr w:type="gramStart"/>
      <w:r w:rsidR="000C7C9B">
        <w:rPr>
          <w:lang w:val="en-US"/>
        </w:rPr>
        <w:t>e</w:t>
      </w:r>
      <w:proofErr w:type="gramEnd"/>
      <w:r w:rsidRPr="00616CA7">
        <w:rPr>
          <w:lang w:val="en-US"/>
        </w:rPr>
        <w:t>)</w:t>
      </w:r>
      <w:r w:rsidRPr="00616CA7">
        <w:rPr>
          <w:lang w:val="en-US"/>
        </w:rPr>
        <w:tab/>
      </w:r>
      <w:r w:rsidR="004125C3" w:rsidRPr="00616CA7">
        <w:rPr>
          <w:lang w:val="en-US"/>
        </w:rPr>
        <w:t>United</w:t>
      </w:r>
      <w:r w:rsidR="004125C3" w:rsidRPr="004125C3">
        <w:t xml:space="preserve"> States Army Corps of Engineers, 2003</w:t>
      </w:r>
      <w:r w:rsidR="00CE496A">
        <w:t xml:space="preserve">. </w:t>
      </w:r>
      <w:proofErr w:type="gramStart"/>
      <w:r w:rsidR="00405DFE" w:rsidRPr="00405DFE">
        <w:rPr>
          <w:i/>
        </w:rPr>
        <w:t>Safety and Health Aspects of HTRW Remediation Technologies</w:t>
      </w:r>
      <w:r w:rsidR="00CE496A" w:rsidRPr="00812D4B">
        <w:t>.</w:t>
      </w:r>
      <w:proofErr w:type="gramEnd"/>
      <w:r w:rsidR="00CE496A" w:rsidRPr="00812D4B">
        <w:t xml:space="preserve"> Available at</w:t>
      </w:r>
      <w:r w:rsidR="00CE496A">
        <w:t>:</w:t>
      </w:r>
      <w:r w:rsidR="00CE496A" w:rsidRPr="00812D4B">
        <w:t xml:space="preserve"> </w:t>
      </w:r>
      <w:hyperlink r:id="rId30" w:history="1">
        <w:r w:rsidR="00CE496A" w:rsidRPr="00812D4B">
          <w:rPr>
            <w:rStyle w:val="Hyperlink"/>
          </w:rPr>
          <w:t>http://140.194.76.129/publications/eng-manuals/EM_1110-1-4007_sec/EM_1110-1-4007.pdf</w:t>
        </w:r>
      </w:hyperlink>
      <w:r w:rsidR="00965B4F">
        <w:t>; and</w:t>
      </w:r>
      <w:r w:rsidR="00965B4F" w:rsidRPr="004125C3" w:rsidDel="00965B4F">
        <w:t xml:space="preserve"> </w:t>
      </w:r>
    </w:p>
    <w:p w:rsidR="00965B4F" w:rsidRDefault="00CE496A" w:rsidP="00965B4F">
      <w:pPr>
        <w:tabs>
          <w:tab w:val="clear" w:pos="1247"/>
          <w:tab w:val="clear" w:pos="1814"/>
          <w:tab w:val="clear" w:pos="2381"/>
          <w:tab w:val="left" w:pos="2268"/>
        </w:tabs>
        <w:spacing w:after="120"/>
        <w:ind w:left="1134" w:firstLine="567"/>
      </w:pPr>
      <w:r w:rsidRPr="004125C3" w:rsidDel="00965B4F">
        <w:t xml:space="preserve"> </w:t>
      </w:r>
      <w:r w:rsidR="00616CA7">
        <w:t>(</w:t>
      </w:r>
      <w:r w:rsidR="000C7C9B">
        <w:t>f</w:t>
      </w:r>
      <w:r w:rsidR="00616CA7">
        <w:t>)</w:t>
      </w:r>
      <w:r w:rsidR="00616CA7">
        <w:tab/>
      </w:r>
      <w:proofErr w:type="spellStart"/>
      <w:r w:rsidR="00D5610D" w:rsidRPr="00B90A58">
        <w:rPr>
          <w:rStyle w:val="FootnoteReference"/>
          <w:szCs w:val="20"/>
          <w:vertAlign w:val="baseline"/>
        </w:rPr>
        <w:t>Vijgen</w:t>
      </w:r>
      <w:proofErr w:type="spellEnd"/>
      <w:r w:rsidR="00D5610D" w:rsidRPr="00B90A58">
        <w:rPr>
          <w:rStyle w:val="FootnoteReference"/>
          <w:szCs w:val="20"/>
          <w:vertAlign w:val="baseline"/>
        </w:rPr>
        <w:t>, 2002.</w:t>
      </w:r>
      <w:r>
        <w:rPr>
          <w:rStyle w:val="FootnoteReference"/>
          <w:szCs w:val="20"/>
          <w:vertAlign w:val="baseline"/>
        </w:rPr>
        <w:t xml:space="preserve"> </w:t>
      </w:r>
      <w:r w:rsidR="00D36371">
        <w:rPr>
          <w:rStyle w:val="FootnoteReference"/>
          <w:szCs w:val="20"/>
          <w:vertAlign w:val="baseline"/>
        </w:rPr>
        <w:t>“</w:t>
      </w:r>
      <w:r w:rsidRPr="00812D4B">
        <w:t>NATO/CCMS Pilot Study: Evaluation of Demonstrated and Emerging Technologies for the Treatment of Contaminated Land and Groundwater.</w:t>
      </w:r>
      <w:r w:rsidR="00D36371">
        <w:t>”</w:t>
      </w:r>
      <w:r w:rsidRPr="00812D4B">
        <w:t xml:space="preserve"> Available at</w:t>
      </w:r>
      <w:r>
        <w:t>:</w:t>
      </w:r>
      <w:r w:rsidRPr="00812D4B">
        <w:t xml:space="preserve"> https://www.clu-in.org/download/partner/2001annualreport.pdf.</w:t>
      </w:r>
      <w:r w:rsidR="00D5610D" w:rsidRPr="00B90A58">
        <w:rPr>
          <w:rStyle w:val="FootnoteReference"/>
          <w:szCs w:val="20"/>
          <w:vertAlign w:val="baseline"/>
        </w:rPr>
        <w:t xml:space="preserve"> </w:t>
      </w:r>
    </w:p>
    <w:p w:rsidR="001A1011" w:rsidRDefault="00890CDD" w:rsidP="001A1011">
      <w:pPr>
        <w:pStyle w:val="Heading2"/>
        <w:tabs>
          <w:tab w:val="left" w:pos="720"/>
          <w:tab w:val="left" w:pos="1440"/>
          <w:tab w:val="left" w:pos="2160"/>
          <w:tab w:val="left" w:pos="2880"/>
          <w:tab w:val="left" w:pos="7222"/>
        </w:tabs>
        <w:spacing w:before="240" w:after="120"/>
        <w:ind w:left="1134" w:hanging="510"/>
      </w:pPr>
      <w:bookmarkStart w:id="813" w:name="_Toc58997139"/>
      <w:bookmarkStart w:id="814" w:name="_Toc58999215"/>
      <w:bookmarkStart w:id="815" w:name="_Toc58999274"/>
      <w:bookmarkStart w:id="816" w:name="_Toc59943371"/>
      <w:bookmarkStart w:id="817" w:name="_Toc59943535"/>
      <w:bookmarkStart w:id="818" w:name="_Toc59943593"/>
      <w:bookmarkStart w:id="819" w:name="_Toc59943686"/>
      <w:bookmarkStart w:id="820" w:name="_Toc61328059"/>
      <w:bookmarkStart w:id="821" w:name="_Toc61681700"/>
      <w:bookmarkStart w:id="822" w:name="_Toc61681769"/>
      <w:bookmarkStart w:id="823" w:name="_Toc62220562"/>
      <w:bookmarkStart w:id="824" w:name="_Toc161804616"/>
      <w:bookmarkStart w:id="825" w:name="_Toc405988695"/>
      <w:bookmarkStart w:id="826" w:name="_Toc437340588"/>
      <w:r w:rsidRPr="00DB6052">
        <w:t>I.</w:t>
      </w:r>
      <w:r w:rsidRPr="00DB6052">
        <w:tab/>
        <w:t>Health and safet</w:t>
      </w:r>
      <w:r>
        <w:t>y</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008C4CFA" w:rsidRPr="008C4CFA">
        <w:rPr>
          <w:rStyle w:val="FootnoteReference"/>
          <w:b w:val="0"/>
          <w:bCs/>
        </w:rPr>
        <w:footnoteReference w:customMarkFollows="1" w:id="132"/>
        <w:t>132</w:t>
      </w:r>
      <w:r w:rsidR="00965B4F">
        <w:tab/>
      </w:r>
    </w:p>
    <w:p w:rsidR="00890CDD" w:rsidRDefault="00890CDD" w:rsidP="00EF105B">
      <w:pPr>
        <w:pStyle w:val="Paralevel1"/>
        <w:tabs>
          <w:tab w:val="clear" w:pos="1843"/>
          <w:tab w:val="left" w:pos="1701"/>
        </w:tabs>
        <w:ind w:left="1134" w:firstLine="0"/>
      </w:pPr>
      <w:r>
        <w:t xml:space="preserve">In general, there are three main ways to protect workers </w:t>
      </w:r>
      <w:r>
        <w:rPr>
          <w:iCs/>
        </w:rPr>
        <w:t xml:space="preserve">and members of the public </w:t>
      </w:r>
      <w:r>
        <w:t>from chemical hazards (in order of preference):</w:t>
      </w:r>
    </w:p>
    <w:p w:rsidR="00890CDD" w:rsidRDefault="00890CDD" w:rsidP="00616CA7">
      <w:pPr>
        <w:tabs>
          <w:tab w:val="clear" w:pos="1247"/>
          <w:tab w:val="clear" w:pos="1814"/>
          <w:tab w:val="clear" w:pos="2381"/>
          <w:tab w:val="left" w:pos="2268"/>
        </w:tabs>
        <w:spacing w:after="120"/>
        <w:ind w:left="1134" w:firstLine="567"/>
      </w:pPr>
      <w:r>
        <w:t>(a)</w:t>
      </w:r>
      <w:r>
        <w:tab/>
        <w:t xml:space="preserve">Keep workers </w:t>
      </w:r>
      <w:r>
        <w:rPr>
          <w:iCs/>
        </w:rPr>
        <w:t xml:space="preserve">and </w:t>
      </w:r>
      <w:r w:rsidRPr="005E5BFF">
        <w:t>members</w:t>
      </w:r>
      <w:r>
        <w:rPr>
          <w:iCs/>
        </w:rPr>
        <w:t xml:space="preserve"> of the public</w:t>
      </w:r>
      <w:r>
        <w:t xml:space="preserve"> away from all possible sources of contamination;</w:t>
      </w:r>
    </w:p>
    <w:p w:rsidR="00890CDD" w:rsidRDefault="00890CDD" w:rsidP="00616CA7">
      <w:pPr>
        <w:tabs>
          <w:tab w:val="clear" w:pos="1247"/>
          <w:tab w:val="clear" w:pos="1814"/>
          <w:tab w:val="clear" w:pos="2381"/>
          <w:tab w:val="left" w:pos="2268"/>
        </w:tabs>
        <w:spacing w:after="120"/>
        <w:ind w:left="1134" w:firstLine="567"/>
      </w:pPr>
      <w:r>
        <w:t>(b)</w:t>
      </w:r>
      <w:r>
        <w:tab/>
        <w:t>Control contaminants so that the possibility of exposure is minimized;</w:t>
      </w:r>
      <w:r w:rsidR="00F76414">
        <w:t xml:space="preserve"> and</w:t>
      </w:r>
    </w:p>
    <w:p w:rsidR="00890CDD" w:rsidRDefault="00890CDD" w:rsidP="00616CA7">
      <w:pPr>
        <w:tabs>
          <w:tab w:val="clear" w:pos="1247"/>
          <w:tab w:val="clear" w:pos="1814"/>
          <w:tab w:val="clear" w:pos="2381"/>
          <w:tab w:val="left" w:pos="2268"/>
        </w:tabs>
        <w:spacing w:after="120"/>
        <w:ind w:left="1134" w:firstLine="567"/>
      </w:pPr>
      <w:r>
        <w:t>(c)</w:t>
      </w:r>
      <w:r>
        <w:tab/>
        <w:t xml:space="preserve">Protect workers by ensuring that </w:t>
      </w:r>
      <w:r w:rsidR="00F76414">
        <w:t xml:space="preserve">they use </w:t>
      </w:r>
      <w:r>
        <w:t>personal protective equipment.</w:t>
      </w:r>
    </w:p>
    <w:p w:rsidR="00890CDD" w:rsidRDefault="00890CDD" w:rsidP="00EF105B">
      <w:pPr>
        <w:pStyle w:val="Paralevel1"/>
        <w:tabs>
          <w:tab w:val="clear" w:pos="1843"/>
          <w:tab w:val="left" w:pos="1701"/>
        </w:tabs>
        <w:ind w:left="1134" w:firstLine="0"/>
      </w:pPr>
      <w:r>
        <w:t>Information on health and safety is also available from ILO (</w:t>
      </w:r>
      <w:r w:rsidR="00DA2BB7">
        <w:t xml:space="preserve">ILO, </w:t>
      </w:r>
      <w:r>
        <w:t>1999a and 1999b), WHO (</w:t>
      </w:r>
      <w:r w:rsidR="00DA2BB7">
        <w:t xml:space="preserve">WHO, </w:t>
      </w:r>
      <w:r>
        <w:t>1995 and 1999), IPCS INCHEM (</w:t>
      </w:r>
      <w:r w:rsidR="00C80E26">
        <w:t xml:space="preserve">various </w:t>
      </w:r>
      <w:r w:rsidRPr="00892939">
        <w:t>dates</w:t>
      </w:r>
      <w:proofErr w:type="gramStart"/>
      <w:r>
        <w:t>)and</w:t>
      </w:r>
      <w:proofErr w:type="gramEnd"/>
      <w:r>
        <w:t xml:space="preserve"> </w:t>
      </w:r>
      <w:r w:rsidR="00DA2BB7">
        <w:t xml:space="preserve">the </w:t>
      </w:r>
      <w:r>
        <w:t xml:space="preserve">United Kingdom Health and Safety Executive </w:t>
      </w:r>
      <w:r w:rsidR="00063471">
        <w:t>(</w:t>
      </w:r>
      <w:r w:rsidR="00063471">
        <w:rPr>
          <w:rStyle w:val="Emphasis"/>
          <w:i w:val="0"/>
        </w:rPr>
        <w:t xml:space="preserve">See </w:t>
      </w:r>
      <w:r w:rsidR="00405DFE" w:rsidRPr="00405DFE">
        <w:rPr>
          <w:i/>
        </w:rPr>
        <w:t>Protection of workers and the general public during the development of contaminated land</w:t>
      </w:r>
      <w:r w:rsidR="00063471">
        <w:t xml:space="preserve">, </w:t>
      </w:r>
      <w:r w:rsidR="00063471" w:rsidRPr="00063471">
        <w:t>G</w:t>
      </w:r>
      <w:r w:rsidR="00063471" w:rsidRPr="00063471">
        <w:rPr>
          <w:rStyle w:val="Emphasis"/>
          <w:i w:val="0"/>
        </w:rPr>
        <w:t xml:space="preserve">uidance Note </w:t>
      </w:r>
      <w:r w:rsidR="00063471">
        <w:t>HS (G) 66-H HMSO)</w:t>
      </w:r>
      <w:r>
        <w:t>. Examples of practical implementation can be found in UNEP</w:t>
      </w:r>
      <w:r w:rsidR="00DA2BB7">
        <w:t>,</w:t>
      </w:r>
      <w:r>
        <w:t xml:space="preserve"> 2001.</w:t>
      </w:r>
      <w:r w:rsidR="00C2390C">
        <w:t xml:space="preserve"> </w:t>
      </w:r>
    </w:p>
    <w:p w:rsidR="00890CDD" w:rsidRDefault="00890CDD" w:rsidP="00EF105B">
      <w:pPr>
        <w:pStyle w:val="Paralevel1"/>
        <w:tabs>
          <w:tab w:val="clear" w:pos="1843"/>
          <w:tab w:val="left" w:pos="1701"/>
        </w:tabs>
        <w:ind w:left="1134" w:firstLine="0"/>
      </w:pPr>
      <w:r>
        <w:t>Health and safety plans should be in place at all facilities that handle POP wastes to ensure the protection of every</w:t>
      </w:r>
      <w:r w:rsidR="00D077D7">
        <w:t xml:space="preserve"> </w:t>
      </w:r>
      <w:r w:rsidR="00D077D7" w:rsidRPr="002E4EDD">
        <w:t>person</w:t>
      </w:r>
      <w:r>
        <w:t xml:space="preserve"> in </w:t>
      </w:r>
      <w:r w:rsidRPr="0064724F">
        <w:t xml:space="preserve">and around </w:t>
      </w:r>
      <w:r w:rsidR="00FF5FB0" w:rsidRPr="0064724F">
        <w:t>such</w:t>
      </w:r>
      <w:r w:rsidR="00123EE6" w:rsidRPr="0064724F">
        <w:t xml:space="preserve"> </w:t>
      </w:r>
      <w:r w:rsidRPr="0064724F">
        <w:t>facilit</w:t>
      </w:r>
      <w:r w:rsidR="00FF5FB0" w:rsidRPr="0064724F">
        <w:t>ies</w:t>
      </w:r>
      <w:r w:rsidRPr="0064724F">
        <w:t>.</w:t>
      </w:r>
      <w:r>
        <w:t xml:space="preserve"> The health and safety plan for each specific facility should be developed by a trained health and safety professional with experience in managing health risks associated with the specific POPs at the facility. </w:t>
      </w:r>
    </w:p>
    <w:p w:rsidR="00890CDD" w:rsidRDefault="00890CDD" w:rsidP="00EF105B">
      <w:pPr>
        <w:pStyle w:val="Paralevel1"/>
        <w:tabs>
          <w:tab w:val="clear" w:pos="1843"/>
          <w:tab w:val="left" w:pos="1701"/>
        </w:tabs>
        <w:ind w:left="1134" w:firstLine="0"/>
      </w:pPr>
      <w:r>
        <w:t xml:space="preserve">All health and safety plans should adhere to the above principles and recognize local or national </w:t>
      </w:r>
      <w:proofErr w:type="spellStart"/>
      <w:r>
        <w:t>labour</w:t>
      </w:r>
      <w:proofErr w:type="spellEnd"/>
      <w:r>
        <w:t xml:space="preserve"> standards. Most health and safety </w:t>
      </w:r>
      <w:proofErr w:type="spellStart"/>
      <w:r>
        <w:t>programmes</w:t>
      </w:r>
      <w:proofErr w:type="spellEnd"/>
      <w:r>
        <w:t xml:space="preserve"> recognize various levels of safety, with risk levels depending on the site in question and the nature of the contaminated materials found there. The level of protection provided to workers should correspond to the level of risk to which they are exposed. </w:t>
      </w:r>
    </w:p>
    <w:p w:rsidR="00890CDD" w:rsidRPr="00512DE2" w:rsidRDefault="00890CDD" w:rsidP="00EF105B">
      <w:pPr>
        <w:pStyle w:val="Paralevel1"/>
        <w:tabs>
          <w:tab w:val="clear" w:pos="1843"/>
          <w:tab w:val="left" w:pos="1701"/>
        </w:tabs>
        <w:ind w:left="1134" w:firstLine="0"/>
      </w:pPr>
      <w:r>
        <w:t xml:space="preserve">Different POP waste streams can present significantly different risks </w:t>
      </w:r>
      <w:r w:rsidR="003A088C" w:rsidRPr="007657AF">
        <w:t>depending upon toxicity and</w:t>
      </w:r>
      <w:r>
        <w:t xml:space="preserve"> exposure. Levels of risk should be established and each situation should be evaluated by health and safety professionals. Two </w:t>
      </w:r>
      <w:r w:rsidR="00405DFE" w:rsidRPr="00512DE2">
        <w:t>types of</w:t>
      </w:r>
      <w:r w:rsidR="000263DD" w:rsidRPr="00512DE2">
        <w:t xml:space="preserve"> </w:t>
      </w:r>
      <w:r w:rsidRPr="00512DE2">
        <w:t xml:space="preserve">situations are discussed below: </w:t>
      </w:r>
      <w:r w:rsidR="00405DFE" w:rsidRPr="00512DE2">
        <w:t>high</w:t>
      </w:r>
      <w:r w:rsidR="00EA7D38" w:rsidRPr="00512DE2">
        <w:t>er</w:t>
      </w:r>
      <w:r w:rsidRPr="00512DE2">
        <w:t xml:space="preserve">-risk and </w:t>
      </w:r>
      <w:r w:rsidR="00405DFE" w:rsidRPr="00512DE2">
        <w:t>low</w:t>
      </w:r>
      <w:r w:rsidR="00EA7D38" w:rsidRPr="00512DE2">
        <w:t>er</w:t>
      </w:r>
      <w:r w:rsidRPr="00512DE2">
        <w:t>-risk</w:t>
      </w:r>
      <w:r w:rsidR="00DA332D" w:rsidRPr="00512DE2">
        <w:t xml:space="preserve"> situations</w:t>
      </w:r>
      <w:r w:rsidRPr="00512DE2">
        <w:t>.</w:t>
      </w:r>
    </w:p>
    <w:p w:rsidR="00890CDD" w:rsidRDefault="00890CDD">
      <w:pPr>
        <w:pStyle w:val="Heading3"/>
        <w:spacing w:before="240" w:after="120"/>
        <w:ind w:left="1134" w:hanging="425"/>
      </w:pPr>
      <w:bookmarkStart w:id="827" w:name="_Toc35062044"/>
      <w:bookmarkStart w:id="828" w:name="_Toc61328060"/>
      <w:bookmarkStart w:id="829" w:name="_Toc61681701"/>
      <w:bookmarkStart w:id="830" w:name="_Toc61681770"/>
      <w:bookmarkStart w:id="831" w:name="_Toc62220563"/>
      <w:bookmarkStart w:id="832" w:name="_Toc95280694"/>
      <w:bookmarkStart w:id="833" w:name="_Toc145395162"/>
      <w:bookmarkStart w:id="834" w:name="_Toc161804617"/>
      <w:bookmarkStart w:id="835" w:name="_Toc405988696"/>
      <w:bookmarkStart w:id="836" w:name="_Toc437340589"/>
      <w:bookmarkStart w:id="837" w:name="_Toc58997143"/>
      <w:bookmarkStart w:id="838" w:name="_Toc52175497"/>
      <w:bookmarkStart w:id="839" w:name="_Toc52512382"/>
      <w:bookmarkStart w:id="840" w:name="_Toc52512433"/>
      <w:bookmarkStart w:id="841" w:name="_Toc58997144"/>
      <w:bookmarkEnd w:id="702"/>
      <w:r w:rsidRPr="005E5BFF">
        <w:rPr>
          <w:szCs w:val="20"/>
        </w:rPr>
        <w:t>1.</w:t>
      </w:r>
      <w:r w:rsidRPr="005E5BFF">
        <w:rPr>
          <w:szCs w:val="20"/>
        </w:rPr>
        <w:tab/>
      </w:r>
      <w:bookmarkEnd w:id="827"/>
      <w:bookmarkEnd w:id="828"/>
      <w:bookmarkEnd w:id="829"/>
      <w:bookmarkEnd w:id="830"/>
      <w:bookmarkEnd w:id="831"/>
      <w:bookmarkEnd w:id="832"/>
      <w:r w:rsidR="00405DFE" w:rsidRPr="00512DE2">
        <w:rPr>
          <w:szCs w:val="20"/>
        </w:rPr>
        <w:t>High</w:t>
      </w:r>
      <w:r w:rsidR="00EA7D38">
        <w:rPr>
          <w:szCs w:val="20"/>
        </w:rPr>
        <w:t>er</w:t>
      </w:r>
      <w:r w:rsidRPr="005E5BFF">
        <w:rPr>
          <w:szCs w:val="20"/>
        </w:rPr>
        <w:t>-risk situations</w:t>
      </w:r>
      <w:bookmarkEnd w:id="833"/>
      <w:bookmarkEnd w:id="834"/>
      <w:bookmarkEnd w:id="835"/>
      <w:bookmarkEnd w:id="836"/>
      <w:r w:rsidR="005B21D9">
        <w:rPr>
          <w:szCs w:val="20"/>
        </w:rPr>
        <w:t xml:space="preserve"> </w:t>
      </w:r>
    </w:p>
    <w:p w:rsidR="00890CDD" w:rsidRDefault="00405DFE" w:rsidP="00EF105B">
      <w:pPr>
        <w:pStyle w:val="Paralevel1"/>
        <w:tabs>
          <w:tab w:val="clear" w:pos="1843"/>
          <w:tab w:val="left" w:pos="1701"/>
        </w:tabs>
        <w:ind w:left="1134" w:firstLine="0"/>
      </w:pPr>
      <w:r w:rsidRPr="00512DE2">
        <w:t>High</w:t>
      </w:r>
      <w:r w:rsidR="00EA7D38" w:rsidRPr="00512DE2">
        <w:t>er</w:t>
      </w:r>
      <w:r w:rsidR="00890CDD">
        <w:t xml:space="preserve">-risk situations occur where high concentrations of POPs or high volumes of POP wastes are found and a high potential for exposure of workers or </w:t>
      </w:r>
      <w:r w:rsidR="00BD0814">
        <w:t xml:space="preserve">the </w:t>
      </w:r>
      <w:r w:rsidR="00890CDD">
        <w:t xml:space="preserve">general population </w:t>
      </w:r>
      <w:r w:rsidR="00995537">
        <w:t>exists</w:t>
      </w:r>
      <w:r w:rsidR="00890CDD">
        <w:t xml:space="preserve">. </w:t>
      </w:r>
      <w:r w:rsidR="00995537">
        <w:t>In such situations, p</w:t>
      </w:r>
      <w:r w:rsidR="00890CDD">
        <w:t>articular efforts should be made to minimize public exposure. In addition, guidance should be provided to ensure that the public is aware of the potential risk and of the measures to be taken in cases of exposure.</w:t>
      </w:r>
    </w:p>
    <w:p w:rsidR="00890CDD" w:rsidRDefault="00890CDD" w:rsidP="00EF105B">
      <w:pPr>
        <w:pStyle w:val="Paralevel1"/>
        <w:tabs>
          <w:tab w:val="clear" w:pos="1843"/>
          <w:tab w:val="left" w:pos="1701"/>
        </w:tabs>
        <w:ind w:left="1134" w:firstLine="0"/>
      </w:pPr>
      <w:r>
        <w:t xml:space="preserve">Specific technical guidelines on POP wastes will identify </w:t>
      </w:r>
      <w:r w:rsidR="00405DFE" w:rsidRPr="00512DE2">
        <w:t>high</w:t>
      </w:r>
      <w:r w:rsidR="00EA7D38" w:rsidRPr="00512DE2">
        <w:t>er</w:t>
      </w:r>
      <w:r>
        <w:t xml:space="preserve">-risk situations relevant to </w:t>
      </w:r>
      <w:r w:rsidR="00AC54EC" w:rsidRPr="002E4EDD">
        <w:t xml:space="preserve">the </w:t>
      </w:r>
      <w:r w:rsidR="00B2034A" w:rsidRPr="002E4EDD">
        <w:t>specific</w:t>
      </w:r>
      <w:r w:rsidR="00B2034A">
        <w:t xml:space="preserve"> </w:t>
      </w:r>
      <w:r>
        <w:t>POPs</w:t>
      </w:r>
      <w:r w:rsidR="00AC54EC">
        <w:t xml:space="preserve"> </w:t>
      </w:r>
      <w:r w:rsidR="00AC54EC" w:rsidRPr="002E4EDD">
        <w:t>that they cover</w:t>
      </w:r>
      <w:r>
        <w:t>.</w:t>
      </w:r>
    </w:p>
    <w:p w:rsidR="00890CDD" w:rsidRDefault="00890CDD" w:rsidP="00EF105B">
      <w:pPr>
        <w:pStyle w:val="Paralevel1"/>
        <w:tabs>
          <w:tab w:val="clear" w:pos="1843"/>
          <w:tab w:val="left" w:pos="1701"/>
        </w:tabs>
        <w:ind w:left="1134" w:firstLine="0"/>
      </w:pPr>
      <w:r>
        <w:t xml:space="preserve">There is no international quantitative definition of high volume or high concentration. Workers and employers can be guided by the advice and input of health and safety professionals, </w:t>
      </w:r>
      <w:proofErr w:type="spellStart"/>
      <w:r>
        <w:t>labour</w:t>
      </w:r>
      <w:proofErr w:type="spellEnd"/>
      <w:r>
        <w:t xml:space="preserve"> representatives, scientific literature and government authorities. </w:t>
      </w:r>
      <w:r w:rsidR="00405DFE" w:rsidRPr="00512DE2">
        <w:t>High</w:t>
      </w:r>
      <w:r w:rsidR="00EA7D38" w:rsidRPr="00512DE2">
        <w:t>er</w:t>
      </w:r>
      <w:r>
        <w:t>-risk situations may occur:</w:t>
      </w:r>
      <w:r w:rsidR="00FE0F76">
        <w:t xml:space="preserve"> </w:t>
      </w:r>
    </w:p>
    <w:p w:rsidR="00890CDD" w:rsidRDefault="00890CDD" w:rsidP="00616CA7">
      <w:pPr>
        <w:tabs>
          <w:tab w:val="clear" w:pos="1247"/>
          <w:tab w:val="clear" w:pos="1814"/>
          <w:tab w:val="clear" w:pos="2381"/>
          <w:tab w:val="left" w:pos="2268"/>
        </w:tabs>
        <w:spacing w:after="120"/>
        <w:ind w:left="1134" w:firstLine="567"/>
      </w:pPr>
      <w:r>
        <w:t>(a)</w:t>
      </w:r>
      <w:r>
        <w:tab/>
        <w:t>At sites producing, handling and</w:t>
      </w:r>
      <w:r w:rsidR="00CD69A2">
        <w:t>/</w:t>
      </w:r>
      <w:r>
        <w:t>or using POPs;</w:t>
      </w:r>
    </w:p>
    <w:p w:rsidR="00890CDD" w:rsidRDefault="00890CDD" w:rsidP="00616CA7">
      <w:pPr>
        <w:tabs>
          <w:tab w:val="clear" w:pos="1247"/>
          <w:tab w:val="clear" w:pos="1814"/>
          <w:tab w:val="clear" w:pos="2381"/>
          <w:tab w:val="left" w:pos="2268"/>
        </w:tabs>
        <w:spacing w:after="120"/>
        <w:ind w:left="1134" w:firstLine="567"/>
      </w:pPr>
      <w:r>
        <w:t>(b)</w:t>
      </w:r>
      <w:r>
        <w:tab/>
      </w:r>
      <w:r w:rsidR="00405DFE" w:rsidRPr="00405DFE">
        <w:t xml:space="preserve">At </w:t>
      </w:r>
      <w:r w:rsidRPr="00EE3E5E">
        <w:t xml:space="preserve">stockpile </w:t>
      </w:r>
      <w:r>
        <w:t xml:space="preserve">and large-volume storage sites for chemicals or POP wastes; </w:t>
      </w:r>
    </w:p>
    <w:p w:rsidR="00890CDD" w:rsidRDefault="00890CDD" w:rsidP="00616CA7">
      <w:pPr>
        <w:tabs>
          <w:tab w:val="clear" w:pos="1247"/>
          <w:tab w:val="clear" w:pos="1814"/>
          <w:tab w:val="clear" w:pos="2381"/>
          <w:tab w:val="left" w:pos="2268"/>
        </w:tabs>
        <w:spacing w:after="120"/>
        <w:ind w:left="1134" w:firstLine="567"/>
      </w:pPr>
      <w:r>
        <w:t>(c)</w:t>
      </w:r>
      <w:r>
        <w:tab/>
        <w:t xml:space="preserve">At facilities for the treatment or disposal of POP wastes; </w:t>
      </w:r>
    </w:p>
    <w:p w:rsidR="00890CDD" w:rsidRDefault="00890CDD" w:rsidP="00616CA7">
      <w:pPr>
        <w:tabs>
          <w:tab w:val="clear" w:pos="1247"/>
          <w:tab w:val="clear" w:pos="1814"/>
          <w:tab w:val="clear" w:pos="2381"/>
          <w:tab w:val="left" w:pos="2268"/>
        </w:tabs>
        <w:spacing w:after="120"/>
        <w:ind w:left="1134" w:firstLine="567"/>
      </w:pPr>
      <w:r>
        <w:t>(d)</w:t>
      </w:r>
      <w:r>
        <w:tab/>
      </w:r>
      <w:r w:rsidRPr="00616CA7">
        <w:rPr>
          <w:lang w:val="en-US"/>
        </w:rPr>
        <w:t>At</w:t>
      </w:r>
      <w:r>
        <w:t xml:space="preserve"> sites contaminated with high concentrations of POPs at or near the surface.</w:t>
      </w:r>
    </w:p>
    <w:p w:rsidR="00890CDD" w:rsidRDefault="00890CDD" w:rsidP="00EF105B">
      <w:pPr>
        <w:pStyle w:val="Paralevel1"/>
        <w:tabs>
          <w:tab w:val="clear" w:pos="1843"/>
          <w:tab w:val="left" w:pos="1701"/>
        </w:tabs>
        <w:ind w:left="1134" w:firstLine="0"/>
      </w:pPr>
      <w:r>
        <w:t xml:space="preserve">At a minimum, POPs health and safety planning for </w:t>
      </w:r>
      <w:r w:rsidR="00405DFE" w:rsidRPr="00B029E2">
        <w:t>high</w:t>
      </w:r>
      <w:r w:rsidR="00EA7D38">
        <w:t>er</w:t>
      </w:r>
      <w:r>
        <w:t>-risk situations should include the following elements:</w:t>
      </w:r>
    </w:p>
    <w:p w:rsidR="00890CDD" w:rsidRDefault="00890CDD" w:rsidP="00616CA7">
      <w:pPr>
        <w:tabs>
          <w:tab w:val="clear" w:pos="1247"/>
          <w:tab w:val="clear" w:pos="1814"/>
          <w:tab w:val="clear" w:pos="2381"/>
          <w:tab w:val="left" w:pos="2268"/>
        </w:tabs>
        <w:spacing w:after="120"/>
        <w:ind w:left="1134" w:firstLine="567"/>
      </w:pPr>
      <w:r>
        <w:t>(a)</w:t>
      </w:r>
      <w:r>
        <w:tab/>
        <w:t>A written health and safety plan (HASP) should be developed and posted at each site;</w:t>
      </w:r>
    </w:p>
    <w:p w:rsidR="00890CDD" w:rsidRDefault="00890CDD" w:rsidP="00616CA7">
      <w:pPr>
        <w:tabs>
          <w:tab w:val="clear" w:pos="1247"/>
          <w:tab w:val="clear" w:pos="1814"/>
          <w:tab w:val="clear" w:pos="2381"/>
          <w:tab w:val="left" w:pos="2268"/>
        </w:tabs>
        <w:spacing w:after="120"/>
        <w:ind w:left="1134" w:firstLine="567"/>
      </w:pPr>
      <w:r>
        <w:t>(b)</w:t>
      </w:r>
      <w:r>
        <w:tab/>
        <w:t xml:space="preserve">Workers who are to have access to the site should read the HASP and sign </w:t>
      </w:r>
      <w:r w:rsidR="00432D1B" w:rsidRPr="00115654">
        <w:t xml:space="preserve">a </w:t>
      </w:r>
      <w:r w:rsidR="00405DFE" w:rsidRPr="00405DFE">
        <w:t xml:space="preserve">statement </w:t>
      </w:r>
      <w:r>
        <w:t>confirm</w:t>
      </w:r>
      <w:r w:rsidR="00115654">
        <w:t>ing</w:t>
      </w:r>
      <w:r>
        <w:t xml:space="preserve"> that they have read </w:t>
      </w:r>
      <w:r w:rsidR="00432D1B" w:rsidRPr="00115654">
        <w:t>it</w:t>
      </w:r>
      <w:r w:rsidR="00432D1B">
        <w:t xml:space="preserve"> </w:t>
      </w:r>
      <w:r>
        <w:t>and understood it;</w:t>
      </w:r>
    </w:p>
    <w:p w:rsidR="00890CDD" w:rsidRDefault="00890CDD" w:rsidP="00616CA7">
      <w:pPr>
        <w:tabs>
          <w:tab w:val="clear" w:pos="1247"/>
          <w:tab w:val="clear" w:pos="1814"/>
          <w:tab w:val="clear" w:pos="2381"/>
          <w:tab w:val="left" w:pos="2268"/>
        </w:tabs>
        <w:spacing w:after="120"/>
        <w:ind w:left="1134" w:firstLine="567"/>
      </w:pPr>
      <w:r>
        <w:t>(c)</w:t>
      </w:r>
      <w:r>
        <w:tab/>
        <w:t>The HASP may be written to encompass all hazards at the site but should have a section or chapter specifically detailing procedures for POPs;</w:t>
      </w:r>
    </w:p>
    <w:p w:rsidR="00890CDD" w:rsidRDefault="00890CDD" w:rsidP="00616CA7">
      <w:pPr>
        <w:tabs>
          <w:tab w:val="clear" w:pos="1247"/>
          <w:tab w:val="clear" w:pos="1814"/>
          <w:tab w:val="clear" w:pos="2381"/>
          <w:tab w:val="left" w:pos="2268"/>
        </w:tabs>
        <w:spacing w:after="120"/>
        <w:ind w:left="1134" w:firstLine="567"/>
      </w:pPr>
      <w:r>
        <w:t>(d)</w:t>
      </w:r>
      <w:r>
        <w:tab/>
      </w:r>
      <w:r w:rsidRPr="00616CA7">
        <w:rPr>
          <w:lang w:val="en-US"/>
        </w:rPr>
        <w:t>Workers</w:t>
      </w:r>
      <w:r>
        <w:t xml:space="preserve"> should be present at the site only when necessary for servicing or inspecting equipment or stored materials;</w:t>
      </w:r>
    </w:p>
    <w:p w:rsidR="00890CDD" w:rsidRDefault="00890CDD" w:rsidP="00616CA7">
      <w:pPr>
        <w:tabs>
          <w:tab w:val="clear" w:pos="1247"/>
          <w:tab w:val="clear" w:pos="1814"/>
          <w:tab w:val="clear" w:pos="2381"/>
          <w:tab w:val="left" w:pos="2268"/>
        </w:tabs>
        <w:spacing w:after="120"/>
        <w:ind w:left="1134" w:firstLine="567"/>
      </w:pPr>
      <w:r>
        <w:t>(e)</w:t>
      </w:r>
      <w:r>
        <w:tab/>
        <w:t>Workers entering the site should have appropriate health and safety and operational training for chemical, physical and biological hazards;</w:t>
      </w:r>
    </w:p>
    <w:p w:rsidR="00890CDD" w:rsidRDefault="00890CDD" w:rsidP="00616CA7">
      <w:pPr>
        <w:tabs>
          <w:tab w:val="clear" w:pos="1247"/>
          <w:tab w:val="clear" w:pos="1814"/>
          <w:tab w:val="clear" w:pos="2381"/>
          <w:tab w:val="left" w:pos="2268"/>
        </w:tabs>
        <w:spacing w:after="120"/>
        <w:ind w:left="1134" w:firstLine="567"/>
      </w:pPr>
      <w:r>
        <w:t>(f)</w:t>
      </w:r>
      <w:r>
        <w:tab/>
        <w:t>Health and safety training should be performed annually;</w:t>
      </w:r>
    </w:p>
    <w:p w:rsidR="00890CDD" w:rsidRDefault="00890CDD" w:rsidP="00616CA7">
      <w:pPr>
        <w:tabs>
          <w:tab w:val="clear" w:pos="1247"/>
          <w:tab w:val="clear" w:pos="1814"/>
          <w:tab w:val="clear" w:pos="2381"/>
          <w:tab w:val="left" w:pos="2268"/>
        </w:tabs>
        <w:spacing w:after="120"/>
        <w:ind w:left="1134" w:firstLine="567"/>
      </w:pPr>
      <w:r>
        <w:t>(g)</w:t>
      </w:r>
      <w:r>
        <w:tab/>
        <w:t>Routine air monitoring should be carried out to detect the presence of POP contaminants;</w:t>
      </w:r>
    </w:p>
    <w:p w:rsidR="00F249BD" w:rsidRDefault="00F249BD" w:rsidP="00616CA7">
      <w:pPr>
        <w:tabs>
          <w:tab w:val="clear" w:pos="1247"/>
          <w:tab w:val="clear" w:pos="1814"/>
          <w:tab w:val="clear" w:pos="2381"/>
          <w:tab w:val="left" w:pos="2268"/>
        </w:tabs>
        <w:spacing w:after="120"/>
        <w:ind w:left="1134" w:firstLine="567"/>
      </w:pPr>
      <w:r w:rsidRPr="006E7C79">
        <w:t>(</w:t>
      </w:r>
      <w:r w:rsidR="006E7C79">
        <w:t>h</w:t>
      </w:r>
      <w:r w:rsidRPr="006E7C79">
        <w:t>)</w:t>
      </w:r>
      <w:r w:rsidRPr="000457AC">
        <w:t xml:space="preserve"> </w:t>
      </w:r>
      <w:r w:rsidR="00616CA7">
        <w:tab/>
      </w:r>
      <w:r w:rsidRPr="000457AC">
        <w:t>Collective protective measures such as active wet control system (e.g.</w:t>
      </w:r>
      <w:r w:rsidR="007B0E52">
        <w:t>,</w:t>
      </w:r>
      <w:r w:rsidRPr="000457AC">
        <w:t xml:space="preserve"> to prevent contaminated dust from be</w:t>
      </w:r>
      <w:r w:rsidR="00EE1BE9">
        <w:t>com</w:t>
      </w:r>
      <w:r w:rsidR="00123EE6">
        <w:t>i</w:t>
      </w:r>
      <w:r w:rsidRPr="000457AC">
        <w:t>ng airborne) and passive covering systems (e.g.</w:t>
      </w:r>
      <w:r w:rsidR="007B0E52">
        <w:t>,</w:t>
      </w:r>
      <w:r w:rsidRPr="000457AC">
        <w:t xml:space="preserve"> sealed impermeable </w:t>
      </w:r>
      <w:r w:rsidR="002619EF" w:rsidRPr="004F0762">
        <w:rPr>
          <w:rFonts w:eastAsia="PMingLiU"/>
          <w:bCs/>
          <w:color w:val="1A1A1A"/>
          <w:lang w:val="en-US"/>
        </w:rPr>
        <w:t>high density p</w:t>
      </w:r>
      <w:r w:rsidR="002619EF" w:rsidRPr="006A5BF8">
        <w:rPr>
          <w:rFonts w:eastAsia="PMingLiU"/>
          <w:bCs/>
          <w:color w:val="1A1A1A"/>
          <w:lang w:val="en-US"/>
        </w:rPr>
        <w:t>olyethylene</w:t>
      </w:r>
      <w:r w:rsidR="002619EF" w:rsidRPr="004F0762">
        <w:t xml:space="preserve"> </w:t>
      </w:r>
      <w:r w:rsidR="002619EF">
        <w:t>(</w:t>
      </w:r>
      <w:r w:rsidRPr="000457AC">
        <w:t>HDPE</w:t>
      </w:r>
      <w:r w:rsidR="002619EF">
        <w:t>)</w:t>
      </w:r>
      <w:r w:rsidRPr="000457AC">
        <w:t xml:space="preserve"> sheets to reduce dust and vapour diffusion), </w:t>
      </w:r>
      <w:r>
        <w:t>may</w:t>
      </w:r>
      <w:r w:rsidRPr="000457AC">
        <w:t xml:space="preserve"> be </w:t>
      </w:r>
      <w:r>
        <w:t>advisable</w:t>
      </w:r>
      <w:r w:rsidR="00616CA7">
        <w:t>;</w:t>
      </w:r>
    </w:p>
    <w:p w:rsidR="00890CDD" w:rsidRDefault="00890CDD" w:rsidP="00616CA7">
      <w:pPr>
        <w:tabs>
          <w:tab w:val="clear" w:pos="1247"/>
          <w:tab w:val="clear" w:pos="1814"/>
          <w:tab w:val="clear" w:pos="2381"/>
          <w:tab w:val="left" w:pos="2268"/>
        </w:tabs>
        <w:spacing w:after="120"/>
        <w:ind w:left="1134" w:firstLine="567"/>
      </w:pPr>
      <w:r>
        <w:t>(</w:t>
      </w:r>
      <w:proofErr w:type="spellStart"/>
      <w:r w:rsidR="006E7C79">
        <w:t>i</w:t>
      </w:r>
      <w:proofErr w:type="spellEnd"/>
      <w:r>
        <w:t>)</w:t>
      </w:r>
      <w:r>
        <w:tab/>
        <w:t>When appropriate, workers entering the site should wear appropriate respiratory protection, and impermeable fabric</w:t>
      </w:r>
      <w:r w:rsidR="005401D2">
        <w:t>s</w:t>
      </w:r>
      <w:r>
        <w:t xml:space="preserve"> should cover the</w:t>
      </w:r>
      <w:r w:rsidR="005401D2">
        <w:t>ir</w:t>
      </w:r>
      <w:r>
        <w:t xml:space="preserve"> entire bod</w:t>
      </w:r>
      <w:r w:rsidR="005401D2">
        <w:t>ies</w:t>
      </w:r>
      <w:r>
        <w:t xml:space="preserve"> (i.e., coveralls with hood</w:t>
      </w:r>
      <w:r w:rsidR="005401D2">
        <w:t>s</w:t>
      </w:r>
      <w:r>
        <w:t>, face shield</w:t>
      </w:r>
      <w:r w:rsidR="005401D2">
        <w:t>s</w:t>
      </w:r>
      <w:r>
        <w:t>, gloves and boot covers</w:t>
      </w:r>
      <w:r w:rsidR="007B0E52">
        <w:t>,</w:t>
      </w:r>
      <w:r>
        <w:t xml:space="preserve"> or full body suit</w:t>
      </w:r>
      <w:r w:rsidR="005401D2">
        <w:t>s</w:t>
      </w:r>
      <w:r>
        <w:t>);</w:t>
      </w:r>
    </w:p>
    <w:p w:rsidR="00890CDD" w:rsidRDefault="00890CDD" w:rsidP="00616CA7">
      <w:pPr>
        <w:tabs>
          <w:tab w:val="clear" w:pos="1247"/>
          <w:tab w:val="clear" w:pos="1814"/>
          <w:tab w:val="clear" w:pos="2381"/>
          <w:tab w:val="left" w:pos="2268"/>
        </w:tabs>
        <w:spacing w:after="120"/>
        <w:ind w:left="1134" w:firstLine="567"/>
      </w:pPr>
      <w:r>
        <w:t>(</w:t>
      </w:r>
      <w:r w:rsidR="006E7C79">
        <w:t>j</w:t>
      </w:r>
      <w:r>
        <w:t>)</w:t>
      </w:r>
      <w:r>
        <w:tab/>
        <w:t>Spill clean-up kits and personal decontamination materials should be present in all areas containing POPs;</w:t>
      </w:r>
    </w:p>
    <w:p w:rsidR="00890CDD" w:rsidRDefault="00890CDD" w:rsidP="00616CA7">
      <w:pPr>
        <w:tabs>
          <w:tab w:val="clear" w:pos="1247"/>
          <w:tab w:val="clear" w:pos="1814"/>
          <w:tab w:val="clear" w:pos="2381"/>
          <w:tab w:val="left" w:pos="2268"/>
        </w:tabs>
        <w:spacing w:after="120"/>
        <w:ind w:left="1134" w:firstLine="567"/>
      </w:pPr>
      <w:r>
        <w:t>(</w:t>
      </w:r>
      <w:r w:rsidR="006E7C79">
        <w:t>k</w:t>
      </w:r>
      <w:r>
        <w:t>)</w:t>
      </w:r>
      <w:r>
        <w:tab/>
        <w:t xml:space="preserve">Workers who are or are expected to be routinely entering sites or working with </w:t>
      </w:r>
      <w:proofErr w:type="gramStart"/>
      <w:r w:rsidRPr="004C5F13">
        <w:t>POP</w:t>
      </w:r>
      <w:r w:rsidR="007B0E52" w:rsidRPr="004C5F13">
        <w:t>s</w:t>
      </w:r>
      <w:r w:rsidRPr="004C5F13">
        <w:t xml:space="preserve"> </w:t>
      </w:r>
      <w:r>
        <w:t xml:space="preserve"> should</w:t>
      </w:r>
      <w:proofErr w:type="gramEnd"/>
      <w:r>
        <w:t xml:space="preserve"> undergo medical monitoring, including a baseline medical examination;</w:t>
      </w:r>
      <w:r w:rsidR="00B31FC0">
        <w:t xml:space="preserve"> </w:t>
      </w:r>
    </w:p>
    <w:p w:rsidR="00890CDD" w:rsidRDefault="00890CDD" w:rsidP="00616CA7">
      <w:pPr>
        <w:tabs>
          <w:tab w:val="clear" w:pos="1247"/>
          <w:tab w:val="clear" w:pos="1814"/>
          <w:tab w:val="clear" w:pos="2381"/>
          <w:tab w:val="left" w:pos="2268"/>
        </w:tabs>
        <w:spacing w:after="120"/>
        <w:ind w:left="1134" w:firstLine="567"/>
      </w:pPr>
      <w:r>
        <w:t>(</w:t>
      </w:r>
      <w:r w:rsidR="006E7C79">
        <w:t>l</w:t>
      </w:r>
      <w:r>
        <w:t>)</w:t>
      </w:r>
      <w:r>
        <w:tab/>
      </w:r>
      <w:r w:rsidRPr="00115654">
        <w:t>Whe</w:t>
      </w:r>
      <w:r w:rsidR="007170CD" w:rsidRPr="00115654">
        <w:t>n</w:t>
      </w:r>
      <w:r>
        <w:t xml:space="preserve"> POPs are to be handled in an open system or </w:t>
      </w:r>
      <w:r w:rsidRPr="00115654">
        <w:t>whe</w:t>
      </w:r>
      <w:r w:rsidR="007170CD" w:rsidRPr="00115654">
        <w:t>n</w:t>
      </w:r>
      <w:r>
        <w:t xml:space="preserve"> it is reasonably expected that the protective clothing of a worker may be contaminated with POPs, a contaminant reduction zone should be established where workers can be decontaminated and remove their protective equipment;</w:t>
      </w:r>
    </w:p>
    <w:p w:rsidR="00890CDD" w:rsidRDefault="00890CDD" w:rsidP="00616CA7">
      <w:pPr>
        <w:tabs>
          <w:tab w:val="clear" w:pos="1247"/>
          <w:tab w:val="clear" w:pos="1814"/>
          <w:tab w:val="clear" w:pos="2381"/>
          <w:tab w:val="left" w:pos="2268"/>
        </w:tabs>
        <w:spacing w:after="120"/>
        <w:ind w:left="1134" w:firstLine="567"/>
      </w:pPr>
      <w:r>
        <w:t>(</w:t>
      </w:r>
      <w:r w:rsidR="006E7C79">
        <w:t>m</w:t>
      </w:r>
      <w:r>
        <w:t>)</w:t>
      </w:r>
      <w:r>
        <w:tab/>
        <w:t xml:space="preserve">The HASP and general work procedures should be reviewed at least annually and revised if necessary to enhance health and safety at the site. </w:t>
      </w:r>
    </w:p>
    <w:p w:rsidR="00890CDD" w:rsidRDefault="00890CDD">
      <w:pPr>
        <w:pStyle w:val="Heading3"/>
        <w:spacing w:before="240" w:after="120"/>
        <w:ind w:left="1134" w:hanging="425"/>
      </w:pPr>
      <w:bookmarkStart w:id="842" w:name="_Toc61328061"/>
      <w:bookmarkStart w:id="843" w:name="_Toc61681702"/>
      <w:bookmarkStart w:id="844" w:name="_Toc61681771"/>
      <w:bookmarkStart w:id="845" w:name="_Toc62220564"/>
      <w:bookmarkStart w:id="846" w:name="_Toc95280695"/>
      <w:bookmarkStart w:id="847" w:name="_Toc35062045"/>
      <w:bookmarkStart w:id="848" w:name="_Toc145395163"/>
      <w:bookmarkStart w:id="849" w:name="_Toc161804618"/>
      <w:bookmarkStart w:id="850" w:name="_Toc405988697"/>
      <w:bookmarkStart w:id="851" w:name="_Toc437340590"/>
      <w:r w:rsidRPr="005E5BFF">
        <w:rPr>
          <w:szCs w:val="20"/>
        </w:rPr>
        <w:t>2.</w:t>
      </w:r>
      <w:r w:rsidRPr="005E5BFF">
        <w:rPr>
          <w:szCs w:val="20"/>
        </w:rPr>
        <w:tab/>
      </w:r>
      <w:r w:rsidR="00405DFE" w:rsidRPr="00B029E2">
        <w:rPr>
          <w:szCs w:val="20"/>
        </w:rPr>
        <w:t>Low</w:t>
      </w:r>
      <w:r w:rsidR="00EA7D38" w:rsidRPr="00B029E2">
        <w:rPr>
          <w:szCs w:val="20"/>
        </w:rPr>
        <w:t>er</w:t>
      </w:r>
      <w:r w:rsidRPr="005E5BFF">
        <w:rPr>
          <w:szCs w:val="20"/>
        </w:rPr>
        <w:t>-risk situations</w:t>
      </w:r>
      <w:bookmarkEnd w:id="842"/>
      <w:bookmarkEnd w:id="843"/>
      <w:bookmarkEnd w:id="844"/>
      <w:bookmarkEnd w:id="845"/>
      <w:bookmarkEnd w:id="846"/>
      <w:bookmarkEnd w:id="847"/>
      <w:bookmarkEnd w:id="848"/>
      <w:bookmarkEnd w:id="849"/>
      <w:bookmarkEnd w:id="850"/>
      <w:bookmarkEnd w:id="851"/>
      <w:r w:rsidR="001953EE">
        <w:rPr>
          <w:szCs w:val="20"/>
        </w:rPr>
        <w:t xml:space="preserve"> </w:t>
      </w:r>
    </w:p>
    <w:p w:rsidR="00890CDD" w:rsidRPr="00B029E2" w:rsidRDefault="00FA05A6" w:rsidP="00EF105B">
      <w:pPr>
        <w:pStyle w:val="Paralevel1"/>
        <w:tabs>
          <w:tab w:val="clear" w:pos="1843"/>
          <w:tab w:val="left" w:pos="1701"/>
        </w:tabs>
        <w:ind w:left="1134" w:firstLine="0"/>
      </w:pPr>
      <w:r>
        <w:t>As with high volume or high concentration, t</w:t>
      </w:r>
      <w:r w:rsidR="00890CDD">
        <w:t xml:space="preserve">here is no </w:t>
      </w:r>
      <w:r w:rsidR="00115654" w:rsidRPr="00B029E2">
        <w:t xml:space="preserve">international </w:t>
      </w:r>
      <w:r w:rsidR="00405DFE" w:rsidRPr="00B029E2">
        <w:t>quantitative</w:t>
      </w:r>
      <w:r>
        <w:t xml:space="preserve"> </w:t>
      </w:r>
      <w:r w:rsidR="00890CDD">
        <w:t xml:space="preserve">definition of low volume or low concentration. </w:t>
      </w:r>
      <w:r>
        <w:t xml:space="preserve">The terms </w:t>
      </w:r>
      <w:r w:rsidR="00890CDD">
        <w:t xml:space="preserve">should </w:t>
      </w:r>
      <w:r>
        <w:t xml:space="preserve">thus </w:t>
      </w:r>
      <w:r w:rsidR="00890CDD">
        <w:t>be de</w:t>
      </w:r>
      <w:r>
        <w:t>fined</w:t>
      </w:r>
      <w:r w:rsidR="00890CDD">
        <w:t xml:space="preserve"> by comparing contaminant levels with government guidelines or by conducting site-specific risk assessments. </w:t>
      </w:r>
      <w:r w:rsidR="00405DFE" w:rsidRPr="00B029E2">
        <w:t>Low</w:t>
      </w:r>
      <w:r w:rsidR="00EA7D38" w:rsidRPr="00B029E2">
        <w:t>er</w:t>
      </w:r>
      <w:r w:rsidR="00890CDD" w:rsidRPr="00B029E2">
        <w:t xml:space="preserve">-risk situations may </w:t>
      </w:r>
      <w:r w:rsidR="00405DFE" w:rsidRPr="00B029E2">
        <w:t>occur</w:t>
      </w:r>
      <w:r w:rsidR="00890CDD" w:rsidRPr="00B029E2">
        <w:t>:</w:t>
      </w:r>
    </w:p>
    <w:p w:rsidR="00890CDD" w:rsidRDefault="00890CDD" w:rsidP="007F39BD">
      <w:pPr>
        <w:tabs>
          <w:tab w:val="clear" w:pos="1247"/>
          <w:tab w:val="clear" w:pos="1814"/>
          <w:tab w:val="clear" w:pos="2381"/>
          <w:tab w:val="left" w:pos="2268"/>
        </w:tabs>
        <w:spacing w:after="120"/>
        <w:ind w:left="1134" w:firstLine="567"/>
      </w:pPr>
      <w:r>
        <w:t>(a)</w:t>
      </w:r>
      <w:r>
        <w:tab/>
      </w:r>
      <w:r w:rsidR="00405DFE" w:rsidRPr="00B029E2">
        <w:t>At s</w:t>
      </w:r>
      <w:r>
        <w:t xml:space="preserve">ites that contain materials contaminated with POPs in small quantities or at low concentrations; </w:t>
      </w:r>
    </w:p>
    <w:p w:rsidR="00890CDD" w:rsidRDefault="00890CDD" w:rsidP="007F39BD">
      <w:pPr>
        <w:tabs>
          <w:tab w:val="clear" w:pos="1247"/>
          <w:tab w:val="clear" w:pos="1814"/>
          <w:tab w:val="clear" w:pos="2381"/>
          <w:tab w:val="left" w:pos="2268"/>
        </w:tabs>
        <w:spacing w:after="120"/>
        <w:ind w:left="1134" w:firstLine="567"/>
      </w:pPr>
      <w:r>
        <w:t>(b)</w:t>
      </w:r>
      <w:r>
        <w:tab/>
      </w:r>
      <w:r w:rsidR="00405DFE" w:rsidRPr="00B029E2">
        <w:t>In c</w:t>
      </w:r>
      <w:r>
        <w:t>ontrolled storage rooms that contain small quantities of POPs;</w:t>
      </w:r>
      <w:r w:rsidR="00143702">
        <w:t xml:space="preserve"> </w:t>
      </w:r>
      <w:r w:rsidR="00405DFE" w:rsidRPr="00B029E2">
        <w:t>and</w:t>
      </w:r>
    </w:p>
    <w:p w:rsidR="00890CDD" w:rsidRDefault="00890CDD" w:rsidP="007F39BD">
      <w:pPr>
        <w:tabs>
          <w:tab w:val="clear" w:pos="1247"/>
          <w:tab w:val="clear" w:pos="1814"/>
          <w:tab w:val="clear" w:pos="2381"/>
          <w:tab w:val="left" w:pos="2268"/>
        </w:tabs>
        <w:spacing w:after="120"/>
        <w:ind w:left="1134" w:firstLine="567"/>
      </w:pPr>
      <w:r>
        <w:t>(c)</w:t>
      </w:r>
      <w:r>
        <w:tab/>
      </w:r>
      <w:r w:rsidR="00405DFE" w:rsidRPr="00B029E2">
        <w:t>At s</w:t>
      </w:r>
      <w:r>
        <w:t>ites contaminated with low concentrations of POPs or where the contamination cannot come directly into contact with people.</w:t>
      </w:r>
    </w:p>
    <w:p w:rsidR="00890CDD" w:rsidRDefault="00890CDD" w:rsidP="00EF105B">
      <w:pPr>
        <w:pStyle w:val="Paralevel1"/>
        <w:tabs>
          <w:tab w:val="clear" w:pos="1843"/>
          <w:tab w:val="left" w:pos="1701"/>
        </w:tabs>
        <w:ind w:left="1134" w:firstLine="0"/>
      </w:pPr>
      <w:r>
        <w:t xml:space="preserve">Despite the low </w:t>
      </w:r>
      <w:r w:rsidR="006F184E" w:rsidRPr="00561BA3">
        <w:t>leve</w:t>
      </w:r>
      <w:r w:rsidR="00405DFE" w:rsidRPr="00405DFE">
        <w:t>l</w:t>
      </w:r>
      <w:r w:rsidR="006F184E" w:rsidRPr="00561BA3">
        <w:t xml:space="preserve"> of</w:t>
      </w:r>
      <w:r w:rsidR="006F184E">
        <w:t xml:space="preserve"> </w:t>
      </w:r>
      <w:r>
        <w:t>risk</w:t>
      </w:r>
      <w:r w:rsidR="00FA05A6">
        <w:t xml:space="preserve"> </w:t>
      </w:r>
      <w:r w:rsidR="00405DFE" w:rsidRPr="00405DFE">
        <w:t>that the</w:t>
      </w:r>
      <w:r w:rsidR="00FA05A6" w:rsidRPr="00561BA3">
        <w:t xml:space="preserve"> situations </w:t>
      </w:r>
      <w:r w:rsidR="00405DFE" w:rsidRPr="00405DFE">
        <w:t xml:space="preserve">described above </w:t>
      </w:r>
      <w:r w:rsidR="00FA05A6" w:rsidRPr="00561BA3">
        <w:t>present</w:t>
      </w:r>
      <w:r>
        <w:t>, some health and safety measures should be taken to minimize exposure, including health and safety training of personnel who are likely to come into contact with POPs.</w:t>
      </w:r>
    </w:p>
    <w:p w:rsidR="00890CDD" w:rsidRDefault="00890CDD">
      <w:pPr>
        <w:pStyle w:val="Heading2"/>
        <w:spacing w:before="240" w:after="120"/>
        <w:ind w:left="1134" w:hanging="510"/>
      </w:pPr>
      <w:bookmarkStart w:id="852" w:name="_Toc58997140"/>
      <w:bookmarkStart w:id="853" w:name="_Toc58999216"/>
      <w:bookmarkStart w:id="854" w:name="_Toc58999275"/>
      <w:bookmarkStart w:id="855" w:name="_Toc61328062"/>
      <w:bookmarkStart w:id="856" w:name="_Toc61681703"/>
      <w:bookmarkStart w:id="857" w:name="_Toc61681772"/>
      <w:bookmarkStart w:id="858" w:name="_Toc62220565"/>
      <w:bookmarkStart w:id="859" w:name="_Toc161804619"/>
      <w:bookmarkStart w:id="860" w:name="_Toc405988698"/>
      <w:bookmarkStart w:id="861" w:name="_Toc437340591"/>
      <w:r>
        <w:t>J.</w:t>
      </w:r>
      <w:r>
        <w:tab/>
        <w:t>Emergency response</w:t>
      </w:r>
      <w:bookmarkEnd w:id="852"/>
      <w:bookmarkEnd w:id="853"/>
      <w:bookmarkEnd w:id="854"/>
      <w:bookmarkEnd w:id="855"/>
      <w:bookmarkEnd w:id="856"/>
      <w:bookmarkEnd w:id="857"/>
      <w:bookmarkEnd w:id="858"/>
      <w:bookmarkEnd w:id="859"/>
      <w:bookmarkEnd w:id="860"/>
      <w:bookmarkEnd w:id="861"/>
      <w:r w:rsidR="004E1383" w:rsidRPr="004E1383">
        <w:rPr>
          <w:rStyle w:val="FootnoteReference"/>
          <w:b w:val="0"/>
          <w:bCs/>
        </w:rPr>
        <w:footnoteReference w:customMarkFollows="1" w:id="133"/>
        <w:t>133</w:t>
      </w:r>
    </w:p>
    <w:p w:rsidR="00890CDD" w:rsidRDefault="00890CDD" w:rsidP="00EF105B">
      <w:pPr>
        <w:pStyle w:val="Paralevel1"/>
        <w:tabs>
          <w:tab w:val="clear" w:pos="1843"/>
          <w:tab w:val="left" w:pos="1701"/>
        </w:tabs>
        <w:ind w:left="1134" w:firstLine="0"/>
      </w:pPr>
      <w:r w:rsidRPr="00A60E31">
        <w:t>Emergency response plans should be in place for all POPs in production, use, storage</w:t>
      </w:r>
      <w:r w:rsidR="001319F0">
        <w:t xml:space="preserve"> and</w:t>
      </w:r>
      <w:r w:rsidR="001319F0" w:rsidRPr="00A60E31">
        <w:t xml:space="preserve"> </w:t>
      </w:r>
      <w:r w:rsidRPr="00A60E31">
        <w:t>transport or at disposal sites, in line with the exposure and risk profile</w:t>
      </w:r>
      <w:r>
        <w:t>s</w:t>
      </w:r>
      <w:r w:rsidRPr="00A60E31">
        <w:t xml:space="preserve"> of </w:t>
      </w:r>
      <w:r w:rsidR="001319F0">
        <w:t xml:space="preserve">each </w:t>
      </w:r>
      <w:r w:rsidRPr="00A60E31">
        <w:t>specific POP</w:t>
      </w:r>
      <w:r>
        <w:t>. While emergency response plans can vary for each situation and each type of POP, the principal elements of an emergency response include:</w:t>
      </w:r>
    </w:p>
    <w:p w:rsidR="00890CDD" w:rsidRDefault="00890CDD" w:rsidP="007F39BD">
      <w:pPr>
        <w:tabs>
          <w:tab w:val="clear" w:pos="1247"/>
          <w:tab w:val="clear" w:pos="1814"/>
          <w:tab w:val="clear" w:pos="2381"/>
          <w:tab w:val="left" w:pos="2268"/>
        </w:tabs>
        <w:spacing w:after="120"/>
        <w:ind w:left="1134" w:firstLine="567"/>
      </w:pPr>
      <w:r>
        <w:t>(a)</w:t>
      </w:r>
      <w:r>
        <w:tab/>
        <w:t xml:space="preserve">Identifying all potential hazards, risks and accidents; </w:t>
      </w:r>
    </w:p>
    <w:p w:rsidR="00890CDD" w:rsidRDefault="00890CDD" w:rsidP="007F39BD">
      <w:pPr>
        <w:tabs>
          <w:tab w:val="clear" w:pos="1247"/>
          <w:tab w:val="clear" w:pos="1814"/>
          <w:tab w:val="clear" w:pos="2381"/>
          <w:tab w:val="left" w:pos="2268"/>
        </w:tabs>
        <w:spacing w:after="120"/>
        <w:ind w:left="1134" w:firstLine="567"/>
      </w:pPr>
      <w:r>
        <w:t>(b)</w:t>
      </w:r>
      <w:r>
        <w:tab/>
        <w:t>Identifying relevant local and national legislation governing emergency response plans;</w:t>
      </w:r>
    </w:p>
    <w:p w:rsidR="00890CDD" w:rsidRDefault="00890CDD" w:rsidP="007F39BD">
      <w:pPr>
        <w:tabs>
          <w:tab w:val="clear" w:pos="1247"/>
          <w:tab w:val="clear" w:pos="1814"/>
          <w:tab w:val="clear" w:pos="2381"/>
          <w:tab w:val="left" w:pos="2268"/>
        </w:tabs>
        <w:spacing w:after="120"/>
        <w:ind w:left="1134" w:firstLine="567"/>
      </w:pPr>
      <w:r>
        <w:t>(c)</w:t>
      </w:r>
      <w:r>
        <w:tab/>
        <w:t>Planning for anticipated emergency situations and possible responses</w:t>
      </w:r>
      <w:r w:rsidR="001319F0">
        <w:t xml:space="preserve"> </w:t>
      </w:r>
      <w:r w:rsidR="001319F0" w:rsidRPr="00561BA3">
        <w:t>to them</w:t>
      </w:r>
      <w:r>
        <w:t>;</w:t>
      </w:r>
    </w:p>
    <w:p w:rsidR="00890CDD" w:rsidRDefault="00890CDD" w:rsidP="007F39BD">
      <w:pPr>
        <w:tabs>
          <w:tab w:val="clear" w:pos="1247"/>
          <w:tab w:val="clear" w:pos="1814"/>
          <w:tab w:val="clear" w:pos="2381"/>
          <w:tab w:val="left" w:pos="2268"/>
        </w:tabs>
        <w:spacing w:after="120"/>
        <w:ind w:left="1134" w:firstLine="567"/>
      </w:pPr>
      <w:r>
        <w:t>(d)</w:t>
      </w:r>
      <w:r>
        <w:tab/>
        <w:t>Maintaining a complete up-to-date inventory of all POPs on site;</w:t>
      </w:r>
    </w:p>
    <w:p w:rsidR="00890CDD" w:rsidRDefault="00890CDD" w:rsidP="007F39BD">
      <w:pPr>
        <w:tabs>
          <w:tab w:val="clear" w:pos="1247"/>
          <w:tab w:val="clear" w:pos="1814"/>
          <w:tab w:val="clear" w:pos="2381"/>
          <w:tab w:val="left" w:pos="2268"/>
        </w:tabs>
        <w:spacing w:after="120"/>
        <w:ind w:left="1134" w:firstLine="567"/>
      </w:pPr>
      <w:r>
        <w:t>(e)</w:t>
      </w:r>
      <w:r>
        <w:tab/>
        <w:t>Training personnel in response activities, including simulated response exercises</w:t>
      </w:r>
      <w:r w:rsidR="001319F0">
        <w:t>,</w:t>
      </w:r>
      <w:r>
        <w:t xml:space="preserve"> and first aid;</w:t>
      </w:r>
    </w:p>
    <w:p w:rsidR="00890CDD" w:rsidRDefault="00890CDD" w:rsidP="007F39BD">
      <w:pPr>
        <w:tabs>
          <w:tab w:val="clear" w:pos="1247"/>
          <w:tab w:val="clear" w:pos="1814"/>
          <w:tab w:val="clear" w:pos="2381"/>
          <w:tab w:val="left" w:pos="2268"/>
        </w:tabs>
        <w:spacing w:after="120"/>
        <w:ind w:left="1134" w:firstLine="567"/>
      </w:pPr>
      <w:r>
        <w:t>(f)</w:t>
      </w:r>
      <w:r>
        <w:tab/>
        <w:t>Maintaining mobile spill response capabilities or retaining the services of a specialized firm for spill response;</w:t>
      </w:r>
    </w:p>
    <w:p w:rsidR="00890CDD" w:rsidRDefault="00890CDD" w:rsidP="007F39BD">
      <w:pPr>
        <w:tabs>
          <w:tab w:val="clear" w:pos="1247"/>
          <w:tab w:val="clear" w:pos="1814"/>
          <w:tab w:val="clear" w:pos="2381"/>
          <w:tab w:val="left" w:pos="2268"/>
        </w:tabs>
        <w:spacing w:after="120"/>
        <w:ind w:left="1134" w:firstLine="567"/>
      </w:pPr>
      <w:r>
        <w:t>(g)</w:t>
      </w:r>
      <w:r>
        <w:tab/>
        <w:t xml:space="preserve">Notifying fire </w:t>
      </w:r>
      <w:r w:rsidR="00331715" w:rsidRPr="00561BA3">
        <w:t>departments</w:t>
      </w:r>
      <w:r w:rsidRPr="00561BA3">
        <w:t xml:space="preserve">, </w:t>
      </w:r>
      <w:r w:rsidR="00331715" w:rsidRPr="00561BA3">
        <w:t>the</w:t>
      </w:r>
      <w:r w:rsidR="00331715">
        <w:t xml:space="preserve"> </w:t>
      </w:r>
      <w:r>
        <w:t>police and other government emergency response agencies of the location of POPs and the</w:t>
      </w:r>
      <w:r w:rsidR="00331715" w:rsidRPr="00561BA3">
        <w:t>ir</w:t>
      </w:r>
      <w:r>
        <w:t xml:space="preserve"> routes of transport;</w:t>
      </w:r>
    </w:p>
    <w:p w:rsidR="00890CDD" w:rsidRDefault="00890CDD" w:rsidP="007F39BD">
      <w:pPr>
        <w:tabs>
          <w:tab w:val="clear" w:pos="1247"/>
          <w:tab w:val="clear" w:pos="1814"/>
          <w:tab w:val="clear" w:pos="2381"/>
          <w:tab w:val="left" w:pos="2268"/>
        </w:tabs>
        <w:spacing w:after="120"/>
        <w:ind w:left="1134" w:firstLine="567"/>
      </w:pPr>
      <w:r>
        <w:t>(h)</w:t>
      </w:r>
      <w:r>
        <w:tab/>
        <w:t>Installing mitigation measures such as fire suppression systems, spill containment equipment, fire-fighting water containment, spill and fire alarms</w:t>
      </w:r>
      <w:r w:rsidR="00331715">
        <w:t>,</w:t>
      </w:r>
      <w:r>
        <w:t xml:space="preserve"> and firewalls;</w:t>
      </w:r>
    </w:p>
    <w:p w:rsidR="00890CDD" w:rsidRDefault="00890CDD" w:rsidP="007F39BD">
      <w:pPr>
        <w:tabs>
          <w:tab w:val="clear" w:pos="1247"/>
          <w:tab w:val="clear" w:pos="1814"/>
          <w:tab w:val="clear" w:pos="2381"/>
          <w:tab w:val="left" w:pos="2268"/>
        </w:tabs>
        <w:spacing w:after="120"/>
        <w:ind w:left="1134" w:firstLine="567"/>
      </w:pPr>
      <w:r>
        <w:t>(</w:t>
      </w:r>
      <w:proofErr w:type="spellStart"/>
      <w:r>
        <w:t>i</w:t>
      </w:r>
      <w:proofErr w:type="spellEnd"/>
      <w:r>
        <w:t>)</w:t>
      </w:r>
      <w:r>
        <w:tab/>
        <w:t>Installing emergency communication systems</w:t>
      </w:r>
      <w:r w:rsidR="00331715">
        <w:t>,</w:t>
      </w:r>
      <w:r>
        <w:t xml:space="preserve"> including signs indicating emergency exits, telephone numbers, alarm locations and response instructions;</w:t>
      </w:r>
    </w:p>
    <w:p w:rsidR="00890CDD" w:rsidRDefault="00890CDD" w:rsidP="007F39BD">
      <w:pPr>
        <w:tabs>
          <w:tab w:val="clear" w:pos="1247"/>
          <w:tab w:val="clear" w:pos="1814"/>
          <w:tab w:val="clear" w:pos="2381"/>
          <w:tab w:val="left" w:pos="2268"/>
        </w:tabs>
        <w:spacing w:after="120"/>
        <w:ind w:left="1134" w:firstLine="567"/>
      </w:pPr>
      <w:r>
        <w:t>(j)</w:t>
      </w:r>
      <w:r>
        <w:tab/>
        <w:t>Installing and maintaining emergency response kits containing sorbents, personal protective equipment, portable fire extinguishers and first aid supplies;</w:t>
      </w:r>
    </w:p>
    <w:p w:rsidR="00890CDD" w:rsidRDefault="00890CDD" w:rsidP="007F39BD">
      <w:pPr>
        <w:tabs>
          <w:tab w:val="clear" w:pos="1247"/>
          <w:tab w:val="clear" w:pos="1814"/>
          <w:tab w:val="clear" w:pos="2381"/>
          <w:tab w:val="left" w:pos="2268"/>
        </w:tabs>
        <w:spacing w:after="120"/>
        <w:ind w:left="1134" w:firstLine="567"/>
      </w:pPr>
      <w:r>
        <w:t>(k)</w:t>
      </w:r>
      <w:r>
        <w:tab/>
        <w:t xml:space="preserve">Integrating facility plans with local, regional, national and global emergency plans, if appropriate; </w:t>
      </w:r>
      <w:r w:rsidR="00331715">
        <w:t>and</w:t>
      </w:r>
    </w:p>
    <w:p w:rsidR="00890CDD" w:rsidRDefault="00890CDD" w:rsidP="007F39BD">
      <w:pPr>
        <w:tabs>
          <w:tab w:val="clear" w:pos="1247"/>
          <w:tab w:val="clear" w:pos="1814"/>
          <w:tab w:val="clear" w:pos="2381"/>
          <w:tab w:val="left" w:pos="2268"/>
        </w:tabs>
        <w:spacing w:after="120"/>
        <w:ind w:left="1134" w:firstLine="567"/>
      </w:pPr>
      <w:r>
        <w:t>(l)</w:t>
      </w:r>
      <w:r>
        <w:tab/>
        <w:t>Regular</w:t>
      </w:r>
      <w:r w:rsidR="00331715">
        <w:t>ly</w:t>
      </w:r>
      <w:r>
        <w:t xml:space="preserve"> testing emergency response equipment and review</w:t>
      </w:r>
      <w:r w:rsidR="00331715">
        <w:t>ing</w:t>
      </w:r>
      <w:r>
        <w:t xml:space="preserve"> emergency response plans.</w:t>
      </w:r>
    </w:p>
    <w:p w:rsidR="00890CDD" w:rsidRDefault="00890CDD" w:rsidP="00EF105B">
      <w:pPr>
        <w:pStyle w:val="Paralevel1"/>
        <w:tabs>
          <w:tab w:val="clear" w:pos="1843"/>
          <w:tab w:val="left" w:pos="1701"/>
        </w:tabs>
        <w:ind w:left="1134" w:firstLine="0"/>
      </w:pPr>
      <w:r>
        <w:t xml:space="preserve">Emergency response plans should be prepared jointly by interdisciplinary teams that include emergency response, medical, chemical and technical personnel and </w:t>
      </w:r>
      <w:proofErr w:type="spellStart"/>
      <w:r>
        <w:t>labour</w:t>
      </w:r>
      <w:proofErr w:type="spellEnd"/>
      <w:r>
        <w:t xml:space="preserve"> and management</w:t>
      </w:r>
      <w:r w:rsidR="00331715">
        <w:t xml:space="preserve"> representatives</w:t>
      </w:r>
      <w:r>
        <w:t>. When applicable, representatives of potentially impacted communities should also be included.</w:t>
      </w:r>
    </w:p>
    <w:p w:rsidR="00890CDD" w:rsidRDefault="00890CDD">
      <w:pPr>
        <w:pStyle w:val="Heading2"/>
        <w:spacing w:before="240" w:after="120"/>
        <w:ind w:left="1134" w:hanging="510"/>
      </w:pPr>
      <w:bookmarkStart w:id="862" w:name="_Toc58997141"/>
      <w:bookmarkStart w:id="863" w:name="_Toc58999217"/>
      <w:bookmarkStart w:id="864" w:name="_Toc58999276"/>
      <w:bookmarkStart w:id="865" w:name="_Toc61328063"/>
      <w:bookmarkStart w:id="866" w:name="_Toc61681704"/>
      <w:bookmarkStart w:id="867" w:name="_Toc61681773"/>
      <w:bookmarkStart w:id="868" w:name="_Toc62220566"/>
      <w:bookmarkStart w:id="869" w:name="_Toc161804620"/>
      <w:bookmarkStart w:id="870" w:name="_Toc405988699"/>
      <w:bookmarkStart w:id="871" w:name="_Toc437340592"/>
      <w:r>
        <w:t>K.</w:t>
      </w:r>
      <w:r>
        <w:tab/>
        <w:t>Public participation</w:t>
      </w:r>
      <w:bookmarkEnd w:id="862"/>
      <w:bookmarkEnd w:id="863"/>
      <w:bookmarkEnd w:id="864"/>
      <w:bookmarkEnd w:id="865"/>
      <w:bookmarkEnd w:id="866"/>
      <w:bookmarkEnd w:id="867"/>
      <w:bookmarkEnd w:id="868"/>
      <w:bookmarkEnd w:id="869"/>
      <w:bookmarkEnd w:id="870"/>
      <w:bookmarkEnd w:id="871"/>
    </w:p>
    <w:p w:rsidR="001A1011" w:rsidRDefault="00890CDD" w:rsidP="001A1011">
      <w:pPr>
        <w:pStyle w:val="Paralevel1"/>
        <w:tabs>
          <w:tab w:val="left" w:pos="1701"/>
        </w:tabs>
        <w:ind w:left="1134" w:firstLine="0"/>
      </w:pPr>
      <w:r>
        <w:t xml:space="preserve">Public participation is a core principle of the </w:t>
      </w:r>
      <w:r w:rsidR="008679CA">
        <w:t xml:space="preserve">1999 </w:t>
      </w:r>
      <w:r>
        <w:t xml:space="preserve">Basel Declaration on Environmentally Sound Management and many other international agreements. It is essential that the public and all stakeholder groups have a chance to participate in the development of policy related to POPs, </w:t>
      </w:r>
      <w:r w:rsidR="008679CA">
        <w:t xml:space="preserve">the </w:t>
      </w:r>
      <w:r>
        <w:t xml:space="preserve">planning of </w:t>
      </w:r>
      <w:proofErr w:type="spellStart"/>
      <w:r>
        <w:t>programmes</w:t>
      </w:r>
      <w:proofErr w:type="spellEnd"/>
      <w:r>
        <w:t xml:space="preserve">, </w:t>
      </w:r>
      <w:r w:rsidR="008679CA">
        <w:t xml:space="preserve">the </w:t>
      </w:r>
      <w:r>
        <w:t xml:space="preserve">development of legislation, </w:t>
      </w:r>
      <w:r w:rsidR="008679CA">
        <w:t xml:space="preserve">the </w:t>
      </w:r>
      <w:r>
        <w:t>review of documents and data, and decision</w:t>
      </w:r>
      <w:r>
        <w:noBreakHyphen/>
        <w:t xml:space="preserve">making on local issues related to POPs. Paragraphs 6 (g) and (h) of the Basel Declaration </w:t>
      </w:r>
      <w:r w:rsidR="004614A8" w:rsidRPr="00561BA3">
        <w:t>reflect an agreement to enhance and strengthen efforts and cooperation to achieve environmentally sound management with regard to</w:t>
      </w:r>
      <w:r w:rsidR="004614A8">
        <w:t xml:space="preserve"> </w:t>
      </w:r>
      <w:r w:rsidRPr="00697C81">
        <w:t>the enhancement</w:t>
      </w:r>
      <w:r>
        <w:t xml:space="preserve"> of information exchange, education and awareness-raising in all sectors of society</w:t>
      </w:r>
      <w:r w:rsidR="00DE020B">
        <w:t>;</w:t>
      </w:r>
      <w:r>
        <w:t xml:space="preserve"> and cooperation and partnership </w:t>
      </w:r>
      <w:r w:rsidR="00DE020B">
        <w:t xml:space="preserve">at all levels </w:t>
      </w:r>
      <w:r>
        <w:t>between countries, public authorities, international organizations, industry, non</w:t>
      </w:r>
      <w:r>
        <w:noBreakHyphen/>
      </w:r>
      <w:proofErr w:type="spellStart"/>
      <w:r>
        <w:t>governmental</w:t>
      </w:r>
      <w:proofErr w:type="spellEnd"/>
      <w:r>
        <w:t xml:space="preserve"> organizations and academic institutions. </w:t>
      </w:r>
    </w:p>
    <w:p w:rsidR="00890CDD" w:rsidRDefault="00890CDD" w:rsidP="00EF105B">
      <w:pPr>
        <w:pStyle w:val="Paralevel1"/>
        <w:tabs>
          <w:tab w:val="clear" w:pos="1843"/>
          <w:tab w:val="left" w:pos="1701"/>
        </w:tabs>
        <w:ind w:left="1134" w:firstLine="0"/>
      </w:pPr>
      <w:r>
        <w:t xml:space="preserve">The Stockholm Convention, in Article 10, paragraph 1 (d), calls on each </w:t>
      </w:r>
      <w:r w:rsidR="00405DFE" w:rsidRPr="00B029E2">
        <w:t>p</w:t>
      </w:r>
      <w:r>
        <w:t xml:space="preserve">arty, within its capabilities, to promote and facilitate public participation in addressing POPs and their health and environmental effects and in developing adequate responses, including </w:t>
      </w:r>
      <w:r w:rsidR="005401D2" w:rsidRPr="0064724F">
        <w:t xml:space="preserve">by providing </w:t>
      </w:r>
      <w:r w:rsidRPr="0064724F">
        <w:t>opportunities</w:t>
      </w:r>
      <w:r>
        <w:t xml:space="preserve"> for </w:t>
      </w:r>
      <w:r w:rsidR="005401D2">
        <w:t xml:space="preserve">public </w:t>
      </w:r>
      <w:r>
        <w:t xml:space="preserve">input at the national level regarding </w:t>
      </w:r>
      <w:r w:rsidR="00EE5200">
        <w:t xml:space="preserve">the </w:t>
      </w:r>
      <w:r>
        <w:t xml:space="preserve">implementation of </w:t>
      </w:r>
      <w:r w:rsidR="00220E65">
        <w:t xml:space="preserve">the </w:t>
      </w:r>
      <w:r>
        <w:t>Convention.</w:t>
      </w:r>
    </w:p>
    <w:p w:rsidR="00890CDD" w:rsidRDefault="00890CDD" w:rsidP="00EF105B">
      <w:pPr>
        <w:pStyle w:val="Paralevel1"/>
        <w:tabs>
          <w:tab w:val="clear" w:pos="1843"/>
          <w:tab w:val="left" w:pos="1701"/>
        </w:tabs>
        <w:ind w:left="1134" w:firstLine="0"/>
      </w:pPr>
      <w:r>
        <w:t xml:space="preserve">Articles 6, 7, 8, and 9 of the </w:t>
      </w:r>
      <w:r w:rsidR="00ED54E4">
        <w:t xml:space="preserve">UNECE 1998 </w:t>
      </w:r>
      <w:r w:rsidR="00C24E11">
        <w:t xml:space="preserve">Convention </w:t>
      </w:r>
      <w:r>
        <w:t xml:space="preserve">on Access to Information, Public Participation in Decision-making and Access to Justice in Environmental Matters </w:t>
      </w:r>
      <w:r w:rsidR="00C24E11">
        <w:t xml:space="preserve">(Aarhus Convention) </w:t>
      </w:r>
      <w:r>
        <w:t xml:space="preserve">require the </w:t>
      </w:r>
      <w:r w:rsidR="00405DFE" w:rsidRPr="00B029E2">
        <w:t>p</w:t>
      </w:r>
      <w:r w:rsidR="00C24E11" w:rsidRPr="00017797">
        <w:t>arties to</w:t>
      </w:r>
      <w:r w:rsidR="00C24E11">
        <w:t xml:space="preserve"> </w:t>
      </w:r>
      <w:r>
        <w:t xml:space="preserve">conduct fairly specific types of activities regarding public participation in specific government activities, the development of plans, policies and </w:t>
      </w:r>
      <w:proofErr w:type="spellStart"/>
      <w:r>
        <w:t>programmes</w:t>
      </w:r>
      <w:proofErr w:type="spellEnd"/>
      <w:r>
        <w:t xml:space="preserve"> and the development of legislation, and call for access to justice for the public with regard to the environment.</w:t>
      </w:r>
    </w:p>
    <w:p w:rsidR="00890CDD" w:rsidRDefault="00890CDD" w:rsidP="00EF105B">
      <w:pPr>
        <w:pStyle w:val="Paralevel1"/>
        <w:tabs>
          <w:tab w:val="clear" w:pos="1843"/>
          <w:tab w:val="left" w:pos="1701"/>
        </w:tabs>
        <w:ind w:left="1134" w:firstLine="0"/>
      </w:pPr>
      <w:r>
        <w:t xml:space="preserve">The participation of the public in the </w:t>
      </w:r>
      <w:r w:rsidR="00373DE8" w:rsidRPr="009B3E76">
        <w:t xml:space="preserve">adoption </w:t>
      </w:r>
      <w:r w:rsidRPr="00373DE8">
        <w:t xml:space="preserve">of standards and regulations </w:t>
      </w:r>
      <w:r w:rsidR="00373DE8" w:rsidRPr="009B3E76">
        <w:t>on</w:t>
      </w:r>
      <w:r w:rsidR="00373DE8">
        <w:t xml:space="preserve"> </w:t>
      </w:r>
      <w:r>
        <w:t xml:space="preserve">POPs is essential. Any Government planning new or changed regulations or policies should have an open process for soliciting comment from any and all persons or groups. This means that a general invitation to comment </w:t>
      </w:r>
      <w:r w:rsidR="00017797" w:rsidRPr="009B3E76">
        <w:t>should be</w:t>
      </w:r>
      <w:r w:rsidR="00017797">
        <w:t xml:space="preserve"> </w:t>
      </w:r>
      <w:r>
        <w:t xml:space="preserve">given through regular media outlets, the </w:t>
      </w:r>
      <w:r w:rsidR="005401D2">
        <w:t>I</w:t>
      </w:r>
      <w:r>
        <w:t>nternet, or by direct invitation. The individuals and groups who should be considered for direct invitation to comment are:</w:t>
      </w:r>
    </w:p>
    <w:p w:rsidR="00890CDD" w:rsidRDefault="00890CDD" w:rsidP="007F39BD">
      <w:pPr>
        <w:tabs>
          <w:tab w:val="clear" w:pos="1247"/>
          <w:tab w:val="clear" w:pos="1814"/>
          <w:tab w:val="clear" w:pos="2381"/>
          <w:tab w:val="left" w:pos="2268"/>
        </w:tabs>
        <w:spacing w:after="120"/>
        <w:ind w:left="1134" w:firstLine="567"/>
      </w:pPr>
      <w:r>
        <w:t>(a)</w:t>
      </w:r>
      <w:r>
        <w:tab/>
        <w:t xml:space="preserve">Individual citizens who have expressed </w:t>
      </w:r>
      <w:r w:rsidR="00E67384" w:rsidRPr="004C5F13">
        <w:t>an</w:t>
      </w:r>
      <w:r w:rsidR="00E67384">
        <w:t xml:space="preserve"> </w:t>
      </w:r>
      <w:r>
        <w:t>interest</w:t>
      </w:r>
      <w:r w:rsidR="00E67384">
        <w:t xml:space="preserve"> </w:t>
      </w:r>
      <w:r w:rsidR="00405DFE" w:rsidRPr="00405DFE">
        <w:t>i</w:t>
      </w:r>
      <w:r w:rsidR="00E67384" w:rsidRPr="004C5F13">
        <w:t>n POPs</w:t>
      </w:r>
      <w:r>
        <w:t>;</w:t>
      </w:r>
      <w:r w:rsidR="00E67384">
        <w:t xml:space="preserve"> </w:t>
      </w:r>
    </w:p>
    <w:p w:rsidR="00890CDD" w:rsidRDefault="00890CDD" w:rsidP="007F39BD">
      <w:pPr>
        <w:tabs>
          <w:tab w:val="clear" w:pos="1247"/>
          <w:tab w:val="clear" w:pos="1814"/>
          <w:tab w:val="clear" w:pos="2381"/>
          <w:tab w:val="left" w:pos="2268"/>
        </w:tabs>
        <w:spacing w:after="120"/>
        <w:ind w:left="1134" w:firstLine="567"/>
      </w:pPr>
      <w:r>
        <w:t>(b)</w:t>
      </w:r>
      <w:r>
        <w:tab/>
        <w:t>Local citizens groups, including local environmental groups, for local issues;</w:t>
      </w:r>
    </w:p>
    <w:p w:rsidR="00890CDD" w:rsidRDefault="00890CDD" w:rsidP="007F39BD">
      <w:pPr>
        <w:tabs>
          <w:tab w:val="clear" w:pos="1247"/>
          <w:tab w:val="clear" w:pos="1814"/>
          <w:tab w:val="clear" w:pos="2381"/>
          <w:tab w:val="left" w:pos="2268"/>
        </w:tabs>
        <w:spacing w:after="120"/>
        <w:ind w:left="1134" w:firstLine="567"/>
      </w:pPr>
      <w:r>
        <w:t>(c)</w:t>
      </w:r>
      <w:r>
        <w:tab/>
        <w:t>Groups of highly vulnerable people, such as women, children and the least educated;</w:t>
      </w:r>
    </w:p>
    <w:p w:rsidR="00890CDD" w:rsidRDefault="00890CDD" w:rsidP="007F39BD">
      <w:pPr>
        <w:tabs>
          <w:tab w:val="clear" w:pos="1247"/>
          <w:tab w:val="clear" w:pos="1814"/>
          <w:tab w:val="clear" w:pos="2381"/>
          <w:tab w:val="left" w:pos="2268"/>
        </w:tabs>
        <w:spacing w:after="120"/>
        <w:ind w:left="1134" w:firstLine="567"/>
      </w:pPr>
      <w:r>
        <w:t>(d)</w:t>
      </w:r>
      <w:r>
        <w:tab/>
        <w:t>Regionally, nationally or globally organized environmental groups;</w:t>
      </w:r>
    </w:p>
    <w:p w:rsidR="00890CDD" w:rsidRDefault="00890CDD" w:rsidP="007F39BD">
      <w:pPr>
        <w:tabs>
          <w:tab w:val="clear" w:pos="1247"/>
          <w:tab w:val="clear" w:pos="1814"/>
          <w:tab w:val="clear" w:pos="2381"/>
          <w:tab w:val="left" w:pos="2268"/>
        </w:tabs>
        <w:spacing w:after="120"/>
        <w:ind w:left="1134" w:firstLine="567"/>
      </w:pPr>
      <w:r>
        <w:t>(e)</w:t>
      </w:r>
      <w:r>
        <w:tab/>
        <w:t>Individual industries and businesses with a stake in the process;</w:t>
      </w:r>
    </w:p>
    <w:p w:rsidR="00890CDD" w:rsidRDefault="00890CDD" w:rsidP="007F39BD">
      <w:pPr>
        <w:tabs>
          <w:tab w:val="clear" w:pos="1247"/>
          <w:tab w:val="clear" w:pos="1814"/>
          <w:tab w:val="clear" w:pos="2381"/>
          <w:tab w:val="left" w:pos="2268"/>
        </w:tabs>
        <w:spacing w:after="120"/>
        <w:ind w:left="1134" w:firstLine="567"/>
      </w:pPr>
      <w:r>
        <w:t>(f)</w:t>
      </w:r>
      <w:r>
        <w:tab/>
        <w:t>Business associations;</w:t>
      </w:r>
    </w:p>
    <w:p w:rsidR="00890CDD" w:rsidRDefault="00890CDD" w:rsidP="007F39BD">
      <w:pPr>
        <w:tabs>
          <w:tab w:val="clear" w:pos="1247"/>
          <w:tab w:val="clear" w:pos="1814"/>
          <w:tab w:val="clear" w:pos="2381"/>
          <w:tab w:val="left" w:pos="2268"/>
        </w:tabs>
        <w:spacing w:after="120"/>
        <w:ind w:left="1134" w:firstLine="567"/>
      </w:pPr>
      <w:r>
        <w:t>(g)</w:t>
      </w:r>
      <w:r>
        <w:tab/>
        <w:t>Trade unions and associations;</w:t>
      </w:r>
    </w:p>
    <w:p w:rsidR="00890CDD" w:rsidRDefault="00890CDD" w:rsidP="007F39BD">
      <w:pPr>
        <w:tabs>
          <w:tab w:val="clear" w:pos="1247"/>
          <w:tab w:val="clear" w:pos="1814"/>
          <w:tab w:val="clear" w:pos="2381"/>
          <w:tab w:val="left" w:pos="2268"/>
        </w:tabs>
        <w:spacing w:after="120"/>
        <w:ind w:left="1134" w:firstLine="567"/>
      </w:pPr>
      <w:r>
        <w:t>(h)</w:t>
      </w:r>
      <w:r>
        <w:tab/>
        <w:t xml:space="preserve">Professional associations; </w:t>
      </w:r>
    </w:p>
    <w:p w:rsidR="00890CDD" w:rsidRDefault="00890CDD" w:rsidP="007F39BD">
      <w:pPr>
        <w:tabs>
          <w:tab w:val="clear" w:pos="1247"/>
          <w:tab w:val="clear" w:pos="1814"/>
          <w:tab w:val="clear" w:pos="2381"/>
          <w:tab w:val="left" w:pos="2268"/>
        </w:tabs>
        <w:spacing w:after="120"/>
        <w:ind w:left="1134" w:firstLine="567"/>
      </w:pPr>
      <w:r>
        <w:t>(</w:t>
      </w:r>
      <w:proofErr w:type="spellStart"/>
      <w:r>
        <w:t>i</w:t>
      </w:r>
      <w:proofErr w:type="spellEnd"/>
      <w:r>
        <w:t>)</w:t>
      </w:r>
      <w:r>
        <w:tab/>
        <w:t>Other levels of government.</w:t>
      </w:r>
    </w:p>
    <w:p w:rsidR="00890CDD" w:rsidRDefault="00890CDD" w:rsidP="00EF105B">
      <w:pPr>
        <w:pStyle w:val="Paralevel1"/>
        <w:tabs>
          <w:tab w:val="clear" w:pos="1843"/>
          <w:tab w:val="left" w:pos="1701"/>
        </w:tabs>
        <w:ind w:left="1134" w:firstLine="0"/>
      </w:pPr>
      <w:r>
        <w:t xml:space="preserve">A public participation process may have several phases. Groups may be consulted before any changes or </w:t>
      </w:r>
      <w:proofErr w:type="spellStart"/>
      <w:r>
        <w:t>programmes</w:t>
      </w:r>
      <w:proofErr w:type="spellEnd"/>
      <w:r>
        <w:t xml:space="preserve"> are considered, during the policy development process and after each draft policy document is prepared. Comments may be invited in person, in writing or through an </w:t>
      </w:r>
      <w:r w:rsidR="005401D2">
        <w:t>I</w:t>
      </w:r>
      <w:r>
        <w:t>nternet website.</w:t>
      </w:r>
    </w:p>
    <w:p w:rsidR="00890CDD" w:rsidRDefault="00890CDD" w:rsidP="00EF105B">
      <w:pPr>
        <w:pStyle w:val="Paralevel1"/>
        <w:tabs>
          <w:tab w:val="clear" w:pos="1843"/>
          <w:tab w:val="left" w:pos="1701"/>
        </w:tabs>
        <w:ind w:left="1134" w:firstLine="0"/>
      </w:pPr>
      <w:r>
        <w:t xml:space="preserve">An example of public consultation regarding the development of POPs management plans can be found in the Australia Department of the Environment and Heritage document </w:t>
      </w:r>
      <w:r w:rsidR="001B61E7">
        <w:t xml:space="preserve">titled </w:t>
      </w:r>
      <w:r>
        <w:t>“A case study of problem solving through effective community consultation</w:t>
      </w:r>
      <w:r w:rsidR="001B61E7">
        <w:t>.</w:t>
      </w:r>
      <w:r>
        <w:t>”</w:t>
      </w:r>
      <w:r w:rsidR="004E1383">
        <w:rPr>
          <w:rStyle w:val="FootnoteReference"/>
        </w:rPr>
        <w:footnoteReference w:customMarkFollows="1" w:id="134"/>
        <w:t>134</w:t>
      </w:r>
    </w:p>
    <w:p w:rsidR="00EB0B18" w:rsidRDefault="00890CDD">
      <w:pPr>
        <w:pStyle w:val="Heading1"/>
        <w:spacing w:before="120"/>
        <w:rPr>
          <w:rFonts w:ascii="Times New Roman" w:hAnsi="Times New Roman"/>
          <w:sz w:val="28"/>
          <w:szCs w:val="28"/>
        </w:rPr>
      </w:pPr>
      <w:bookmarkStart w:id="872" w:name="_Toc81707177"/>
      <w:bookmarkStart w:id="873" w:name="_Toc84387278"/>
      <w:bookmarkStart w:id="874" w:name="_Toc147727300"/>
      <w:bookmarkStart w:id="875" w:name="_Toc161804621"/>
      <w:bookmarkStart w:id="876" w:name="_Toc58999219"/>
      <w:bookmarkStart w:id="877" w:name="_Toc58999278"/>
      <w:bookmarkStart w:id="878" w:name="_Toc59943374"/>
      <w:bookmarkStart w:id="879" w:name="_Toc59943538"/>
      <w:bookmarkStart w:id="880" w:name="_Toc59943596"/>
      <w:bookmarkStart w:id="881" w:name="_Toc59943689"/>
      <w:bookmarkStart w:id="882" w:name="_Toc61328064"/>
      <w:bookmarkStart w:id="883" w:name="_Toc61681714"/>
      <w:bookmarkStart w:id="884" w:name="_Toc61681783"/>
      <w:bookmarkStart w:id="885" w:name="_Toc62220571"/>
      <w:r>
        <w:br w:type="page"/>
      </w:r>
      <w:bookmarkStart w:id="886" w:name="_Toc416938664"/>
      <w:bookmarkStart w:id="887" w:name="_Toc426462770"/>
      <w:bookmarkStart w:id="888" w:name="_Toc437340593"/>
      <w:bookmarkStart w:id="889" w:name="_Toc405983896"/>
      <w:bookmarkStart w:id="890" w:name="_Toc405988700"/>
      <w:r w:rsidRPr="00195178">
        <w:rPr>
          <w:rFonts w:ascii="Times New Roman" w:hAnsi="Times New Roman"/>
          <w:sz w:val="28"/>
          <w:szCs w:val="28"/>
        </w:rPr>
        <w:t>Annex I</w:t>
      </w:r>
      <w:bookmarkEnd w:id="872"/>
      <w:bookmarkEnd w:id="873"/>
      <w:bookmarkEnd w:id="874"/>
      <w:bookmarkEnd w:id="875"/>
      <w:bookmarkEnd w:id="886"/>
      <w:bookmarkEnd w:id="887"/>
      <w:bookmarkEnd w:id="888"/>
      <w:r>
        <w:rPr>
          <w:rFonts w:ascii="Times New Roman" w:hAnsi="Times New Roman"/>
          <w:sz w:val="28"/>
          <w:szCs w:val="28"/>
        </w:rPr>
        <w:t xml:space="preserve"> </w:t>
      </w:r>
      <w:bookmarkEnd w:id="889"/>
      <w:bookmarkEnd w:id="890"/>
      <w:r w:rsidR="000302A4">
        <w:rPr>
          <w:rFonts w:ascii="Times New Roman" w:hAnsi="Times New Roman"/>
          <w:sz w:val="28"/>
          <w:szCs w:val="28"/>
        </w:rPr>
        <w:t>to the technical guidelines</w:t>
      </w:r>
    </w:p>
    <w:p w:rsidR="00E8028C" w:rsidRDefault="00FA42EF">
      <w:pPr>
        <w:pStyle w:val="Heading1"/>
        <w:spacing w:before="240"/>
        <w:ind w:firstLine="527"/>
        <w:rPr>
          <w:szCs w:val="28"/>
        </w:rPr>
      </w:pPr>
      <w:bookmarkStart w:id="891" w:name="_Toc161804622"/>
      <w:bookmarkStart w:id="892" w:name="_Toc405988701"/>
      <w:bookmarkStart w:id="893" w:name="_Toc437340594"/>
      <w:r w:rsidRPr="00FA42EF">
        <w:rPr>
          <w:rFonts w:ascii="Times New Roman" w:hAnsi="Times New Roman"/>
          <w:sz w:val="28"/>
          <w:szCs w:val="28"/>
        </w:rPr>
        <w:t>International instruments</w:t>
      </w:r>
      <w:bookmarkEnd w:id="891"/>
      <w:bookmarkEnd w:id="892"/>
      <w:bookmarkEnd w:id="893"/>
    </w:p>
    <w:p w:rsidR="00890CDD" w:rsidRDefault="00890CDD">
      <w:pPr>
        <w:tabs>
          <w:tab w:val="clear" w:pos="1247"/>
          <w:tab w:val="clear" w:pos="1814"/>
          <w:tab w:val="clear" w:pos="2381"/>
          <w:tab w:val="clear" w:pos="2948"/>
          <w:tab w:val="clear" w:pos="3515"/>
        </w:tabs>
        <w:spacing w:after="120"/>
        <w:ind w:left="1247" w:firstLine="624"/>
      </w:pPr>
      <w:r>
        <w:t xml:space="preserve">In addition to the Stockholm and Basel conventions, there are other international instruments </w:t>
      </w:r>
      <w:r w:rsidR="00735484">
        <w:t>or</w:t>
      </w:r>
      <w:r w:rsidR="00D02C66">
        <w:t xml:space="preserve"> systems </w:t>
      </w:r>
      <w:r>
        <w:t xml:space="preserve">that contain provisions pertaining to </w:t>
      </w:r>
      <w:r w:rsidR="004E0661">
        <w:t xml:space="preserve">POPs or </w:t>
      </w:r>
      <w:r>
        <w:t>POP wastes, including:</w:t>
      </w:r>
    </w:p>
    <w:p w:rsidR="00890CDD" w:rsidRPr="00113A47" w:rsidRDefault="00890CDD" w:rsidP="0088229A">
      <w:pPr>
        <w:tabs>
          <w:tab w:val="clear" w:pos="1247"/>
          <w:tab w:val="clear" w:pos="1814"/>
          <w:tab w:val="clear" w:pos="2381"/>
          <w:tab w:val="clear" w:pos="2948"/>
          <w:tab w:val="clear" w:pos="3515"/>
          <w:tab w:val="left" w:pos="2410"/>
        </w:tabs>
        <w:spacing w:after="120"/>
        <w:ind w:left="1247" w:firstLine="624"/>
        <w:rPr>
          <w:color w:val="000000"/>
        </w:rPr>
      </w:pPr>
      <w:r>
        <w:t>(a)</w:t>
      </w:r>
      <w:r>
        <w:tab/>
      </w:r>
      <w:hyperlink r:id="rId31" w:history="1">
        <w:r w:rsidR="00093BCE" w:rsidRPr="00093BCE">
          <w:rPr>
            <w:rStyle w:val="Hyperlink"/>
            <w:color w:val="000000"/>
            <w:u w:val="none"/>
          </w:rPr>
          <w:t xml:space="preserve">1998 Protocol on Persistent Organic Pollutants to the UNECE 1979 Convention on Long-range </w:t>
        </w:r>
        <w:proofErr w:type="spellStart"/>
        <w:r w:rsidR="00093BCE" w:rsidRPr="00093BCE">
          <w:rPr>
            <w:rStyle w:val="Hyperlink"/>
            <w:color w:val="000000"/>
            <w:u w:val="none"/>
          </w:rPr>
          <w:t>Transboundary</w:t>
        </w:r>
        <w:proofErr w:type="spellEnd"/>
        <w:r w:rsidR="00093BCE" w:rsidRPr="00093BCE">
          <w:rPr>
            <w:rStyle w:val="Hyperlink"/>
            <w:color w:val="000000"/>
            <w:u w:val="none"/>
          </w:rPr>
          <w:t xml:space="preserve"> Air Pollution</w:t>
        </w:r>
      </w:hyperlink>
      <w:r w:rsidR="00093BCE" w:rsidRPr="00093BCE">
        <w:rPr>
          <w:color w:val="000000"/>
        </w:rPr>
        <w:t>;</w:t>
      </w:r>
    </w:p>
    <w:p w:rsidR="00890CDD" w:rsidRPr="00113A47" w:rsidRDefault="00093BCE" w:rsidP="0088229A">
      <w:pPr>
        <w:tabs>
          <w:tab w:val="clear" w:pos="1247"/>
          <w:tab w:val="clear" w:pos="1814"/>
          <w:tab w:val="clear" w:pos="2381"/>
          <w:tab w:val="clear" w:pos="2948"/>
          <w:tab w:val="clear" w:pos="3515"/>
          <w:tab w:val="left" w:pos="2410"/>
        </w:tabs>
        <w:spacing w:after="120"/>
        <w:ind w:left="1247" w:firstLine="624"/>
        <w:rPr>
          <w:color w:val="000000"/>
        </w:rPr>
      </w:pPr>
      <w:r w:rsidRPr="00093BCE">
        <w:rPr>
          <w:color w:val="000000"/>
        </w:rPr>
        <w:t>(b)</w:t>
      </w:r>
      <w:r w:rsidRPr="00093BCE">
        <w:rPr>
          <w:color w:val="000000"/>
        </w:rPr>
        <w:tab/>
      </w:r>
      <w:hyperlink r:id="rId32" w:history="1">
        <w:r w:rsidRPr="00093BCE">
          <w:rPr>
            <w:rStyle w:val="Hyperlink"/>
            <w:color w:val="000000"/>
            <w:u w:val="none"/>
          </w:rPr>
          <w:t>2003 Protocol on Pollutant Release and Transfer Registers to the UNECE 1998 Convention on Access to Information, Public Participation in Decision-making and Access to Justice in Environmental Matters</w:t>
        </w:r>
      </w:hyperlink>
      <w:r w:rsidRPr="00093BCE">
        <w:rPr>
          <w:rStyle w:val="Hyperlink"/>
          <w:color w:val="000000"/>
          <w:u w:val="none"/>
        </w:rPr>
        <w:t xml:space="preserve"> (Aarhus Convention)</w:t>
      </w:r>
      <w:r w:rsidRPr="00093BCE">
        <w:rPr>
          <w:color w:val="000000"/>
        </w:rPr>
        <w:t>;</w:t>
      </w:r>
    </w:p>
    <w:p w:rsidR="00890CDD" w:rsidRPr="00113A47" w:rsidRDefault="00093BCE" w:rsidP="0088229A">
      <w:pPr>
        <w:tabs>
          <w:tab w:val="clear" w:pos="1247"/>
          <w:tab w:val="clear" w:pos="1814"/>
          <w:tab w:val="clear" w:pos="2381"/>
          <w:tab w:val="clear" w:pos="2948"/>
          <w:tab w:val="clear" w:pos="3515"/>
          <w:tab w:val="left" w:pos="2410"/>
        </w:tabs>
        <w:spacing w:after="120"/>
        <w:ind w:left="1247" w:firstLine="624"/>
        <w:rPr>
          <w:color w:val="000000"/>
        </w:rPr>
      </w:pPr>
      <w:r w:rsidRPr="00093BCE">
        <w:rPr>
          <w:color w:val="000000"/>
        </w:rPr>
        <w:t>(c)</w:t>
      </w:r>
      <w:r w:rsidRPr="00093BCE">
        <w:rPr>
          <w:color w:val="000000"/>
        </w:rPr>
        <w:tab/>
      </w:r>
      <w:hyperlink r:id="rId33" w:history="1">
        <w:r w:rsidRPr="00093BCE">
          <w:rPr>
            <w:rStyle w:val="Hyperlink"/>
            <w:color w:val="000000"/>
            <w:u w:val="none"/>
          </w:rPr>
          <w:t xml:space="preserve">1991 Bamako Convention on the Ban of the Import into Africa and the Control of </w:t>
        </w:r>
        <w:proofErr w:type="spellStart"/>
        <w:r w:rsidRPr="00093BCE">
          <w:rPr>
            <w:rStyle w:val="Hyperlink"/>
            <w:color w:val="000000"/>
            <w:u w:val="none"/>
          </w:rPr>
          <w:t>Transboundary</w:t>
        </w:r>
        <w:proofErr w:type="spellEnd"/>
        <w:r w:rsidRPr="00093BCE">
          <w:rPr>
            <w:rStyle w:val="Hyperlink"/>
            <w:color w:val="000000"/>
            <w:u w:val="none"/>
          </w:rPr>
          <w:t xml:space="preserve"> Movement and Management of Hazardous Wastes within Africa</w:t>
        </w:r>
      </w:hyperlink>
      <w:r w:rsidRPr="00093BCE">
        <w:rPr>
          <w:color w:val="000000"/>
        </w:rPr>
        <w:t>;</w:t>
      </w:r>
    </w:p>
    <w:p w:rsidR="00890CDD" w:rsidRPr="00113A47" w:rsidRDefault="00093BCE" w:rsidP="0088229A">
      <w:pPr>
        <w:tabs>
          <w:tab w:val="clear" w:pos="1247"/>
          <w:tab w:val="clear" w:pos="1814"/>
          <w:tab w:val="clear" w:pos="2381"/>
          <w:tab w:val="clear" w:pos="2948"/>
          <w:tab w:val="clear" w:pos="3515"/>
          <w:tab w:val="left" w:pos="2410"/>
        </w:tabs>
        <w:spacing w:after="120"/>
        <w:ind w:left="1247" w:firstLine="624"/>
        <w:rPr>
          <w:color w:val="000000"/>
        </w:rPr>
      </w:pPr>
      <w:r w:rsidRPr="00093BCE">
        <w:rPr>
          <w:color w:val="000000"/>
        </w:rPr>
        <w:t>(d)</w:t>
      </w:r>
      <w:r w:rsidRPr="00093BCE">
        <w:rPr>
          <w:color w:val="000000"/>
        </w:rPr>
        <w:tab/>
      </w:r>
      <w:hyperlink r:id="rId34" w:history="1">
        <w:r w:rsidRPr="00093BCE">
          <w:rPr>
            <w:rStyle w:val="Hyperlink"/>
            <w:color w:val="000000"/>
            <w:u w:val="none"/>
          </w:rPr>
          <w:t xml:space="preserve">1995 Convention to Ban the Importation into Forum Island Countries of Hazardous and Radioactive Wastes and to Control the </w:t>
        </w:r>
        <w:proofErr w:type="spellStart"/>
        <w:r w:rsidRPr="00093BCE">
          <w:rPr>
            <w:rStyle w:val="Hyperlink"/>
            <w:color w:val="000000"/>
            <w:u w:val="none"/>
          </w:rPr>
          <w:t>Transboundary</w:t>
        </w:r>
        <w:proofErr w:type="spellEnd"/>
        <w:r w:rsidRPr="00093BCE">
          <w:rPr>
            <w:rStyle w:val="Hyperlink"/>
            <w:color w:val="000000"/>
            <w:u w:val="none"/>
          </w:rPr>
          <w:t xml:space="preserve"> Movement and Management of Hazardous Wastes within the South Pacific Region</w:t>
        </w:r>
      </w:hyperlink>
      <w:r w:rsidRPr="00093BCE">
        <w:rPr>
          <w:rStyle w:val="Hyperlink"/>
          <w:color w:val="000000"/>
          <w:u w:val="none"/>
        </w:rPr>
        <w:t xml:space="preserve"> (</w:t>
      </w:r>
      <w:proofErr w:type="spellStart"/>
      <w:r w:rsidRPr="00093BCE">
        <w:rPr>
          <w:rStyle w:val="Hyperlink"/>
          <w:color w:val="000000"/>
          <w:u w:val="none"/>
        </w:rPr>
        <w:t>Waigani</w:t>
      </w:r>
      <w:proofErr w:type="spellEnd"/>
      <w:r w:rsidRPr="00093BCE">
        <w:rPr>
          <w:rStyle w:val="Hyperlink"/>
          <w:color w:val="000000"/>
          <w:u w:val="none"/>
        </w:rPr>
        <w:t xml:space="preserve"> Convention)</w:t>
      </w:r>
      <w:r w:rsidRPr="00093BCE">
        <w:rPr>
          <w:color w:val="000000"/>
        </w:rPr>
        <w:t xml:space="preserve">; </w:t>
      </w:r>
    </w:p>
    <w:p w:rsidR="00890CDD" w:rsidRPr="00113A47" w:rsidRDefault="00093BCE" w:rsidP="0088229A">
      <w:pPr>
        <w:tabs>
          <w:tab w:val="clear" w:pos="1247"/>
          <w:tab w:val="clear" w:pos="1814"/>
          <w:tab w:val="clear" w:pos="2381"/>
          <w:tab w:val="clear" w:pos="2948"/>
          <w:tab w:val="clear" w:pos="3515"/>
          <w:tab w:val="left" w:pos="2410"/>
        </w:tabs>
        <w:spacing w:after="120"/>
        <w:ind w:left="1247" w:firstLine="624"/>
        <w:rPr>
          <w:color w:val="000000"/>
        </w:rPr>
      </w:pPr>
      <w:r w:rsidRPr="00093BCE">
        <w:rPr>
          <w:color w:val="000000"/>
        </w:rPr>
        <w:t>(e)</w:t>
      </w:r>
      <w:r w:rsidRPr="00093BCE">
        <w:rPr>
          <w:color w:val="000000"/>
        </w:rPr>
        <w:tab/>
      </w:r>
      <w:hyperlink r:id="rId35" w:history="1">
        <w:r w:rsidRPr="00093BCE">
          <w:rPr>
            <w:rStyle w:val="Hyperlink"/>
            <w:color w:val="000000"/>
            <w:u w:val="none"/>
          </w:rPr>
          <w:t xml:space="preserve">OECD Council Decision C (2001) 107/FINAL Concerning the Control of </w:t>
        </w:r>
        <w:proofErr w:type="spellStart"/>
        <w:r w:rsidRPr="00093BCE">
          <w:rPr>
            <w:rStyle w:val="Hyperlink"/>
            <w:color w:val="000000"/>
            <w:u w:val="none"/>
          </w:rPr>
          <w:t>Transboundary</w:t>
        </w:r>
        <w:proofErr w:type="spellEnd"/>
        <w:r w:rsidRPr="00093BCE">
          <w:rPr>
            <w:rStyle w:val="Hyperlink"/>
            <w:color w:val="000000"/>
            <w:u w:val="none"/>
          </w:rPr>
          <w:t xml:space="preserve"> Movements of Wastes Destined for Recovery Operations</w:t>
        </w:r>
      </w:hyperlink>
      <w:r w:rsidRPr="00093BCE">
        <w:rPr>
          <w:color w:val="000000"/>
        </w:rPr>
        <w:t>;</w:t>
      </w:r>
    </w:p>
    <w:p w:rsidR="005D4B7E" w:rsidRPr="00113A47" w:rsidRDefault="00093BCE" w:rsidP="0088229A">
      <w:pPr>
        <w:tabs>
          <w:tab w:val="clear" w:pos="1247"/>
          <w:tab w:val="clear" w:pos="1814"/>
          <w:tab w:val="clear" w:pos="2381"/>
          <w:tab w:val="clear" w:pos="2948"/>
          <w:tab w:val="clear" w:pos="3515"/>
          <w:tab w:val="left" w:pos="2410"/>
        </w:tabs>
        <w:spacing w:after="120"/>
        <w:ind w:left="1247" w:firstLine="624"/>
        <w:rPr>
          <w:rStyle w:val="Hyperlink"/>
          <w:color w:val="000000"/>
          <w:u w:val="none"/>
          <w:lang w:val="en-US"/>
        </w:rPr>
      </w:pPr>
      <w:r w:rsidRPr="00093BCE">
        <w:rPr>
          <w:color w:val="000000"/>
          <w:lang w:val="en-US"/>
        </w:rPr>
        <w:t>(f)</w:t>
      </w:r>
      <w:r w:rsidRPr="00093BCE">
        <w:rPr>
          <w:color w:val="000000"/>
          <w:lang w:val="en-US"/>
        </w:rPr>
        <w:tab/>
      </w:r>
      <w:hyperlink r:id="rId36" w:history="1">
        <w:r w:rsidRPr="00093BCE">
          <w:rPr>
            <w:rStyle w:val="Hyperlink"/>
            <w:color w:val="000000"/>
            <w:u w:val="none"/>
          </w:rPr>
          <w:t>Rotterdam</w:t>
        </w:r>
        <w:r w:rsidRPr="00093BCE">
          <w:rPr>
            <w:rStyle w:val="Hyperlink"/>
            <w:color w:val="000000"/>
            <w:u w:val="none"/>
            <w:lang w:val="en-US"/>
          </w:rPr>
          <w:t xml:space="preserve"> Convention on Prior Informed Consent Procedure for Certain Hazardous Chemicals and Pesticides in International Trade (1998); and </w:t>
        </w:r>
      </w:hyperlink>
    </w:p>
    <w:p w:rsidR="00D6692E" w:rsidRDefault="00D02C66" w:rsidP="00EF105B">
      <w:pPr>
        <w:tabs>
          <w:tab w:val="clear" w:pos="1247"/>
          <w:tab w:val="clear" w:pos="1814"/>
          <w:tab w:val="clear" w:pos="2381"/>
          <w:tab w:val="clear" w:pos="2948"/>
          <w:tab w:val="clear" w:pos="3515"/>
          <w:tab w:val="left" w:pos="2410"/>
        </w:tabs>
        <w:spacing w:after="120"/>
        <w:ind w:left="1247" w:firstLine="624"/>
        <w:rPr>
          <w:lang w:eastAsia="en-CA"/>
        </w:rPr>
      </w:pPr>
      <w:r>
        <w:t xml:space="preserve">(g) </w:t>
      </w:r>
      <w:r w:rsidR="00EF105B">
        <w:tab/>
      </w:r>
      <w:r w:rsidR="005D4B7E" w:rsidRPr="005D4B7E">
        <w:t>Globally Harmonized System of Classification and Labelling of Chemicals</w:t>
      </w:r>
      <w:r w:rsidR="005D4B7E" w:rsidDel="005D4B7E">
        <w:t xml:space="preserve"> </w:t>
      </w:r>
      <w:r w:rsidR="004E0661">
        <w:t>(</w:t>
      </w:r>
      <w:r w:rsidR="00D6692E">
        <w:t>GHS</w:t>
      </w:r>
      <w:r w:rsidR="004E0661">
        <w:t>).</w:t>
      </w:r>
    </w:p>
    <w:p w:rsidR="00890CDD" w:rsidRDefault="00890CDD" w:rsidP="0088229A">
      <w:pPr>
        <w:ind w:left="2495"/>
        <w:rPr>
          <w:lang w:eastAsia="en-CA"/>
        </w:rPr>
      </w:pPr>
    </w:p>
    <w:p w:rsidR="00093BCE" w:rsidRDefault="00890CDD" w:rsidP="00093BCE">
      <w:pPr>
        <w:pStyle w:val="Heading1"/>
        <w:spacing w:before="120"/>
      </w:pPr>
      <w:bookmarkStart w:id="894" w:name="_Toc81707179"/>
      <w:bookmarkStart w:id="895" w:name="_Toc84387280"/>
      <w:bookmarkStart w:id="896" w:name="_Toc161804623"/>
      <w:r>
        <w:br w:type="page"/>
      </w:r>
      <w:bookmarkStart w:id="897" w:name="_Toc405983898"/>
      <w:bookmarkStart w:id="898" w:name="_Toc405988702"/>
      <w:bookmarkStart w:id="899" w:name="_Toc416938666"/>
      <w:bookmarkStart w:id="900" w:name="_Toc426462772"/>
      <w:bookmarkStart w:id="901" w:name="_Toc437340595"/>
      <w:r w:rsidRPr="00195178">
        <w:rPr>
          <w:rFonts w:ascii="Times New Roman" w:hAnsi="Times New Roman"/>
          <w:sz w:val="28"/>
          <w:szCs w:val="28"/>
        </w:rPr>
        <w:t>Annex II</w:t>
      </w:r>
      <w:bookmarkEnd w:id="894"/>
      <w:bookmarkEnd w:id="895"/>
      <w:bookmarkEnd w:id="896"/>
      <w:bookmarkEnd w:id="897"/>
      <w:bookmarkEnd w:id="898"/>
      <w:bookmarkEnd w:id="899"/>
      <w:bookmarkEnd w:id="900"/>
      <w:bookmarkEnd w:id="901"/>
      <w:r w:rsidR="000302A4">
        <w:rPr>
          <w:rFonts w:ascii="Times New Roman" w:hAnsi="Times New Roman"/>
          <w:sz w:val="28"/>
          <w:szCs w:val="28"/>
        </w:rPr>
        <w:t xml:space="preserve"> to the technical guidelines</w:t>
      </w:r>
    </w:p>
    <w:p w:rsidR="00E8028C" w:rsidRDefault="00FA42EF">
      <w:pPr>
        <w:pStyle w:val="Heading1"/>
        <w:spacing w:before="240"/>
        <w:ind w:firstLine="527"/>
        <w:rPr>
          <w:sz w:val="28"/>
          <w:szCs w:val="28"/>
        </w:rPr>
      </w:pPr>
      <w:bookmarkStart w:id="902" w:name="_Toc161804624"/>
      <w:bookmarkStart w:id="903" w:name="_Toc405988703"/>
      <w:bookmarkStart w:id="904" w:name="_Toc437340596"/>
      <w:r w:rsidRPr="00FA42EF">
        <w:rPr>
          <w:rFonts w:ascii="Times New Roman" w:hAnsi="Times New Roman"/>
          <w:sz w:val="28"/>
          <w:szCs w:val="28"/>
        </w:rPr>
        <w:t>Examples of pertinent national legislation</w:t>
      </w:r>
      <w:bookmarkEnd w:id="703"/>
      <w:bookmarkEnd w:id="704"/>
      <w:bookmarkEnd w:id="705"/>
      <w:bookmarkEnd w:id="837"/>
      <w:bookmarkEnd w:id="838"/>
      <w:bookmarkEnd w:id="839"/>
      <w:bookmarkEnd w:id="840"/>
      <w:bookmarkEnd w:id="841"/>
      <w:bookmarkEnd w:id="876"/>
      <w:bookmarkEnd w:id="877"/>
      <w:bookmarkEnd w:id="878"/>
      <w:bookmarkEnd w:id="879"/>
      <w:bookmarkEnd w:id="880"/>
      <w:bookmarkEnd w:id="881"/>
      <w:bookmarkEnd w:id="882"/>
      <w:bookmarkEnd w:id="883"/>
      <w:bookmarkEnd w:id="884"/>
      <w:bookmarkEnd w:id="885"/>
      <w:bookmarkEnd w:id="902"/>
      <w:bookmarkEnd w:id="903"/>
      <w:bookmarkEnd w:id="904"/>
    </w:p>
    <w:p w:rsidR="00155F8B" w:rsidRDefault="00890CDD" w:rsidP="00CF284D">
      <w:pPr>
        <w:spacing w:after="240"/>
      </w:pPr>
      <w:r>
        <w:t xml:space="preserve">Examples of national legislation containing provisions related to the management of POP wastes </w:t>
      </w:r>
      <w:r w:rsidR="001926D4">
        <w:t>are</w:t>
      </w:r>
      <w:r>
        <w:t xml:space="preserve"> outlined below.</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9"/>
        <w:gridCol w:w="3939"/>
        <w:gridCol w:w="4308"/>
      </w:tblGrid>
      <w:tr w:rsidR="00890CDD" w:rsidRPr="001D090E" w:rsidTr="00155F8B">
        <w:trPr>
          <w:trHeight w:val="417"/>
          <w:tblHeader/>
        </w:trPr>
        <w:tc>
          <w:tcPr>
            <w:tcW w:w="1329" w:type="dxa"/>
            <w:tcBorders>
              <w:bottom w:val="single" w:sz="4" w:space="0" w:color="auto"/>
            </w:tcBorders>
          </w:tcPr>
          <w:p w:rsidR="00890CDD" w:rsidRPr="001D090E" w:rsidRDefault="00890CDD">
            <w:pPr>
              <w:rPr>
                <w:b/>
                <w:sz w:val="18"/>
                <w:szCs w:val="18"/>
              </w:rPr>
            </w:pPr>
            <w:bookmarkStart w:id="905" w:name="_Toc61334230"/>
            <w:r w:rsidRPr="001D090E">
              <w:rPr>
                <w:b/>
                <w:sz w:val="18"/>
                <w:szCs w:val="18"/>
              </w:rPr>
              <w:t>Country</w:t>
            </w:r>
          </w:p>
        </w:tc>
        <w:tc>
          <w:tcPr>
            <w:tcW w:w="3939" w:type="dxa"/>
            <w:tcBorders>
              <w:bottom w:val="single" w:sz="4" w:space="0" w:color="auto"/>
            </w:tcBorders>
          </w:tcPr>
          <w:p w:rsidR="00890CDD" w:rsidRPr="001D090E" w:rsidRDefault="00890CDD">
            <w:pPr>
              <w:rPr>
                <w:b/>
                <w:sz w:val="18"/>
                <w:szCs w:val="18"/>
              </w:rPr>
            </w:pPr>
            <w:r w:rsidRPr="001D090E">
              <w:rPr>
                <w:b/>
                <w:sz w:val="18"/>
                <w:szCs w:val="18"/>
              </w:rPr>
              <w:t>Legislation</w:t>
            </w:r>
          </w:p>
        </w:tc>
        <w:tc>
          <w:tcPr>
            <w:tcW w:w="4308" w:type="dxa"/>
            <w:tcBorders>
              <w:bottom w:val="single" w:sz="4" w:space="0" w:color="auto"/>
            </w:tcBorders>
          </w:tcPr>
          <w:p w:rsidR="00890CDD" w:rsidRPr="001D090E" w:rsidRDefault="00890CDD">
            <w:pPr>
              <w:rPr>
                <w:b/>
                <w:sz w:val="18"/>
                <w:szCs w:val="18"/>
              </w:rPr>
            </w:pPr>
            <w:r w:rsidRPr="001D090E">
              <w:rPr>
                <w:b/>
                <w:sz w:val="18"/>
                <w:szCs w:val="18"/>
              </w:rPr>
              <w:t>Brief description</w:t>
            </w:r>
          </w:p>
        </w:tc>
      </w:tr>
      <w:tr w:rsidR="00155F8B" w:rsidRPr="00155F8B" w:rsidTr="005333B4">
        <w:tc>
          <w:tcPr>
            <w:tcW w:w="1329" w:type="dxa"/>
          </w:tcPr>
          <w:p w:rsidR="00155F8B" w:rsidRPr="003E5CFC" w:rsidRDefault="00405DFE" w:rsidP="005333B4">
            <w:pPr>
              <w:rPr>
                <w:sz w:val="18"/>
                <w:szCs w:val="18"/>
              </w:rPr>
            </w:pPr>
            <w:r w:rsidRPr="00405DFE">
              <w:rPr>
                <w:sz w:val="18"/>
                <w:szCs w:val="18"/>
              </w:rPr>
              <w:t>Argentina</w:t>
            </w:r>
          </w:p>
        </w:tc>
        <w:tc>
          <w:tcPr>
            <w:tcW w:w="3939" w:type="dxa"/>
          </w:tcPr>
          <w:p w:rsidR="00155F8B" w:rsidRPr="003E5CFC" w:rsidRDefault="00405DFE" w:rsidP="005333B4">
            <w:pPr>
              <w:rPr>
                <w:sz w:val="18"/>
                <w:szCs w:val="18"/>
              </w:rPr>
            </w:pPr>
            <w:r w:rsidRPr="00405DFE">
              <w:rPr>
                <w:sz w:val="18"/>
                <w:szCs w:val="18"/>
                <w:lang w:val="en-US"/>
              </w:rPr>
              <w:t>Law 25.670/2002 and Decree 853/2007 on PCBs</w:t>
            </w:r>
          </w:p>
        </w:tc>
        <w:tc>
          <w:tcPr>
            <w:tcW w:w="4308" w:type="dxa"/>
          </w:tcPr>
          <w:p w:rsidR="00155F8B" w:rsidRPr="003E5CFC" w:rsidRDefault="00405DFE" w:rsidP="005333B4">
            <w:pPr>
              <w:numPr>
                <w:ilvl w:val="0"/>
                <w:numId w:val="10"/>
              </w:numPr>
              <w:tabs>
                <w:tab w:val="clear" w:pos="360"/>
                <w:tab w:val="clear" w:pos="1247"/>
                <w:tab w:val="clear" w:pos="1814"/>
                <w:tab w:val="clear" w:pos="2381"/>
                <w:tab w:val="clear" w:pos="2948"/>
                <w:tab w:val="clear" w:pos="3515"/>
              </w:tabs>
              <w:spacing w:after="120"/>
              <w:rPr>
                <w:sz w:val="18"/>
                <w:szCs w:val="18"/>
              </w:rPr>
            </w:pPr>
            <w:r w:rsidRPr="00405DFE">
              <w:rPr>
                <w:sz w:val="18"/>
                <w:szCs w:val="18"/>
                <w:lang w:val="en-US"/>
              </w:rPr>
              <w:t>Environmental protection for the management of PCB prohibiting the production, importation and use as well as establishing a procedure to remove functioning equipment containing it due to 2010</w:t>
            </w:r>
          </w:p>
        </w:tc>
      </w:tr>
      <w:tr w:rsidR="00155F8B" w:rsidRPr="00155F8B" w:rsidTr="005333B4">
        <w:tc>
          <w:tcPr>
            <w:tcW w:w="1329" w:type="dxa"/>
          </w:tcPr>
          <w:p w:rsidR="00155F8B" w:rsidRPr="003E5CFC" w:rsidRDefault="00405DFE" w:rsidP="005333B4">
            <w:pPr>
              <w:rPr>
                <w:sz w:val="18"/>
                <w:szCs w:val="18"/>
              </w:rPr>
            </w:pPr>
            <w:r w:rsidRPr="00405DFE">
              <w:rPr>
                <w:sz w:val="18"/>
                <w:szCs w:val="18"/>
              </w:rPr>
              <w:t>Argentina</w:t>
            </w:r>
          </w:p>
        </w:tc>
        <w:tc>
          <w:tcPr>
            <w:tcW w:w="3939" w:type="dxa"/>
          </w:tcPr>
          <w:p w:rsidR="00155F8B" w:rsidRPr="003E5CFC" w:rsidRDefault="00405DFE" w:rsidP="005333B4">
            <w:pPr>
              <w:rPr>
                <w:sz w:val="18"/>
                <w:szCs w:val="18"/>
              </w:rPr>
            </w:pPr>
            <w:r w:rsidRPr="00405DFE">
              <w:rPr>
                <w:sz w:val="18"/>
                <w:szCs w:val="18"/>
                <w:lang w:val="en-US"/>
              </w:rPr>
              <w:t>Law 24.051/1992 and Decree 831/1993 on management of hazardous wastes</w:t>
            </w:r>
          </w:p>
        </w:tc>
        <w:tc>
          <w:tcPr>
            <w:tcW w:w="4308" w:type="dxa"/>
          </w:tcPr>
          <w:p w:rsidR="00155F8B" w:rsidRPr="003E5CFC" w:rsidRDefault="00405DFE" w:rsidP="005333B4">
            <w:pPr>
              <w:numPr>
                <w:ilvl w:val="0"/>
                <w:numId w:val="10"/>
              </w:numPr>
              <w:tabs>
                <w:tab w:val="clear" w:pos="360"/>
                <w:tab w:val="clear" w:pos="1247"/>
                <w:tab w:val="clear" w:pos="1814"/>
                <w:tab w:val="clear" w:pos="2381"/>
                <w:tab w:val="clear" w:pos="2948"/>
                <w:tab w:val="clear" w:pos="3515"/>
              </w:tabs>
              <w:spacing w:after="120"/>
              <w:rPr>
                <w:sz w:val="18"/>
                <w:szCs w:val="18"/>
              </w:rPr>
            </w:pPr>
            <w:r w:rsidRPr="00405DFE">
              <w:rPr>
                <w:sz w:val="18"/>
                <w:szCs w:val="18"/>
                <w:lang w:val="en-US"/>
              </w:rPr>
              <w:t>Reaches all POP wastes that are classified as hazardous waste; includes a destruction efficiency parameter for components in waste incineration</w:t>
            </w:r>
          </w:p>
        </w:tc>
      </w:tr>
      <w:tr w:rsidR="00155F8B" w:rsidRPr="00155F8B" w:rsidTr="005333B4">
        <w:tc>
          <w:tcPr>
            <w:tcW w:w="1329" w:type="dxa"/>
          </w:tcPr>
          <w:p w:rsidR="00155F8B" w:rsidRPr="003E5CFC" w:rsidRDefault="00405DFE" w:rsidP="005333B4">
            <w:pPr>
              <w:rPr>
                <w:sz w:val="18"/>
                <w:szCs w:val="18"/>
              </w:rPr>
            </w:pPr>
            <w:r w:rsidRPr="00405DFE">
              <w:rPr>
                <w:sz w:val="18"/>
                <w:szCs w:val="18"/>
              </w:rPr>
              <w:t>Argentina</w:t>
            </w:r>
          </w:p>
        </w:tc>
        <w:tc>
          <w:tcPr>
            <w:tcW w:w="3939" w:type="dxa"/>
          </w:tcPr>
          <w:p w:rsidR="001A1011" w:rsidRPr="001A1011" w:rsidRDefault="00405DFE" w:rsidP="001A1011">
            <w:pPr>
              <w:rPr>
                <w:sz w:val="18"/>
                <w:szCs w:val="18"/>
                <w:lang w:val="en-US"/>
              </w:rPr>
            </w:pPr>
            <w:r w:rsidRPr="00405DFE">
              <w:rPr>
                <w:sz w:val="18"/>
                <w:szCs w:val="18"/>
                <w:lang w:val="en-US"/>
              </w:rPr>
              <w:t>Resolution 511/2011 from National Health Service and Food Quality (</w:t>
            </w:r>
            <w:proofErr w:type="spellStart"/>
            <w:r w:rsidRPr="00405DFE">
              <w:rPr>
                <w:sz w:val="18"/>
                <w:szCs w:val="18"/>
                <w:lang w:val="en-US"/>
              </w:rPr>
              <w:t>Servicio</w:t>
            </w:r>
            <w:proofErr w:type="spellEnd"/>
            <w:r w:rsidRPr="00405DFE">
              <w:rPr>
                <w:sz w:val="18"/>
                <w:szCs w:val="18"/>
                <w:lang w:val="en-US"/>
              </w:rPr>
              <w:t xml:space="preserve"> </w:t>
            </w:r>
            <w:proofErr w:type="spellStart"/>
            <w:r w:rsidRPr="00405DFE">
              <w:rPr>
                <w:sz w:val="18"/>
                <w:szCs w:val="18"/>
                <w:lang w:val="en-US"/>
              </w:rPr>
              <w:t>Nacional</w:t>
            </w:r>
            <w:proofErr w:type="spellEnd"/>
            <w:r w:rsidRPr="00405DFE">
              <w:rPr>
                <w:sz w:val="18"/>
                <w:szCs w:val="18"/>
                <w:lang w:val="en-US"/>
              </w:rPr>
              <w:t xml:space="preserve"> de </w:t>
            </w:r>
            <w:proofErr w:type="spellStart"/>
            <w:r w:rsidRPr="00405DFE">
              <w:rPr>
                <w:sz w:val="18"/>
                <w:szCs w:val="18"/>
                <w:lang w:val="en-US"/>
              </w:rPr>
              <w:t>Sanidad</w:t>
            </w:r>
            <w:proofErr w:type="spellEnd"/>
            <w:r w:rsidRPr="00405DFE">
              <w:rPr>
                <w:sz w:val="18"/>
                <w:szCs w:val="18"/>
                <w:lang w:val="en-US"/>
              </w:rPr>
              <w:t xml:space="preserve"> y </w:t>
            </w:r>
            <w:proofErr w:type="spellStart"/>
            <w:r w:rsidRPr="00405DFE">
              <w:rPr>
                <w:sz w:val="18"/>
                <w:szCs w:val="18"/>
                <w:lang w:val="en-US"/>
              </w:rPr>
              <w:t>Calidad</w:t>
            </w:r>
            <w:proofErr w:type="spellEnd"/>
            <w:r w:rsidRPr="00405DFE">
              <w:rPr>
                <w:sz w:val="18"/>
                <w:szCs w:val="18"/>
                <w:lang w:val="en-US"/>
              </w:rPr>
              <w:t xml:space="preserve"> </w:t>
            </w:r>
            <w:proofErr w:type="spellStart"/>
            <w:r w:rsidRPr="00405DFE">
              <w:rPr>
                <w:sz w:val="18"/>
                <w:szCs w:val="18"/>
                <w:lang w:val="en-US"/>
              </w:rPr>
              <w:t>Agroalimentaria</w:t>
            </w:r>
            <w:proofErr w:type="spellEnd"/>
            <w:r w:rsidRPr="00405DFE">
              <w:rPr>
                <w:sz w:val="18"/>
                <w:szCs w:val="18"/>
                <w:lang w:val="en-US"/>
              </w:rPr>
              <w:t xml:space="preserve">-SENASA). </w:t>
            </w:r>
          </w:p>
          <w:p w:rsidR="00155F8B" w:rsidRPr="003E5CFC" w:rsidRDefault="00155F8B" w:rsidP="005333B4">
            <w:pPr>
              <w:keepNext/>
              <w:keepLines/>
              <w:suppressAutoHyphens/>
              <w:spacing w:before="120" w:after="120"/>
              <w:ind w:left="1247" w:right="1701"/>
              <w:rPr>
                <w:sz w:val="18"/>
                <w:szCs w:val="18"/>
                <w:lang w:val="en-US"/>
              </w:rPr>
            </w:pPr>
          </w:p>
        </w:tc>
        <w:tc>
          <w:tcPr>
            <w:tcW w:w="4308" w:type="dxa"/>
          </w:tcPr>
          <w:p w:rsidR="00155F8B" w:rsidRPr="003E5CFC" w:rsidRDefault="00405DFE" w:rsidP="004C5F13">
            <w:pPr>
              <w:numPr>
                <w:ilvl w:val="0"/>
                <w:numId w:val="10"/>
              </w:numPr>
              <w:tabs>
                <w:tab w:val="clear" w:pos="360"/>
                <w:tab w:val="clear" w:pos="1247"/>
                <w:tab w:val="clear" w:pos="1814"/>
                <w:tab w:val="clear" w:pos="2381"/>
                <w:tab w:val="clear" w:pos="2948"/>
                <w:tab w:val="clear" w:pos="3515"/>
              </w:tabs>
              <w:spacing w:after="120"/>
              <w:rPr>
                <w:sz w:val="18"/>
                <w:szCs w:val="18"/>
              </w:rPr>
            </w:pPr>
            <w:r w:rsidRPr="00405DFE">
              <w:rPr>
                <w:sz w:val="18"/>
                <w:szCs w:val="18"/>
                <w:lang w:val="en-US"/>
              </w:rPr>
              <w:t xml:space="preserve">Prohibits the import of the active ingredient </w:t>
            </w:r>
            <w:proofErr w:type="spellStart"/>
            <w:r w:rsidRPr="00405DFE">
              <w:rPr>
                <w:sz w:val="18"/>
                <w:szCs w:val="18"/>
                <w:lang w:val="en-US"/>
              </w:rPr>
              <w:t>endosulfan</w:t>
            </w:r>
            <w:proofErr w:type="spellEnd"/>
            <w:r w:rsidRPr="00405DFE">
              <w:rPr>
                <w:sz w:val="18"/>
                <w:szCs w:val="18"/>
                <w:lang w:val="en-US"/>
              </w:rPr>
              <w:t xml:space="preserve"> and its formulated products and forbids the development, formulation, marketing and use of products containing the active ingredient </w:t>
            </w:r>
            <w:proofErr w:type="spellStart"/>
            <w:r w:rsidRPr="00405DFE">
              <w:rPr>
                <w:sz w:val="18"/>
                <w:szCs w:val="18"/>
                <w:lang w:val="en-US"/>
              </w:rPr>
              <w:t>endosulfan</w:t>
            </w:r>
            <w:proofErr w:type="spellEnd"/>
            <w:r w:rsidRPr="00405DFE">
              <w:rPr>
                <w:sz w:val="18"/>
                <w:szCs w:val="18"/>
                <w:lang w:val="en-US"/>
              </w:rPr>
              <w:t xml:space="preserve"> </w:t>
            </w:r>
          </w:p>
        </w:tc>
      </w:tr>
      <w:tr w:rsidR="00890CDD" w:rsidRPr="001D090E" w:rsidTr="0088229A">
        <w:tc>
          <w:tcPr>
            <w:tcW w:w="1329" w:type="dxa"/>
          </w:tcPr>
          <w:p w:rsidR="00890CDD" w:rsidRPr="001D090E" w:rsidRDefault="00890CDD">
            <w:pPr>
              <w:rPr>
                <w:sz w:val="18"/>
                <w:szCs w:val="18"/>
              </w:rPr>
            </w:pPr>
            <w:r w:rsidRPr="001D090E">
              <w:rPr>
                <w:sz w:val="18"/>
                <w:szCs w:val="18"/>
              </w:rPr>
              <w:t>Austria</w:t>
            </w:r>
          </w:p>
        </w:tc>
        <w:tc>
          <w:tcPr>
            <w:tcW w:w="3939" w:type="dxa"/>
          </w:tcPr>
          <w:p w:rsidR="00890CDD" w:rsidRPr="001D090E" w:rsidRDefault="00890CDD">
            <w:pPr>
              <w:rPr>
                <w:sz w:val="18"/>
                <w:szCs w:val="18"/>
              </w:rPr>
            </w:pPr>
            <w:r w:rsidRPr="001D090E">
              <w:rPr>
                <w:sz w:val="18"/>
                <w:szCs w:val="18"/>
              </w:rPr>
              <w:t>Soil Protection Acts</w:t>
            </w:r>
          </w:p>
        </w:tc>
        <w:tc>
          <w:tcPr>
            <w:tcW w:w="4308" w:type="dxa"/>
          </w:tcPr>
          <w:p w:rsidR="00890CDD" w:rsidRPr="001D090E" w:rsidRDefault="00890CDD" w:rsidP="00EE5F29">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stringent limit values </w:t>
            </w:r>
            <w:r w:rsidR="00EE5F29">
              <w:rPr>
                <w:sz w:val="18"/>
                <w:szCs w:val="18"/>
              </w:rPr>
              <w:t>for</w:t>
            </w:r>
            <w:r w:rsidR="00EE5F29" w:rsidRPr="001D090E">
              <w:rPr>
                <w:sz w:val="18"/>
                <w:szCs w:val="18"/>
              </w:rPr>
              <w:t xml:space="preserve"> </w:t>
            </w:r>
            <w:r w:rsidRPr="001D090E">
              <w:rPr>
                <w:sz w:val="18"/>
                <w:szCs w:val="18"/>
              </w:rPr>
              <w:t>PCBs, PCDDs and PCDFs in sewage sludge used as fertilizer.</w:t>
            </w:r>
          </w:p>
        </w:tc>
      </w:tr>
      <w:tr w:rsidR="00890CDD" w:rsidRPr="001D090E" w:rsidTr="0088229A">
        <w:tc>
          <w:tcPr>
            <w:tcW w:w="1329" w:type="dxa"/>
          </w:tcPr>
          <w:p w:rsidR="00890CDD" w:rsidRPr="001D090E" w:rsidRDefault="00890CDD">
            <w:pPr>
              <w:rPr>
                <w:sz w:val="18"/>
                <w:szCs w:val="18"/>
              </w:rPr>
            </w:pPr>
            <w:r w:rsidRPr="001D090E">
              <w:rPr>
                <w:sz w:val="18"/>
                <w:szCs w:val="18"/>
              </w:rPr>
              <w:t>Brazil</w:t>
            </w:r>
          </w:p>
        </w:tc>
        <w:tc>
          <w:tcPr>
            <w:tcW w:w="3939" w:type="dxa"/>
          </w:tcPr>
          <w:p w:rsidR="00890CDD" w:rsidRPr="001D090E" w:rsidRDefault="00890CDD">
            <w:pPr>
              <w:rPr>
                <w:sz w:val="18"/>
                <w:szCs w:val="18"/>
              </w:rPr>
            </w:pPr>
            <w:r w:rsidRPr="001D090E">
              <w:rPr>
                <w:sz w:val="18"/>
                <w:szCs w:val="18"/>
                <w:lang w:val="en-US"/>
              </w:rPr>
              <w:t>Norm ABNT/NBR, N° 8371/1997</w:t>
            </w:r>
          </w:p>
        </w:tc>
        <w:tc>
          <w:tcPr>
            <w:tcW w:w="4308" w:type="dxa"/>
          </w:tcPr>
          <w:p w:rsidR="00890CDD" w:rsidRPr="001D090E" w:rsidRDefault="00890CDD" w:rsidP="00890CDD">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lang w:val="en-US"/>
              </w:rPr>
              <w:t>Procedures for handling, transport and storage of materials containing PCBs</w:t>
            </w:r>
          </w:p>
        </w:tc>
      </w:tr>
      <w:tr w:rsidR="00890CDD" w:rsidRPr="001D090E" w:rsidTr="0088229A">
        <w:tc>
          <w:tcPr>
            <w:tcW w:w="1329" w:type="dxa"/>
          </w:tcPr>
          <w:p w:rsidR="00890CDD" w:rsidRPr="001D090E" w:rsidRDefault="00890CDD">
            <w:pPr>
              <w:rPr>
                <w:sz w:val="18"/>
                <w:szCs w:val="18"/>
              </w:rPr>
            </w:pPr>
            <w:r w:rsidRPr="001D090E">
              <w:rPr>
                <w:sz w:val="18"/>
                <w:szCs w:val="18"/>
              </w:rPr>
              <w:t>Brazil</w:t>
            </w:r>
          </w:p>
        </w:tc>
        <w:tc>
          <w:tcPr>
            <w:tcW w:w="3939" w:type="dxa"/>
          </w:tcPr>
          <w:p w:rsidR="00890CDD" w:rsidRPr="001D090E" w:rsidRDefault="00890CDD">
            <w:pPr>
              <w:rPr>
                <w:sz w:val="18"/>
                <w:szCs w:val="18"/>
              </w:rPr>
            </w:pPr>
            <w:r w:rsidRPr="001D090E">
              <w:rPr>
                <w:sz w:val="18"/>
                <w:szCs w:val="18"/>
              </w:rPr>
              <w:t>Resolution CETESB (São Paulo state),</w:t>
            </w:r>
            <w:r w:rsidRPr="001D090E">
              <w:rPr>
                <w:sz w:val="18"/>
                <w:szCs w:val="18"/>
              </w:rPr>
              <w:br/>
              <w:t>N° 007/1997</w:t>
            </w:r>
          </w:p>
        </w:tc>
        <w:tc>
          <w:tcPr>
            <w:tcW w:w="4308" w:type="dxa"/>
          </w:tcPr>
          <w:p w:rsidR="00890CDD" w:rsidRPr="001D090E" w:rsidRDefault="00890CDD" w:rsidP="00890CDD">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Determines limits for PCDDs and PCDFs on emissions from medical waste incinerators with capacity &gt; 200 kg/day</w:t>
            </w:r>
          </w:p>
        </w:tc>
      </w:tr>
      <w:tr w:rsidR="00890CDD" w:rsidRPr="001D090E" w:rsidTr="0088229A">
        <w:tc>
          <w:tcPr>
            <w:tcW w:w="1329" w:type="dxa"/>
          </w:tcPr>
          <w:p w:rsidR="00890CDD" w:rsidRPr="001D090E" w:rsidRDefault="00890CDD">
            <w:pPr>
              <w:rPr>
                <w:sz w:val="18"/>
                <w:szCs w:val="18"/>
              </w:rPr>
            </w:pPr>
            <w:r w:rsidRPr="001D090E">
              <w:rPr>
                <w:sz w:val="18"/>
                <w:szCs w:val="18"/>
              </w:rPr>
              <w:t>Brazil</w:t>
            </w:r>
          </w:p>
        </w:tc>
        <w:tc>
          <w:tcPr>
            <w:tcW w:w="3939" w:type="dxa"/>
          </w:tcPr>
          <w:p w:rsidR="00890CDD" w:rsidRPr="001D090E" w:rsidRDefault="00890CDD">
            <w:pPr>
              <w:rPr>
                <w:sz w:val="18"/>
                <w:szCs w:val="18"/>
              </w:rPr>
            </w:pPr>
            <w:r w:rsidRPr="001D090E">
              <w:rPr>
                <w:sz w:val="18"/>
                <w:szCs w:val="18"/>
              </w:rPr>
              <w:t>Resolution CONAMA, N° 264/1999</w:t>
            </w:r>
          </w:p>
        </w:tc>
        <w:tc>
          <w:tcPr>
            <w:tcW w:w="4308" w:type="dxa"/>
          </w:tcPr>
          <w:p w:rsidR="00E8028C" w:rsidRDefault="00890CDD">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Procedures for environmental licensing o</w:t>
            </w:r>
            <w:r w:rsidR="00EE5F29">
              <w:rPr>
                <w:sz w:val="18"/>
                <w:szCs w:val="18"/>
              </w:rPr>
              <w:t>f</w:t>
            </w:r>
            <w:r w:rsidRPr="001D090E">
              <w:rPr>
                <w:sz w:val="18"/>
                <w:szCs w:val="18"/>
              </w:rPr>
              <w:t xml:space="preserve"> waste co-processing in cement kilns</w:t>
            </w:r>
          </w:p>
        </w:tc>
      </w:tr>
      <w:tr w:rsidR="00890CDD" w:rsidRPr="001D090E" w:rsidTr="0088229A">
        <w:tc>
          <w:tcPr>
            <w:tcW w:w="1329" w:type="dxa"/>
          </w:tcPr>
          <w:p w:rsidR="00890CDD" w:rsidRPr="001D090E" w:rsidRDefault="00890CDD">
            <w:pPr>
              <w:rPr>
                <w:sz w:val="18"/>
                <w:szCs w:val="18"/>
              </w:rPr>
            </w:pPr>
            <w:r w:rsidRPr="001D090E">
              <w:rPr>
                <w:sz w:val="18"/>
                <w:szCs w:val="18"/>
              </w:rPr>
              <w:t>Brazil</w:t>
            </w:r>
          </w:p>
        </w:tc>
        <w:tc>
          <w:tcPr>
            <w:tcW w:w="3939" w:type="dxa"/>
          </w:tcPr>
          <w:p w:rsidR="00890CDD" w:rsidRPr="001D090E" w:rsidRDefault="00890CDD">
            <w:pPr>
              <w:rPr>
                <w:sz w:val="18"/>
                <w:szCs w:val="18"/>
              </w:rPr>
            </w:pPr>
            <w:r w:rsidRPr="001D090E">
              <w:rPr>
                <w:sz w:val="18"/>
                <w:szCs w:val="18"/>
              </w:rPr>
              <w:t>Resolution CONAMA, N° 313/2002</w:t>
            </w:r>
          </w:p>
        </w:tc>
        <w:tc>
          <w:tcPr>
            <w:tcW w:w="4308" w:type="dxa"/>
          </w:tcPr>
          <w:p w:rsidR="00890CDD" w:rsidRPr="001D090E" w:rsidRDefault="00890CDD" w:rsidP="00890CDD">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Provides for an inventory of PCB stocks and industrial wastes</w:t>
            </w:r>
          </w:p>
        </w:tc>
      </w:tr>
      <w:tr w:rsidR="00890CDD" w:rsidRPr="001D090E" w:rsidTr="0088229A">
        <w:tc>
          <w:tcPr>
            <w:tcW w:w="1329" w:type="dxa"/>
          </w:tcPr>
          <w:p w:rsidR="00890CDD" w:rsidRPr="001D090E" w:rsidRDefault="00890CDD">
            <w:pPr>
              <w:rPr>
                <w:sz w:val="18"/>
                <w:szCs w:val="18"/>
              </w:rPr>
            </w:pPr>
            <w:r w:rsidRPr="001D090E">
              <w:rPr>
                <w:sz w:val="18"/>
                <w:szCs w:val="18"/>
              </w:rPr>
              <w:t>Brazil</w:t>
            </w:r>
          </w:p>
        </w:tc>
        <w:tc>
          <w:tcPr>
            <w:tcW w:w="3939" w:type="dxa"/>
          </w:tcPr>
          <w:p w:rsidR="00890CDD" w:rsidRPr="001D090E" w:rsidRDefault="00890CDD">
            <w:pPr>
              <w:rPr>
                <w:sz w:val="18"/>
                <w:szCs w:val="18"/>
              </w:rPr>
            </w:pPr>
            <w:r w:rsidRPr="001D090E">
              <w:rPr>
                <w:sz w:val="18"/>
                <w:szCs w:val="18"/>
              </w:rPr>
              <w:t>Resolution CONAMA, N° 316/2002</w:t>
            </w:r>
          </w:p>
        </w:tc>
        <w:tc>
          <w:tcPr>
            <w:tcW w:w="4308" w:type="dxa"/>
          </w:tcPr>
          <w:p w:rsidR="00890CDD" w:rsidRPr="001D090E" w:rsidRDefault="00890CDD" w:rsidP="00890CDD">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Procedures and criteria for operating thermal waste treatment systems, provides limits on emissions of PCDDs and PCDFs</w:t>
            </w:r>
            <w:r w:rsidR="004C5F13">
              <w:rPr>
                <w:sz w:val="18"/>
                <w:szCs w:val="18"/>
              </w:rPr>
              <w:t>.</w:t>
            </w:r>
          </w:p>
        </w:tc>
      </w:tr>
      <w:tr w:rsidR="00890CDD" w:rsidRPr="001D090E" w:rsidTr="0088229A">
        <w:tc>
          <w:tcPr>
            <w:tcW w:w="1329" w:type="dxa"/>
          </w:tcPr>
          <w:p w:rsidR="00890CDD" w:rsidRPr="001D090E" w:rsidRDefault="00890CDD">
            <w:pPr>
              <w:rPr>
                <w:sz w:val="18"/>
                <w:szCs w:val="18"/>
              </w:rPr>
            </w:pPr>
            <w:r w:rsidRPr="001D090E">
              <w:rPr>
                <w:sz w:val="18"/>
                <w:szCs w:val="18"/>
              </w:rPr>
              <w:t>Brazil</w:t>
            </w:r>
          </w:p>
        </w:tc>
        <w:tc>
          <w:tcPr>
            <w:tcW w:w="3939" w:type="dxa"/>
          </w:tcPr>
          <w:p w:rsidR="00890CDD" w:rsidRPr="001D090E" w:rsidRDefault="00890CDD">
            <w:pPr>
              <w:rPr>
                <w:sz w:val="18"/>
                <w:szCs w:val="18"/>
              </w:rPr>
            </w:pPr>
            <w:r w:rsidRPr="001D090E">
              <w:rPr>
                <w:sz w:val="18"/>
                <w:szCs w:val="18"/>
              </w:rPr>
              <w:t>Resolution CONAMA, N° 334/2003</w:t>
            </w:r>
          </w:p>
        </w:tc>
        <w:tc>
          <w:tcPr>
            <w:tcW w:w="4308" w:type="dxa"/>
          </w:tcPr>
          <w:p w:rsidR="00E8028C" w:rsidRDefault="00890CDD" w:rsidP="004C5F13">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Procedures for environmental licensing for establishments responsible for receiving pesticides </w:t>
            </w:r>
            <w:r w:rsidRPr="004C5F13">
              <w:rPr>
                <w:sz w:val="18"/>
                <w:szCs w:val="18"/>
              </w:rPr>
              <w:t>packag</w:t>
            </w:r>
            <w:r w:rsidR="00C577DD" w:rsidRPr="004C5F13">
              <w:rPr>
                <w:sz w:val="18"/>
                <w:szCs w:val="18"/>
              </w:rPr>
              <w:t>ing</w:t>
            </w:r>
            <w:r w:rsidR="004C5F13">
              <w:rPr>
                <w:sz w:val="18"/>
                <w:szCs w:val="18"/>
              </w:rPr>
              <w:t>.</w:t>
            </w:r>
            <w:r w:rsidR="00C577DD" w:rsidRPr="004C5F13">
              <w:rPr>
                <w:sz w:val="18"/>
                <w:szCs w:val="18"/>
              </w:rPr>
              <w:t xml:space="preserve"> </w:t>
            </w:r>
          </w:p>
        </w:tc>
      </w:tr>
      <w:tr w:rsidR="00890CDD" w:rsidRPr="001D090E" w:rsidTr="0088229A">
        <w:tc>
          <w:tcPr>
            <w:tcW w:w="1329" w:type="dxa"/>
          </w:tcPr>
          <w:p w:rsidR="00890CDD" w:rsidRPr="001D090E" w:rsidRDefault="00890CDD">
            <w:pPr>
              <w:rPr>
                <w:sz w:val="18"/>
                <w:szCs w:val="18"/>
              </w:rPr>
            </w:pPr>
            <w:r w:rsidRPr="001D090E">
              <w:rPr>
                <w:sz w:val="18"/>
                <w:szCs w:val="18"/>
              </w:rPr>
              <w:t>Brazil</w:t>
            </w:r>
          </w:p>
        </w:tc>
        <w:tc>
          <w:tcPr>
            <w:tcW w:w="3939" w:type="dxa"/>
          </w:tcPr>
          <w:p w:rsidR="00890CDD" w:rsidRPr="001D090E" w:rsidRDefault="00890CDD">
            <w:pPr>
              <w:rPr>
                <w:sz w:val="18"/>
                <w:szCs w:val="18"/>
              </w:rPr>
            </w:pPr>
            <w:r w:rsidRPr="001D090E">
              <w:rPr>
                <w:sz w:val="18"/>
                <w:szCs w:val="18"/>
              </w:rPr>
              <w:t>Decision CETESB (São Paulo state), N° 26/2003</w:t>
            </w:r>
          </w:p>
        </w:tc>
        <w:tc>
          <w:tcPr>
            <w:tcW w:w="4308" w:type="dxa"/>
          </w:tcPr>
          <w:p w:rsidR="00890CDD" w:rsidRPr="001D090E" w:rsidRDefault="00890CDD" w:rsidP="00C577DD">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Sets limits for air emissions of PCDDs and PCDFs of cement kilns treating waste</w:t>
            </w:r>
          </w:p>
        </w:tc>
      </w:tr>
      <w:tr w:rsidR="00890CDD" w:rsidRPr="001D090E" w:rsidTr="0088229A">
        <w:tc>
          <w:tcPr>
            <w:tcW w:w="1329" w:type="dxa"/>
          </w:tcPr>
          <w:p w:rsidR="00890CDD" w:rsidRPr="001D090E" w:rsidRDefault="00890CDD">
            <w:pPr>
              <w:rPr>
                <w:sz w:val="18"/>
                <w:szCs w:val="18"/>
              </w:rPr>
            </w:pPr>
            <w:r w:rsidRPr="001D090E">
              <w:rPr>
                <w:sz w:val="18"/>
                <w:szCs w:val="18"/>
              </w:rPr>
              <w:t>Brazil</w:t>
            </w:r>
          </w:p>
        </w:tc>
        <w:tc>
          <w:tcPr>
            <w:tcW w:w="3939" w:type="dxa"/>
          </w:tcPr>
          <w:p w:rsidR="00890CDD" w:rsidRPr="001D090E" w:rsidRDefault="00890CDD">
            <w:pPr>
              <w:rPr>
                <w:sz w:val="18"/>
                <w:szCs w:val="18"/>
              </w:rPr>
            </w:pPr>
            <w:r w:rsidRPr="001D090E">
              <w:rPr>
                <w:sz w:val="18"/>
                <w:szCs w:val="18"/>
              </w:rPr>
              <w:t>Resolution CONAMA, N° 357/2005</w:t>
            </w:r>
          </w:p>
        </w:tc>
        <w:tc>
          <w:tcPr>
            <w:tcW w:w="4308" w:type="dxa"/>
          </w:tcPr>
          <w:p w:rsidR="00890CDD" w:rsidRPr="001D090E" w:rsidRDefault="00890CDD" w:rsidP="00890CDD">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Provides maximum permitted levels for POPs in effluents discharged to water</w:t>
            </w:r>
            <w:r w:rsidR="004C5F13">
              <w:rPr>
                <w:sz w:val="18"/>
                <w:szCs w:val="18"/>
              </w:rPr>
              <w:t>.</w:t>
            </w:r>
          </w:p>
        </w:tc>
      </w:tr>
      <w:tr w:rsidR="00890CDD" w:rsidRPr="001D090E" w:rsidTr="0088229A">
        <w:trPr>
          <w:trHeight w:val="420"/>
        </w:trPr>
        <w:tc>
          <w:tcPr>
            <w:tcW w:w="1329" w:type="dxa"/>
          </w:tcPr>
          <w:p w:rsidR="00890CDD" w:rsidRPr="001D090E" w:rsidRDefault="00890CDD" w:rsidP="0088229A">
            <w:pPr>
              <w:rPr>
                <w:sz w:val="18"/>
                <w:szCs w:val="18"/>
              </w:rPr>
            </w:pPr>
            <w:r w:rsidRPr="001D090E">
              <w:rPr>
                <w:sz w:val="18"/>
                <w:szCs w:val="18"/>
              </w:rPr>
              <w:t>Canada</w:t>
            </w:r>
          </w:p>
        </w:tc>
        <w:tc>
          <w:tcPr>
            <w:tcW w:w="3939" w:type="dxa"/>
          </w:tcPr>
          <w:p w:rsidR="00357AB2" w:rsidRPr="001D090E" w:rsidRDefault="00357AB2" w:rsidP="0088229A">
            <w:pPr>
              <w:rPr>
                <w:sz w:val="18"/>
                <w:szCs w:val="18"/>
              </w:rPr>
            </w:pPr>
            <w:r>
              <w:rPr>
                <w:sz w:val="18"/>
                <w:szCs w:val="18"/>
              </w:rPr>
              <w:t>PCB Regulations</w:t>
            </w:r>
          </w:p>
        </w:tc>
        <w:tc>
          <w:tcPr>
            <w:tcW w:w="4308" w:type="dxa"/>
          </w:tcPr>
          <w:p w:rsidR="00357AB2" w:rsidRPr="008F78AE" w:rsidRDefault="00357AB2" w:rsidP="00C577DD">
            <w:pPr>
              <w:numPr>
                <w:ilvl w:val="0"/>
                <w:numId w:val="10"/>
              </w:numPr>
              <w:tabs>
                <w:tab w:val="clear" w:pos="360"/>
                <w:tab w:val="clear" w:pos="1247"/>
                <w:tab w:val="clear" w:pos="1814"/>
                <w:tab w:val="clear" w:pos="2381"/>
                <w:tab w:val="clear" w:pos="2948"/>
                <w:tab w:val="clear" w:pos="3515"/>
              </w:tabs>
              <w:spacing w:after="120"/>
              <w:rPr>
                <w:sz w:val="18"/>
                <w:szCs w:val="18"/>
              </w:rPr>
            </w:pPr>
            <w:r w:rsidRPr="00D93F4C">
              <w:rPr>
                <w:sz w:val="18"/>
                <w:szCs w:val="18"/>
              </w:rPr>
              <w:t xml:space="preserve">Restrict the manufacture, import, export and sale of PCBs and equipment containing PCBs, and prohibit </w:t>
            </w:r>
            <w:r w:rsidR="00C577DD" w:rsidRPr="004C5F13">
              <w:rPr>
                <w:sz w:val="18"/>
                <w:szCs w:val="18"/>
              </w:rPr>
              <w:t>PCB</w:t>
            </w:r>
            <w:r w:rsidR="00C577DD">
              <w:rPr>
                <w:sz w:val="18"/>
                <w:szCs w:val="18"/>
              </w:rPr>
              <w:t xml:space="preserve"> </w:t>
            </w:r>
            <w:r w:rsidRPr="00D93F4C">
              <w:rPr>
                <w:sz w:val="18"/>
                <w:szCs w:val="18"/>
              </w:rPr>
              <w:t>releases to the environment. The regulations have deadlines ending the use of PCBs and PCB equipment that have concentrations at or above 50 mg/kg along with maximum storage and destruction timelines.</w:t>
            </w:r>
          </w:p>
        </w:tc>
      </w:tr>
      <w:tr w:rsidR="00890CDD" w:rsidRPr="001D090E" w:rsidTr="0088229A">
        <w:trPr>
          <w:trHeight w:val="782"/>
        </w:trPr>
        <w:tc>
          <w:tcPr>
            <w:tcW w:w="1329" w:type="dxa"/>
          </w:tcPr>
          <w:p w:rsidR="00890CDD" w:rsidRPr="001D090E" w:rsidRDefault="00890CDD" w:rsidP="0088229A">
            <w:pPr>
              <w:rPr>
                <w:sz w:val="18"/>
                <w:szCs w:val="18"/>
              </w:rPr>
            </w:pPr>
            <w:r w:rsidRPr="001D090E">
              <w:rPr>
                <w:sz w:val="18"/>
                <w:szCs w:val="18"/>
              </w:rPr>
              <w:t>Canada</w:t>
            </w:r>
          </w:p>
        </w:tc>
        <w:tc>
          <w:tcPr>
            <w:tcW w:w="3939" w:type="dxa"/>
          </w:tcPr>
          <w:p w:rsidR="00890CDD" w:rsidRPr="001D090E" w:rsidRDefault="00890CDD" w:rsidP="0088229A">
            <w:pPr>
              <w:rPr>
                <w:sz w:val="18"/>
                <w:szCs w:val="18"/>
              </w:rPr>
            </w:pPr>
            <w:proofErr w:type="spellStart"/>
            <w:r w:rsidRPr="001D090E">
              <w:rPr>
                <w:sz w:val="18"/>
                <w:szCs w:val="18"/>
              </w:rPr>
              <w:t>Polybrominated</w:t>
            </w:r>
            <w:proofErr w:type="spellEnd"/>
            <w:r w:rsidRPr="001D090E">
              <w:rPr>
                <w:sz w:val="18"/>
                <w:szCs w:val="18"/>
              </w:rPr>
              <w:t xml:space="preserve"> </w:t>
            </w:r>
            <w:proofErr w:type="spellStart"/>
            <w:r w:rsidRPr="001D090E">
              <w:rPr>
                <w:sz w:val="18"/>
                <w:szCs w:val="18"/>
              </w:rPr>
              <w:t>Diphenyl</w:t>
            </w:r>
            <w:proofErr w:type="spellEnd"/>
            <w:r w:rsidRPr="001D090E">
              <w:rPr>
                <w:sz w:val="18"/>
                <w:szCs w:val="18"/>
              </w:rPr>
              <w:t xml:space="preserve"> Ethers Regulations  </w:t>
            </w:r>
          </w:p>
          <w:p w:rsidR="00890CDD" w:rsidRPr="001D090E" w:rsidRDefault="00890CDD" w:rsidP="0088229A">
            <w:pPr>
              <w:rPr>
                <w:sz w:val="18"/>
                <w:szCs w:val="18"/>
              </w:rPr>
            </w:pPr>
          </w:p>
        </w:tc>
        <w:tc>
          <w:tcPr>
            <w:tcW w:w="4308" w:type="dxa"/>
          </w:tcPr>
          <w:p w:rsidR="00890CDD" w:rsidRPr="00770C1F" w:rsidRDefault="00890CDD" w:rsidP="00C577DD">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Prohibit the manufacture of PBDEs in Canada (</w:t>
            </w:r>
            <w:proofErr w:type="spellStart"/>
            <w:r w:rsidRPr="001D090E">
              <w:rPr>
                <w:sz w:val="18"/>
                <w:szCs w:val="18"/>
              </w:rPr>
              <w:t>tetraBDE</w:t>
            </w:r>
            <w:proofErr w:type="spellEnd"/>
            <w:r w:rsidRPr="001D090E">
              <w:rPr>
                <w:sz w:val="18"/>
                <w:szCs w:val="18"/>
              </w:rPr>
              <w:t xml:space="preserve">, </w:t>
            </w:r>
            <w:proofErr w:type="spellStart"/>
            <w:r w:rsidRPr="001D090E">
              <w:rPr>
                <w:sz w:val="18"/>
                <w:szCs w:val="18"/>
              </w:rPr>
              <w:t>pentaBDE</w:t>
            </w:r>
            <w:proofErr w:type="spellEnd"/>
            <w:r w:rsidRPr="001D090E">
              <w:rPr>
                <w:sz w:val="18"/>
                <w:szCs w:val="18"/>
              </w:rPr>
              <w:t xml:space="preserve">, </w:t>
            </w:r>
            <w:proofErr w:type="spellStart"/>
            <w:r w:rsidRPr="001D090E">
              <w:rPr>
                <w:sz w:val="18"/>
                <w:szCs w:val="18"/>
              </w:rPr>
              <w:t>hexaBDE</w:t>
            </w:r>
            <w:proofErr w:type="spellEnd"/>
            <w:r w:rsidRPr="001D090E">
              <w:rPr>
                <w:sz w:val="18"/>
                <w:szCs w:val="18"/>
              </w:rPr>
              <w:t xml:space="preserve">, </w:t>
            </w:r>
            <w:proofErr w:type="spellStart"/>
            <w:r w:rsidRPr="001D090E">
              <w:rPr>
                <w:sz w:val="18"/>
                <w:szCs w:val="18"/>
              </w:rPr>
              <w:t>heptaBDE</w:t>
            </w:r>
            <w:proofErr w:type="spellEnd"/>
            <w:r w:rsidRPr="001D090E">
              <w:rPr>
                <w:sz w:val="18"/>
                <w:szCs w:val="18"/>
              </w:rPr>
              <w:t xml:space="preserve">, </w:t>
            </w:r>
            <w:proofErr w:type="spellStart"/>
            <w:r w:rsidRPr="001D090E">
              <w:rPr>
                <w:sz w:val="18"/>
                <w:szCs w:val="18"/>
              </w:rPr>
              <w:t>octaBDE</w:t>
            </w:r>
            <w:proofErr w:type="spellEnd"/>
            <w:r w:rsidRPr="001D090E">
              <w:rPr>
                <w:sz w:val="18"/>
                <w:szCs w:val="18"/>
              </w:rPr>
              <w:t xml:space="preserve">, </w:t>
            </w:r>
            <w:proofErr w:type="spellStart"/>
            <w:r w:rsidRPr="001D090E">
              <w:rPr>
                <w:sz w:val="18"/>
                <w:szCs w:val="18"/>
              </w:rPr>
              <w:t>nonaBDE</w:t>
            </w:r>
            <w:proofErr w:type="spellEnd"/>
            <w:r w:rsidRPr="001D090E">
              <w:rPr>
                <w:sz w:val="18"/>
                <w:szCs w:val="18"/>
              </w:rPr>
              <w:t xml:space="preserve"> and </w:t>
            </w:r>
            <w:proofErr w:type="spellStart"/>
            <w:r w:rsidRPr="001D090E">
              <w:rPr>
                <w:sz w:val="18"/>
                <w:szCs w:val="18"/>
              </w:rPr>
              <w:t>decaBDE</w:t>
            </w:r>
            <w:proofErr w:type="spellEnd"/>
            <w:r w:rsidRPr="001D090E">
              <w:rPr>
                <w:sz w:val="18"/>
                <w:szCs w:val="18"/>
              </w:rPr>
              <w:t xml:space="preserve"> congeners); and prohibit the use, sale, offer for sale and import of those PBDEs that meet the criteria for virtual elimination under </w:t>
            </w:r>
            <w:r w:rsidR="00862ABA">
              <w:rPr>
                <w:sz w:val="18"/>
                <w:szCs w:val="18"/>
              </w:rPr>
              <w:t xml:space="preserve">the </w:t>
            </w:r>
            <w:r w:rsidRPr="001D090E">
              <w:rPr>
                <w:sz w:val="18"/>
                <w:szCs w:val="18"/>
              </w:rPr>
              <w:t>C</w:t>
            </w:r>
            <w:r w:rsidR="00862ABA">
              <w:rPr>
                <w:sz w:val="18"/>
                <w:szCs w:val="18"/>
              </w:rPr>
              <w:t xml:space="preserve">anadian </w:t>
            </w:r>
            <w:r w:rsidRPr="001D090E">
              <w:rPr>
                <w:sz w:val="18"/>
                <w:szCs w:val="18"/>
              </w:rPr>
              <w:t>E</w:t>
            </w:r>
            <w:r w:rsidR="00862ABA">
              <w:rPr>
                <w:sz w:val="18"/>
                <w:szCs w:val="18"/>
              </w:rPr>
              <w:t xml:space="preserve">nvironmental </w:t>
            </w:r>
            <w:r w:rsidRPr="001D090E">
              <w:rPr>
                <w:sz w:val="18"/>
                <w:szCs w:val="18"/>
              </w:rPr>
              <w:t>P</w:t>
            </w:r>
            <w:r w:rsidR="00862ABA">
              <w:rPr>
                <w:sz w:val="18"/>
                <w:szCs w:val="18"/>
              </w:rPr>
              <w:t xml:space="preserve">rotection </w:t>
            </w:r>
            <w:r w:rsidRPr="001D090E">
              <w:rPr>
                <w:sz w:val="18"/>
                <w:szCs w:val="18"/>
              </w:rPr>
              <w:t>A</w:t>
            </w:r>
            <w:r w:rsidR="00862ABA">
              <w:rPr>
                <w:sz w:val="18"/>
                <w:szCs w:val="18"/>
              </w:rPr>
              <w:t>ct,</w:t>
            </w:r>
            <w:r w:rsidRPr="001D090E">
              <w:rPr>
                <w:sz w:val="18"/>
                <w:szCs w:val="18"/>
              </w:rPr>
              <w:t xml:space="preserve"> 1999 (</w:t>
            </w:r>
            <w:proofErr w:type="spellStart"/>
            <w:r w:rsidRPr="001D090E">
              <w:rPr>
                <w:sz w:val="18"/>
                <w:szCs w:val="18"/>
              </w:rPr>
              <w:t>tetraBDE</w:t>
            </w:r>
            <w:proofErr w:type="spellEnd"/>
            <w:r w:rsidRPr="001D090E">
              <w:rPr>
                <w:sz w:val="18"/>
                <w:szCs w:val="18"/>
              </w:rPr>
              <w:t xml:space="preserve">, </w:t>
            </w:r>
            <w:proofErr w:type="spellStart"/>
            <w:r w:rsidRPr="001D090E">
              <w:rPr>
                <w:sz w:val="18"/>
                <w:szCs w:val="18"/>
              </w:rPr>
              <w:t>pentaBDE</w:t>
            </w:r>
            <w:proofErr w:type="spellEnd"/>
            <w:r w:rsidRPr="001D090E">
              <w:rPr>
                <w:sz w:val="18"/>
                <w:szCs w:val="18"/>
              </w:rPr>
              <w:t xml:space="preserve"> and </w:t>
            </w:r>
            <w:proofErr w:type="spellStart"/>
            <w:r w:rsidRPr="001D090E">
              <w:rPr>
                <w:sz w:val="18"/>
                <w:szCs w:val="18"/>
              </w:rPr>
              <w:t>hexaBDE</w:t>
            </w:r>
            <w:proofErr w:type="spellEnd"/>
            <w:r w:rsidRPr="001D090E">
              <w:rPr>
                <w:sz w:val="18"/>
                <w:szCs w:val="18"/>
              </w:rPr>
              <w:t xml:space="preserve"> congeners), as well as mixtures, polymers and resins containing these substances.</w:t>
            </w:r>
          </w:p>
        </w:tc>
      </w:tr>
      <w:tr w:rsidR="00890CDD" w:rsidRPr="001D090E" w:rsidTr="0088229A">
        <w:trPr>
          <w:trHeight w:val="782"/>
        </w:trPr>
        <w:tc>
          <w:tcPr>
            <w:tcW w:w="1329" w:type="dxa"/>
          </w:tcPr>
          <w:p w:rsidR="00890CDD" w:rsidRPr="001D090E" w:rsidRDefault="00890CDD" w:rsidP="0088229A">
            <w:pPr>
              <w:rPr>
                <w:sz w:val="18"/>
                <w:szCs w:val="18"/>
              </w:rPr>
            </w:pPr>
            <w:r w:rsidRPr="001D090E">
              <w:rPr>
                <w:sz w:val="18"/>
                <w:szCs w:val="18"/>
              </w:rPr>
              <w:t>Canada</w:t>
            </w:r>
          </w:p>
        </w:tc>
        <w:tc>
          <w:tcPr>
            <w:tcW w:w="3939" w:type="dxa"/>
          </w:tcPr>
          <w:p w:rsidR="00890CDD" w:rsidRPr="001D090E" w:rsidRDefault="00890CDD" w:rsidP="0088229A">
            <w:pPr>
              <w:rPr>
                <w:sz w:val="18"/>
                <w:szCs w:val="18"/>
              </w:rPr>
            </w:pPr>
            <w:proofErr w:type="spellStart"/>
            <w:r w:rsidRPr="001D090E">
              <w:rPr>
                <w:sz w:val="18"/>
                <w:szCs w:val="18"/>
              </w:rPr>
              <w:t>Perfluorooctane</w:t>
            </w:r>
            <w:proofErr w:type="spellEnd"/>
            <w:r w:rsidRPr="001D090E">
              <w:rPr>
                <w:sz w:val="18"/>
                <w:szCs w:val="18"/>
              </w:rPr>
              <w:t xml:space="preserve"> </w:t>
            </w:r>
            <w:proofErr w:type="spellStart"/>
            <w:r w:rsidRPr="001D090E">
              <w:rPr>
                <w:sz w:val="18"/>
                <w:szCs w:val="18"/>
              </w:rPr>
              <w:t>Sulfonate</w:t>
            </w:r>
            <w:proofErr w:type="spellEnd"/>
            <w:r w:rsidRPr="001D090E">
              <w:rPr>
                <w:sz w:val="18"/>
                <w:szCs w:val="18"/>
              </w:rPr>
              <w:t xml:space="preserve"> and its Salts and Certain Other Compounds Regulations</w:t>
            </w:r>
          </w:p>
        </w:tc>
        <w:tc>
          <w:tcPr>
            <w:tcW w:w="4308" w:type="dxa"/>
          </w:tcPr>
          <w:p w:rsidR="00890CDD" w:rsidRPr="001D090E" w:rsidRDefault="00890CDD" w:rsidP="00890CDD">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Prohibit the manufacture, use, sale, offer for sale and import of PFOS groups (C</w:t>
            </w:r>
            <w:r w:rsidRPr="001D090E">
              <w:rPr>
                <w:sz w:val="18"/>
                <w:szCs w:val="18"/>
                <w:vertAlign w:val="subscript"/>
              </w:rPr>
              <w:t>8</w:t>
            </w:r>
            <w:r w:rsidRPr="001D090E">
              <w:rPr>
                <w:sz w:val="18"/>
                <w:szCs w:val="18"/>
              </w:rPr>
              <w:t>F</w:t>
            </w:r>
            <w:r w:rsidRPr="001D090E">
              <w:rPr>
                <w:sz w:val="18"/>
                <w:szCs w:val="18"/>
                <w:vertAlign w:val="subscript"/>
              </w:rPr>
              <w:t>17</w:t>
            </w:r>
            <w:r w:rsidRPr="001D090E">
              <w:rPr>
                <w:sz w:val="18"/>
                <w:szCs w:val="18"/>
              </w:rPr>
              <w:t>SO</w:t>
            </w:r>
            <w:r w:rsidRPr="001D090E">
              <w:rPr>
                <w:sz w:val="18"/>
                <w:szCs w:val="18"/>
                <w:vertAlign w:val="subscript"/>
              </w:rPr>
              <w:t>2</w:t>
            </w:r>
            <w:r w:rsidRPr="001D090E">
              <w:rPr>
                <w:sz w:val="18"/>
                <w:szCs w:val="18"/>
              </w:rPr>
              <w:t>,</w:t>
            </w:r>
            <w:r w:rsidRPr="001D090E">
              <w:rPr>
                <w:sz w:val="18"/>
                <w:szCs w:val="18"/>
                <w:vertAlign w:val="subscript"/>
              </w:rPr>
              <w:t xml:space="preserve"> </w:t>
            </w:r>
            <w:r w:rsidRPr="001D090E">
              <w:rPr>
                <w:sz w:val="18"/>
                <w:szCs w:val="18"/>
              </w:rPr>
              <w:t>C</w:t>
            </w:r>
            <w:r w:rsidRPr="001D090E">
              <w:rPr>
                <w:sz w:val="18"/>
                <w:szCs w:val="18"/>
                <w:vertAlign w:val="subscript"/>
              </w:rPr>
              <w:t>8</w:t>
            </w:r>
            <w:r w:rsidRPr="001D090E">
              <w:rPr>
                <w:sz w:val="18"/>
                <w:szCs w:val="18"/>
              </w:rPr>
              <w:t>F</w:t>
            </w:r>
            <w:r w:rsidRPr="001D090E">
              <w:rPr>
                <w:sz w:val="18"/>
                <w:szCs w:val="18"/>
                <w:vertAlign w:val="subscript"/>
              </w:rPr>
              <w:t>17</w:t>
            </w:r>
            <w:r w:rsidRPr="001D090E">
              <w:rPr>
                <w:sz w:val="18"/>
                <w:szCs w:val="18"/>
              </w:rPr>
              <w:t>SO</w:t>
            </w:r>
            <w:r w:rsidRPr="001D090E">
              <w:rPr>
                <w:sz w:val="18"/>
                <w:szCs w:val="18"/>
                <w:vertAlign w:val="subscript"/>
              </w:rPr>
              <w:t>3</w:t>
            </w:r>
            <w:r w:rsidRPr="001D090E">
              <w:rPr>
                <w:sz w:val="18"/>
                <w:szCs w:val="18"/>
              </w:rPr>
              <w:t xml:space="preserve"> or C</w:t>
            </w:r>
            <w:r w:rsidRPr="001D090E">
              <w:rPr>
                <w:sz w:val="18"/>
                <w:szCs w:val="18"/>
                <w:vertAlign w:val="subscript"/>
              </w:rPr>
              <w:t>8</w:t>
            </w:r>
            <w:r w:rsidRPr="001D090E">
              <w:rPr>
                <w:sz w:val="18"/>
                <w:szCs w:val="18"/>
              </w:rPr>
              <w:t>F</w:t>
            </w:r>
            <w:r w:rsidRPr="001D090E">
              <w:rPr>
                <w:sz w:val="18"/>
                <w:szCs w:val="18"/>
                <w:vertAlign w:val="subscript"/>
              </w:rPr>
              <w:t>17</w:t>
            </w:r>
            <w:r w:rsidRPr="001D090E">
              <w:rPr>
                <w:sz w:val="18"/>
                <w:szCs w:val="18"/>
              </w:rPr>
              <w:t>SO</w:t>
            </w:r>
            <w:r w:rsidRPr="001D090E">
              <w:rPr>
                <w:sz w:val="18"/>
                <w:szCs w:val="18"/>
                <w:vertAlign w:val="subscript"/>
              </w:rPr>
              <w:t>2</w:t>
            </w:r>
            <w:r w:rsidRPr="001D090E">
              <w:rPr>
                <w:sz w:val="18"/>
                <w:szCs w:val="18"/>
              </w:rPr>
              <w:t>N), as well as products containing PFOS.</w:t>
            </w:r>
          </w:p>
        </w:tc>
      </w:tr>
      <w:tr w:rsidR="00B12B08" w:rsidRPr="001D090E" w:rsidTr="0088229A">
        <w:trPr>
          <w:trHeight w:val="782"/>
        </w:trPr>
        <w:tc>
          <w:tcPr>
            <w:tcW w:w="1329" w:type="dxa"/>
          </w:tcPr>
          <w:p w:rsidR="00B12B08" w:rsidRPr="001D090E" w:rsidRDefault="00B12B08" w:rsidP="0088229A">
            <w:pPr>
              <w:rPr>
                <w:sz w:val="18"/>
                <w:szCs w:val="18"/>
              </w:rPr>
            </w:pPr>
            <w:r>
              <w:rPr>
                <w:sz w:val="18"/>
                <w:szCs w:val="18"/>
              </w:rPr>
              <w:t>China</w:t>
            </w:r>
          </w:p>
        </w:tc>
        <w:tc>
          <w:tcPr>
            <w:tcW w:w="3939" w:type="dxa"/>
          </w:tcPr>
          <w:p w:rsidR="00B12B08" w:rsidRPr="00B12B08" w:rsidRDefault="00B12B08" w:rsidP="005401D2">
            <w:pPr>
              <w:rPr>
                <w:sz w:val="18"/>
                <w:szCs w:val="18"/>
                <w:lang w:val="en-US"/>
              </w:rPr>
            </w:pPr>
            <w:r>
              <w:rPr>
                <w:sz w:val="18"/>
                <w:szCs w:val="18"/>
                <w:lang w:eastAsia="zh-CN"/>
              </w:rPr>
              <w:t>Technical specifications</w:t>
            </w:r>
            <w:r w:rsidR="00862ABA">
              <w:rPr>
                <w:sz w:val="18"/>
                <w:szCs w:val="18"/>
                <w:lang w:eastAsia="zh-CN"/>
              </w:rPr>
              <w:t xml:space="preserve"> </w:t>
            </w:r>
            <w:r>
              <w:rPr>
                <w:sz w:val="18"/>
                <w:szCs w:val="18"/>
                <w:lang w:eastAsia="zh-CN"/>
              </w:rPr>
              <w:t xml:space="preserve">for centralized incineration disposal engineering </w:t>
            </w:r>
            <w:r w:rsidR="005401D2" w:rsidDel="00862ABA">
              <w:rPr>
                <w:sz w:val="18"/>
                <w:szCs w:val="18"/>
                <w:lang w:eastAsia="zh-CN"/>
              </w:rPr>
              <w:t xml:space="preserve"> </w:t>
            </w:r>
            <w:r>
              <w:rPr>
                <w:sz w:val="18"/>
                <w:szCs w:val="18"/>
                <w:lang w:eastAsia="zh-CN"/>
              </w:rPr>
              <w:t>(HJ 2037)</w:t>
            </w:r>
          </w:p>
        </w:tc>
        <w:tc>
          <w:tcPr>
            <w:tcW w:w="4308" w:type="dxa"/>
          </w:tcPr>
          <w:p w:rsidR="00B12B08" w:rsidRPr="001D090E" w:rsidRDefault="00B12B08" w:rsidP="00890CDD">
            <w:pPr>
              <w:numPr>
                <w:ilvl w:val="0"/>
                <w:numId w:val="10"/>
              </w:numPr>
              <w:tabs>
                <w:tab w:val="clear" w:pos="360"/>
                <w:tab w:val="clear" w:pos="1247"/>
                <w:tab w:val="clear" w:pos="1814"/>
                <w:tab w:val="clear" w:pos="2381"/>
                <w:tab w:val="clear" w:pos="2948"/>
                <w:tab w:val="clear" w:pos="3515"/>
              </w:tabs>
              <w:spacing w:after="120"/>
              <w:rPr>
                <w:sz w:val="18"/>
                <w:szCs w:val="18"/>
              </w:rPr>
            </w:pPr>
            <w:r>
              <w:rPr>
                <w:sz w:val="18"/>
                <w:szCs w:val="18"/>
                <w:lang w:val="en-US"/>
              </w:rPr>
              <w:t>Procedures for incineration of materials containing PCBs</w:t>
            </w:r>
          </w:p>
        </w:tc>
      </w:tr>
      <w:tr w:rsidR="00B12B08" w:rsidRPr="001D090E" w:rsidTr="0088229A">
        <w:trPr>
          <w:trHeight w:val="782"/>
        </w:trPr>
        <w:tc>
          <w:tcPr>
            <w:tcW w:w="1329" w:type="dxa"/>
          </w:tcPr>
          <w:p w:rsidR="00193CC2" w:rsidRDefault="00193CC2" w:rsidP="0088229A">
            <w:pPr>
              <w:rPr>
                <w:sz w:val="18"/>
                <w:szCs w:val="18"/>
              </w:rPr>
            </w:pPr>
            <w:r>
              <w:rPr>
                <w:sz w:val="18"/>
                <w:szCs w:val="18"/>
              </w:rPr>
              <w:t>China</w:t>
            </w:r>
          </w:p>
        </w:tc>
        <w:tc>
          <w:tcPr>
            <w:tcW w:w="3939" w:type="dxa"/>
          </w:tcPr>
          <w:p w:rsidR="00B12B08" w:rsidRDefault="00193CC2" w:rsidP="0088229A">
            <w:pPr>
              <w:rPr>
                <w:sz w:val="18"/>
                <w:szCs w:val="18"/>
                <w:lang w:eastAsia="zh-CN"/>
              </w:rPr>
            </w:pPr>
            <w:r>
              <w:rPr>
                <w:sz w:val="18"/>
                <w:szCs w:val="18"/>
                <w:lang w:eastAsia="zh-CN"/>
              </w:rPr>
              <w:t xml:space="preserve">Technical specification for co-processing of </w:t>
            </w:r>
            <w:r w:rsidR="00862ABA">
              <w:rPr>
                <w:sz w:val="18"/>
                <w:szCs w:val="18"/>
                <w:lang w:eastAsia="zh-CN"/>
              </w:rPr>
              <w:t>s</w:t>
            </w:r>
            <w:r>
              <w:rPr>
                <w:sz w:val="18"/>
                <w:szCs w:val="18"/>
                <w:lang w:eastAsia="zh-CN"/>
              </w:rPr>
              <w:t>olid wastes in cement kiln</w:t>
            </w:r>
            <w:r w:rsidR="00862ABA">
              <w:rPr>
                <w:sz w:val="18"/>
                <w:szCs w:val="18"/>
                <w:lang w:eastAsia="zh-CN"/>
              </w:rPr>
              <w:t>s</w:t>
            </w:r>
            <w:r>
              <w:rPr>
                <w:sz w:val="18"/>
                <w:szCs w:val="18"/>
                <w:lang w:eastAsia="zh-CN"/>
              </w:rPr>
              <w:t xml:space="preserve"> (GB 30760)</w:t>
            </w:r>
          </w:p>
        </w:tc>
        <w:tc>
          <w:tcPr>
            <w:tcW w:w="4308" w:type="dxa"/>
          </w:tcPr>
          <w:p w:rsidR="00193CC2" w:rsidRDefault="00193CC2" w:rsidP="00193CC2">
            <w:pPr>
              <w:numPr>
                <w:ilvl w:val="0"/>
                <w:numId w:val="10"/>
              </w:numPr>
              <w:tabs>
                <w:tab w:val="left" w:pos="720"/>
              </w:tabs>
              <w:spacing w:after="120"/>
              <w:rPr>
                <w:sz w:val="18"/>
                <w:szCs w:val="18"/>
                <w:lang w:val="en-US"/>
              </w:rPr>
            </w:pPr>
            <w:r>
              <w:rPr>
                <w:sz w:val="18"/>
                <w:szCs w:val="18"/>
                <w:lang w:val="en-US"/>
              </w:rPr>
              <w:t xml:space="preserve">Procedures for </w:t>
            </w:r>
            <w:r>
              <w:rPr>
                <w:sz w:val="18"/>
                <w:szCs w:val="18"/>
                <w:lang w:eastAsia="zh-CN"/>
              </w:rPr>
              <w:t>co-processing of POPs wastes in cement kiln</w:t>
            </w:r>
            <w:r w:rsidR="00862ABA">
              <w:rPr>
                <w:sz w:val="18"/>
                <w:szCs w:val="18"/>
                <w:lang w:eastAsia="zh-CN"/>
              </w:rPr>
              <w:t>s</w:t>
            </w:r>
          </w:p>
          <w:p w:rsidR="00B12B08" w:rsidRDefault="00193CC2" w:rsidP="00862ABA">
            <w:pPr>
              <w:numPr>
                <w:ilvl w:val="0"/>
                <w:numId w:val="10"/>
              </w:numPr>
              <w:tabs>
                <w:tab w:val="clear" w:pos="1247"/>
                <w:tab w:val="clear" w:pos="1814"/>
                <w:tab w:val="clear" w:pos="2381"/>
                <w:tab w:val="clear" w:pos="2948"/>
                <w:tab w:val="clear" w:pos="3515"/>
              </w:tabs>
              <w:spacing w:after="120"/>
              <w:rPr>
                <w:sz w:val="18"/>
                <w:szCs w:val="18"/>
                <w:lang w:val="en-US"/>
              </w:rPr>
            </w:pPr>
            <w:r>
              <w:rPr>
                <w:sz w:val="18"/>
                <w:szCs w:val="18"/>
                <w:lang w:val="en-US" w:eastAsia="zh-CN"/>
              </w:rPr>
              <w:t xml:space="preserve">Limitation for dioxin in cement produced by </w:t>
            </w:r>
            <w:r w:rsidR="00862ABA">
              <w:rPr>
                <w:sz w:val="18"/>
                <w:szCs w:val="18"/>
                <w:lang w:val="en-US" w:eastAsia="zh-CN"/>
              </w:rPr>
              <w:t xml:space="preserve">the </w:t>
            </w:r>
            <w:r>
              <w:rPr>
                <w:sz w:val="18"/>
                <w:szCs w:val="18"/>
                <w:lang w:val="en-US" w:eastAsia="zh-CN"/>
              </w:rPr>
              <w:t>co-processing of solid waste</w:t>
            </w:r>
          </w:p>
        </w:tc>
      </w:tr>
      <w:tr w:rsidR="00193CC2" w:rsidRPr="001D090E" w:rsidTr="0088229A">
        <w:trPr>
          <w:trHeight w:val="782"/>
        </w:trPr>
        <w:tc>
          <w:tcPr>
            <w:tcW w:w="1329" w:type="dxa"/>
          </w:tcPr>
          <w:p w:rsidR="00193CC2" w:rsidRDefault="00193CC2" w:rsidP="0088229A">
            <w:pPr>
              <w:rPr>
                <w:sz w:val="18"/>
                <w:szCs w:val="18"/>
              </w:rPr>
            </w:pPr>
            <w:r>
              <w:rPr>
                <w:sz w:val="18"/>
                <w:szCs w:val="18"/>
              </w:rPr>
              <w:t>China</w:t>
            </w:r>
          </w:p>
        </w:tc>
        <w:tc>
          <w:tcPr>
            <w:tcW w:w="3939" w:type="dxa"/>
          </w:tcPr>
          <w:p w:rsidR="00193CC2" w:rsidRDefault="00193CC2" w:rsidP="0088229A">
            <w:pPr>
              <w:rPr>
                <w:sz w:val="18"/>
                <w:szCs w:val="18"/>
                <w:lang w:eastAsia="zh-CN"/>
              </w:rPr>
            </w:pPr>
            <w:r>
              <w:rPr>
                <w:sz w:val="18"/>
                <w:szCs w:val="18"/>
                <w:lang w:eastAsia="zh-CN"/>
              </w:rPr>
              <w:t>Guidelines for the pollution control of dioxins</w:t>
            </w:r>
          </w:p>
        </w:tc>
        <w:tc>
          <w:tcPr>
            <w:tcW w:w="4308" w:type="dxa"/>
          </w:tcPr>
          <w:p w:rsidR="00193CC2" w:rsidRDefault="00193CC2" w:rsidP="00B12B08">
            <w:pPr>
              <w:numPr>
                <w:ilvl w:val="0"/>
                <w:numId w:val="10"/>
              </w:numPr>
              <w:tabs>
                <w:tab w:val="left" w:pos="720"/>
              </w:tabs>
              <w:spacing w:after="120"/>
              <w:rPr>
                <w:sz w:val="18"/>
                <w:szCs w:val="18"/>
                <w:lang w:val="en-US"/>
              </w:rPr>
            </w:pPr>
            <w:r>
              <w:rPr>
                <w:sz w:val="18"/>
                <w:szCs w:val="18"/>
                <w:lang w:val="en-US" w:eastAsia="zh-CN"/>
              </w:rPr>
              <w:t>Pollution control of dioxin</w:t>
            </w:r>
            <w:r w:rsidR="00862ABA">
              <w:rPr>
                <w:sz w:val="18"/>
                <w:szCs w:val="18"/>
                <w:lang w:val="en-US" w:eastAsia="zh-CN"/>
              </w:rPr>
              <w:t>s</w:t>
            </w:r>
            <w:r>
              <w:rPr>
                <w:sz w:val="18"/>
                <w:szCs w:val="18"/>
                <w:lang w:val="en-US" w:eastAsia="zh-CN"/>
              </w:rPr>
              <w:t xml:space="preserve"> on 4 key-industries</w:t>
            </w:r>
          </w:p>
        </w:tc>
      </w:tr>
      <w:tr w:rsidR="00193CC2" w:rsidRPr="001D090E" w:rsidTr="0088229A">
        <w:trPr>
          <w:trHeight w:val="782"/>
        </w:trPr>
        <w:tc>
          <w:tcPr>
            <w:tcW w:w="1329" w:type="dxa"/>
          </w:tcPr>
          <w:p w:rsidR="00193CC2" w:rsidRDefault="00193CC2" w:rsidP="0088229A">
            <w:pPr>
              <w:rPr>
                <w:sz w:val="18"/>
                <w:szCs w:val="18"/>
              </w:rPr>
            </w:pPr>
            <w:r>
              <w:rPr>
                <w:sz w:val="18"/>
                <w:szCs w:val="18"/>
              </w:rPr>
              <w:t>China</w:t>
            </w:r>
          </w:p>
        </w:tc>
        <w:tc>
          <w:tcPr>
            <w:tcW w:w="3939" w:type="dxa"/>
          </w:tcPr>
          <w:p w:rsidR="00193CC2" w:rsidRDefault="00193CC2" w:rsidP="00193CC2">
            <w:pPr>
              <w:rPr>
                <w:sz w:val="18"/>
                <w:szCs w:val="18"/>
                <w:lang w:eastAsia="zh-CN"/>
              </w:rPr>
            </w:pPr>
            <w:r>
              <w:rPr>
                <w:sz w:val="18"/>
                <w:szCs w:val="18"/>
                <w:lang w:eastAsia="zh-CN"/>
              </w:rPr>
              <w:t xml:space="preserve">Standard for pollution control </w:t>
            </w:r>
            <w:r w:rsidR="00926AC7">
              <w:rPr>
                <w:sz w:val="18"/>
                <w:szCs w:val="18"/>
                <w:lang w:eastAsia="zh-CN"/>
              </w:rPr>
              <w:t>on</w:t>
            </w:r>
            <w:r>
              <w:rPr>
                <w:sz w:val="18"/>
                <w:szCs w:val="18"/>
                <w:lang w:eastAsia="zh-CN"/>
              </w:rPr>
              <w:t>:</w:t>
            </w:r>
          </w:p>
          <w:p w:rsidR="00515F20" w:rsidRDefault="00193CC2" w:rsidP="00CF284D">
            <w:pPr>
              <w:pStyle w:val="ColorfulList-Accent11"/>
              <w:numPr>
                <w:ilvl w:val="0"/>
                <w:numId w:val="40"/>
              </w:numPr>
              <w:tabs>
                <w:tab w:val="clear" w:pos="1247"/>
                <w:tab w:val="left" w:pos="737"/>
                <w:tab w:val="left" w:pos="798"/>
              </w:tabs>
              <w:rPr>
                <w:sz w:val="18"/>
                <w:szCs w:val="18"/>
                <w:lang w:eastAsia="zh-CN"/>
              </w:rPr>
            </w:pPr>
            <w:r>
              <w:rPr>
                <w:sz w:val="18"/>
                <w:szCs w:val="18"/>
                <w:lang w:eastAsia="zh-CN"/>
              </w:rPr>
              <w:t>municipal solid wastes incineration (GB</w:t>
            </w:r>
            <w:r w:rsidR="00CF284D">
              <w:rPr>
                <w:sz w:val="18"/>
                <w:szCs w:val="18"/>
                <w:lang w:eastAsia="zh-CN"/>
              </w:rPr>
              <w:t> </w:t>
            </w:r>
            <w:r>
              <w:rPr>
                <w:sz w:val="18"/>
                <w:szCs w:val="18"/>
                <w:lang w:eastAsia="zh-CN"/>
              </w:rPr>
              <w:t>18485)</w:t>
            </w:r>
          </w:p>
          <w:p w:rsidR="00515F20" w:rsidRDefault="00193CC2" w:rsidP="00CF284D">
            <w:pPr>
              <w:pStyle w:val="ColorfulList-Accent11"/>
              <w:numPr>
                <w:ilvl w:val="0"/>
                <w:numId w:val="40"/>
              </w:numPr>
              <w:tabs>
                <w:tab w:val="clear" w:pos="1247"/>
                <w:tab w:val="left" w:pos="737"/>
                <w:tab w:val="left" w:pos="798"/>
              </w:tabs>
              <w:rPr>
                <w:sz w:val="18"/>
                <w:szCs w:val="18"/>
                <w:lang w:eastAsia="zh-CN"/>
              </w:rPr>
            </w:pPr>
            <w:r>
              <w:rPr>
                <w:sz w:val="18"/>
                <w:szCs w:val="18"/>
                <w:lang w:eastAsia="zh-CN"/>
              </w:rPr>
              <w:t>hazardous wastes incineration (GB</w:t>
            </w:r>
            <w:r w:rsidR="00CF284D">
              <w:rPr>
                <w:sz w:val="18"/>
                <w:szCs w:val="18"/>
                <w:lang w:eastAsia="zh-CN"/>
              </w:rPr>
              <w:t> </w:t>
            </w:r>
            <w:r>
              <w:rPr>
                <w:sz w:val="18"/>
                <w:szCs w:val="18"/>
                <w:lang w:eastAsia="zh-CN"/>
              </w:rPr>
              <w:t>18484)</w:t>
            </w:r>
          </w:p>
          <w:p w:rsidR="00515F20" w:rsidRDefault="00193CC2" w:rsidP="00CF284D">
            <w:pPr>
              <w:pStyle w:val="ColorfulList-Accent11"/>
              <w:numPr>
                <w:ilvl w:val="0"/>
                <w:numId w:val="40"/>
              </w:numPr>
              <w:tabs>
                <w:tab w:val="clear" w:pos="1247"/>
                <w:tab w:val="left" w:pos="737"/>
                <w:tab w:val="left" w:pos="798"/>
              </w:tabs>
              <w:rPr>
                <w:sz w:val="18"/>
                <w:szCs w:val="18"/>
                <w:lang w:eastAsia="zh-CN"/>
              </w:rPr>
            </w:pPr>
            <w:r>
              <w:rPr>
                <w:sz w:val="18"/>
                <w:szCs w:val="18"/>
                <w:lang w:eastAsia="zh-CN"/>
              </w:rPr>
              <w:t xml:space="preserve">co-processing of solid wastes in </w:t>
            </w:r>
            <w:r w:rsidR="00862ABA">
              <w:rPr>
                <w:sz w:val="18"/>
                <w:szCs w:val="18"/>
                <w:lang w:eastAsia="zh-CN"/>
              </w:rPr>
              <w:t>c</w:t>
            </w:r>
            <w:r>
              <w:rPr>
                <w:sz w:val="18"/>
                <w:szCs w:val="18"/>
                <w:lang w:eastAsia="zh-CN"/>
              </w:rPr>
              <w:t>ement kiln</w:t>
            </w:r>
            <w:r w:rsidR="00862ABA">
              <w:rPr>
                <w:sz w:val="18"/>
                <w:szCs w:val="18"/>
                <w:lang w:eastAsia="zh-CN"/>
              </w:rPr>
              <w:t>s</w:t>
            </w:r>
            <w:r>
              <w:rPr>
                <w:sz w:val="18"/>
                <w:szCs w:val="18"/>
                <w:lang w:eastAsia="zh-CN"/>
              </w:rPr>
              <w:t xml:space="preserve"> (GB 30485)</w:t>
            </w:r>
          </w:p>
          <w:p w:rsidR="00515F20" w:rsidRDefault="00862ABA" w:rsidP="00CF284D">
            <w:pPr>
              <w:pStyle w:val="ColorfulList-Accent11"/>
              <w:numPr>
                <w:ilvl w:val="0"/>
                <w:numId w:val="40"/>
              </w:numPr>
              <w:tabs>
                <w:tab w:val="clear" w:pos="1247"/>
                <w:tab w:val="left" w:pos="737"/>
                <w:tab w:val="left" w:pos="798"/>
              </w:tabs>
              <w:rPr>
                <w:sz w:val="18"/>
                <w:szCs w:val="18"/>
                <w:lang w:eastAsia="zh-CN"/>
              </w:rPr>
            </w:pPr>
            <w:r>
              <w:rPr>
                <w:sz w:val="18"/>
                <w:szCs w:val="18"/>
                <w:lang w:eastAsia="zh-CN"/>
              </w:rPr>
              <w:t xml:space="preserve">the </w:t>
            </w:r>
            <w:r w:rsidR="00193CC2">
              <w:rPr>
                <w:sz w:val="18"/>
                <w:szCs w:val="18"/>
                <w:lang w:eastAsia="zh-CN"/>
              </w:rPr>
              <w:t>steel smelt industry (GB 28664)</w:t>
            </w:r>
          </w:p>
          <w:p w:rsidR="00515F20" w:rsidRDefault="00193CC2" w:rsidP="00CF284D">
            <w:pPr>
              <w:pStyle w:val="ColorfulList-Accent11"/>
              <w:numPr>
                <w:ilvl w:val="0"/>
                <w:numId w:val="40"/>
              </w:numPr>
              <w:tabs>
                <w:tab w:val="clear" w:pos="1247"/>
                <w:tab w:val="left" w:pos="737"/>
                <w:tab w:val="left" w:pos="798"/>
              </w:tabs>
              <w:rPr>
                <w:sz w:val="18"/>
                <w:szCs w:val="18"/>
                <w:lang w:eastAsia="zh-CN"/>
              </w:rPr>
            </w:pPr>
            <w:r w:rsidRPr="001F48E1">
              <w:rPr>
                <w:sz w:val="18"/>
                <w:szCs w:val="18"/>
                <w:lang w:eastAsia="zh-CN"/>
              </w:rPr>
              <w:t xml:space="preserve">sintering and pelletizing of iron and </w:t>
            </w:r>
            <w:r w:rsidR="00862ABA">
              <w:rPr>
                <w:sz w:val="18"/>
                <w:szCs w:val="18"/>
                <w:lang w:eastAsia="zh-CN"/>
              </w:rPr>
              <w:t xml:space="preserve">the </w:t>
            </w:r>
            <w:r w:rsidRPr="001F48E1">
              <w:rPr>
                <w:sz w:val="18"/>
                <w:szCs w:val="18"/>
                <w:lang w:eastAsia="zh-CN"/>
              </w:rPr>
              <w:t>steel industry (GB 28662)</w:t>
            </w:r>
          </w:p>
        </w:tc>
        <w:tc>
          <w:tcPr>
            <w:tcW w:w="4308" w:type="dxa"/>
          </w:tcPr>
          <w:p w:rsidR="00193CC2" w:rsidRDefault="00193CC2" w:rsidP="00B12B08">
            <w:pPr>
              <w:numPr>
                <w:ilvl w:val="0"/>
                <w:numId w:val="10"/>
              </w:numPr>
              <w:tabs>
                <w:tab w:val="left" w:pos="720"/>
              </w:tabs>
              <w:spacing w:after="120"/>
              <w:rPr>
                <w:sz w:val="18"/>
                <w:szCs w:val="18"/>
                <w:lang w:val="en-US"/>
              </w:rPr>
            </w:pPr>
            <w:r>
              <w:rPr>
                <w:sz w:val="18"/>
                <w:szCs w:val="18"/>
                <w:lang w:val="en-US"/>
              </w:rPr>
              <w:t xml:space="preserve">Contains standards for releases of PCDDs and PCDFs </w:t>
            </w:r>
            <w:r w:rsidRPr="001B1CE1">
              <w:rPr>
                <w:sz w:val="18"/>
                <w:szCs w:val="18"/>
                <w:lang w:val="en-US"/>
              </w:rPr>
              <w:t>in</w:t>
            </w:r>
            <w:r>
              <w:rPr>
                <w:sz w:val="18"/>
                <w:szCs w:val="18"/>
                <w:lang w:val="en-US"/>
              </w:rPr>
              <w:t xml:space="preserve"> air emissions</w:t>
            </w:r>
          </w:p>
        </w:tc>
      </w:tr>
      <w:tr w:rsidR="00B12B08" w:rsidRPr="001D090E" w:rsidTr="0088229A">
        <w:tc>
          <w:tcPr>
            <w:tcW w:w="1329" w:type="dxa"/>
          </w:tcPr>
          <w:p w:rsidR="00B12B08" w:rsidRPr="001D090E" w:rsidRDefault="00B12B08" w:rsidP="009320A2">
            <w:pPr>
              <w:rPr>
                <w:sz w:val="18"/>
                <w:szCs w:val="18"/>
              </w:rPr>
            </w:pPr>
            <w:r w:rsidRPr="001D090E">
              <w:rPr>
                <w:sz w:val="18"/>
                <w:szCs w:val="18"/>
              </w:rPr>
              <w:t xml:space="preserve">European </w:t>
            </w:r>
            <w:r>
              <w:rPr>
                <w:sz w:val="18"/>
                <w:szCs w:val="18"/>
              </w:rPr>
              <w:t>Union</w:t>
            </w:r>
          </w:p>
        </w:tc>
        <w:tc>
          <w:tcPr>
            <w:tcW w:w="3939" w:type="dxa"/>
          </w:tcPr>
          <w:p w:rsidR="00B12B08" w:rsidRPr="001D090E" w:rsidRDefault="00B12B08" w:rsidP="009320A2">
            <w:pPr>
              <w:rPr>
                <w:sz w:val="18"/>
                <w:szCs w:val="18"/>
              </w:rPr>
            </w:pPr>
            <w:r w:rsidRPr="001D090E">
              <w:rPr>
                <w:sz w:val="18"/>
                <w:szCs w:val="18"/>
              </w:rPr>
              <w:t>Regulation (EC) No 850/2004 of the European Parliament and of the Council of 29 April 2004 on persistent organic pollutants and amending Directive 79/117/EEC</w:t>
            </w:r>
            <w:r>
              <w:rPr>
                <w:sz w:val="18"/>
                <w:szCs w:val="18"/>
              </w:rPr>
              <w:t xml:space="preserve"> (last</w:t>
            </w:r>
            <w:r w:rsidRPr="001D090E">
              <w:rPr>
                <w:sz w:val="18"/>
                <w:szCs w:val="18"/>
              </w:rPr>
              <w:t xml:space="preserve"> amend</w:t>
            </w:r>
            <w:r>
              <w:rPr>
                <w:sz w:val="18"/>
                <w:szCs w:val="18"/>
              </w:rPr>
              <w:t>ment: Commission Regulation (EU) No 1342/2014)</w:t>
            </w:r>
          </w:p>
        </w:tc>
        <w:tc>
          <w:tcPr>
            <w:tcW w:w="4308" w:type="dxa"/>
          </w:tcPr>
          <w:p w:rsidR="00B12B08" w:rsidRPr="001D090E" w:rsidRDefault="00B12B08" w:rsidP="00890CDD">
            <w:pPr>
              <w:numPr>
                <w:ilvl w:val="0"/>
                <w:numId w:val="11"/>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Article 7 contains provisions regarding the management of wastes containing, consisting of or contaminated with POPs. </w:t>
            </w:r>
          </w:p>
        </w:tc>
      </w:tr>
      <w:tr w:rsidR="00B12B08" w:rsidRPr="001D090E" w:rsidTr="0088229A">
        <w:tc>
          <w:tcPr>
            <w:tcW w:w="1329" w:type="dxa"/>
          </w:tcPr>
          <w:p w:rsidR="00B12B08" w:rsidRPr="001D090E" w:rsidRDefault="00B12B08" w:rsidP="009320A2">
            <w:pPr>
              <w:rPr>
                <w:sz w:val="18"/>
                <w:szCs w:val="18"/>
              </w:rPr>
            </w:pPr>
            <w:r w:rsidRPr="001D090E">
              <w:rPr>
                <w:sz w:val="18"/>
                <w:szCs w:val="18"/>
              </w:rPr>
              <w:t xml:space="preserve">European </w:t>
            </w:r>
            <w:r>
              <w:rPr>
                <w:sz w:val="18"/>
                <w:szCs w:val="18"/>
              </w:rPr>
              <w:t>Union</w:t>
            </w:r>
          </w:p>
        </w:tc>
        <w:tc>
          <w:tcPr>
            <w:tcW w:w="3939" w:type="dxa"/>
          </w:tcPr>
          <w:p w:rsidR="00B12B08" w:rsidRPr="001D090E" w:rsidRDefault="00B12B08">
            <w:pPr>
              <w:rPr>
                <w:sz w:val="18"/>
                <w:szCs w:val="18"/>
              </w:rPr>
            </w:pPr>
            <w:r w:rsidRPr="001D090E">
              <w:rPr>
                <w:sz w:val="18"/>
                <w:szCs w:val="18"/>
              </w:rPr>
              <w:t xml:space="preserve">Council Directive 96/59/EC of 16 September 1996 on the disposal of polychlorinated biphenyls and polychlorinated </w:t>
            </w:r>
            <w:proofErr w:type="spellStart"/>
            <w:r w:rsidRPr="001D090E">
              <w:rPr>
                <w:sz w:val="18"/>
                <w:szCs w:val="18"/>
              </w:rPr>
              <w:t>terphenyls</w:t>
            </w:r>
            <w:proofErr w:type="spellEnd"/>
            <w:r w:rsidRPr="001D090E">
              <w:rPr>
                <w:sz w:val="18"/>
                <w:szCs w:val="18"/>
              </w:rPr>
              <w:t xml:space="preserve"> (PCB/PCT)</w:t>
            </w:r>
          </w:p>
        </w:tc>
        <w:tc>
          <w:tcPr>
            <w:tcW w:w="4308" w:type="dxa"/>
          </w:tcPr>
          <w:p w:rsidR="00B12B08" w:rsidRPr="001D090E" w:rsidRDefault="00B12B08" w:rsidP="003F01CE">
            <w:pPr>
              <w:numPr>
                <w:ilvl w:val="0"/>
                <w:numId w:val="11"/>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w:t>
            </w:r>
            <w:r w:rsidR="003F01CE">
              <w:rPr>
                <w:sz w:val="18"/>
                <w:szCs w:val="18"/>
              </w:rPr>
              <w:t xml:space="preserve"> rules </w:t>
            </w:r>
            <w:r w:rsidRPr="001D090E">
              <w:rPr>
                <w:sz w:val="18"/>
                <w:szCs w:val="18"/>
              </w:rPr>
              <w:t xml:space="preserve">regarding the disposal of PCBs and PCTs, </w:t>
            </w:r>
            <w:r w:rsidR="00405DFE" w:rsidRPr="00405DFE">
              <w:rPr>
                <w:i/>
                <w:sz w:val="18"/>
                <w:szCs w:val="18"/>
              </w:rPr>
              <w:t>inter alia</w:t>
            </w:r>
            <w:r w:rsidRPr="001D090E">
              <w:rPr>
                <w:sz w:val="18"/>
                <w:szCs w:val="18"/>
              </w:rPr>
              <w:t xml:space="preserve"> on the decontamination and/or disposal of equipment and the PCBs therein.</w:t>
            </w:r>
          </w:p>
        </w:tc>
      </w:tr>
      <w:tr w:rsidR="00B12B08" w:rsidRPr="001D090E" w:rsidTr="0088229A">
        <w:tc>
          <w:tcPr>
            <w:tcW w:w="1329" w:type="dxa"/>
          </w:tcPr>
          <w:p w:rsidR="00B12B08" w:rsidRPr="001D090E" w:rsidRDefault="00B12B08" w:rsidP="009320A2">
            <w:pPr>
              <w:rPr>
                <w:sz w:val="18"/>
                <w:szCs w:val="18"/>
              </w:rPr>
            </w:pPr>
            <w:r w:rsidRPr="001D090E">
              <w:rPr>
                <w:sz w:val="18"/>
                <w:szCs w:val="18"/>
              </w:rPr>
              <w:t xml:space="preserve">European </w:t>
            </w:r>
            <w:r>
              <w:rPr>
                <w:sz w:val="18"/>
                <w:szCs w:val="18"/>
              </w:rPr>
              <w:t>Union</w:t>
            </w:r>
          </w:p>
        </w:tc>
        <w:tc>
          <w:tcPr>
            <w:tcW w:w="3939" w:type="dxa"/>
          </w:tcPr>
          <w:p w:rsidR="00B12B08" w:rsidRPr="001D090E" w:rsidRDefault="00862ABA" w:rsidP="00862ABA">
            <w:pPr>
              <w:rPr>
                <w:sz w:val="18"/>
                <w:szCs w:val="18"/>
              </w:rPr>
            </w:pPr>
            <w:r w:rsidRPr="001D090E">
              <w:rPr>
                <w:sz w:val="18"/>
                <w:szCs w:val="18"/>
              </w:rPr>
              <w:t xml:space="preserve">Council Directive </w:t>
            </w:r>
            <w:r w:rsidR="00B12B08" w:rsidRPr="001D090E">
              <w:rPr>
                <w:sz w:val="18"/>
                <w:szCs w:val="18"/>
              </w:rPr>
              <w:t>88/347/EEC of June 16 1988 amending Annex II to Directive 86/280/EEC on limit values and quality objectives for discharges of certain dangerous substances included in List I of the Annex to Directive 76/464/EEC</w:t>
            </w:r>
          </w:p>
        </w:tc>
        <w:tc>
          <w:tcPr>
            <w:tcW w:w="4308" w:type="dxa"/>
          </w:tcPr>
          <w:p w:rsidR="00B12B08" w:rsidRPr="001D090E" w:rsidRDefault="00B12B08" w:rsidP="00B029E2">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Annex II contains emission limit values for discharge</w:t>
            </w:r>
            <w:r w:rsidR="00862ABA">
              <w:rPr>
                <w:sz w:val="18"/>
                <w:szCs w:val="18"/>
              </w:rPr>
              <w:t>s</w:t>
            </w:r>
            <w:r w:rsidRPr="001D090E">
              <w:rPr>
                <w:sz w:val="18"/>
                <w:szCs w:val="18"/>
              </w:rPr>
              <w:t xml:space="preserve"> of </w:t>
            </w:r>
            <w:proofErr w:type="spellStart"/>
            <w:r w:rsidRPr="001D090E">
              <w:rPr>
                <w:sz w:val="18"/>
                <w:szCs w:val="18"/>
              </w:rPr>
              <w:t>aldrin</w:t>
            </w:r>
            <w:proofErr w:type="spellEnd"/>
            <w:r w:rsidRPr="001D090E">
              <w:rPr>
                <w:sz w:val="18"/>
                <w:szCs w:val="18"/>
              </w:rPr>
              <w:t xml:space="preserve">, </w:t>
            </w:r>
            <w:proofErr w:type="spellStart"/>
            <w:r w:rsidRPr="001D090E">
              <w:rPr>
                <w:sz w:val="18"/>
                <w:szCs w:val="18"/>
              </w:rPr>
              <w:t>dieldrin</w:t>
            </w:r>
            <w:proofErr w:type="spellEnd"/>
            <w:r w:rsidRPr="001D090E">
              <w:rPr>
                <w:sz w:val="18"/>
                <w:szCs w:val="18"/>
              </w:rPr>
              <w:t xml:space="preserve">, </w:t>
            </w:r>
            <w:proofErr w:type="spellStart"/>
            <w:r w:rsidRPr="001D090E">
              <w:rPr>
                <w:sz w:val="18"/>
                <w:szCs w:val="18"/>
              </w:rPr>
              <w:t>endrin</w:t>
            </w:r>
            <w:proofErr w:type="spellEnd"/>
            <w:r w:rsidRPr="001D090E">
              <w:rPr>
                <w:sz w:val="18"/>
                <w:szCs w:val="18"/>
              </w:rPr>
              <w:t xml:space="preserve"> and HCB</w:t>
            </w:r>
            <w:r w:rsidRPr="001D090E">
              <w:rPr>
                <w:sz w:val="18"/>
                <w:szCs w:val="18"/>
              </w:rPr>
              <w:noBreakHyphen/>
            </w:r>
            <w:proofErr w:type="spellStart"/>
            <w:r w:rsidRPr="001D090E">
              <w:rPr>
                <w:sz w:val="18"/>
                <w:szCs w:val="18"/>
              </w:rPr>
              <w:t>contaminated</w:t>
            </w:r>
            <w:proofErr w:type="spellEnd"/>
            <w:r w:rsidRPr="001D090E">
              <w:rPr>
                <w:sz w:val="18"/>
                <w:szCs w:val="18"/>
              </w:rPr>
              <w:t xml:space="preserve"> wastewater </w:t>
            </w:r>
            <w:r w:rsidR="00405DFE" w:rsidRPr="00B029E2">
              <w:rPr>
                <w:sz w:val="18"/>
                <w:szCs w:val="18"/>
              </w:rPr>
              <w:t xml:space="preserve">into </w:t>
            </w:r>
            <w:r w:rsidR="008A618C" w:rsidRPr="00B029E2">
              <w:rPr>
                <w:sz w:val="18"/>
                <w:szCs w:val="18"/>
              </w:rPr>
              <w:t xml:space="preserve">the </w:t>
            </w:r>
            <w:r w:rsidR="00405DFE" w:rsidRPr="00B029E2">
              <w:rPr>
                <w:sz w:val="18"/>
                <w:szCs w:val="18"/>
              </w:rPr>
              <w:t>waters refer</w:t>
            </w:r>
            <w:r w:rsidR="003C413D" w:rsidRPr="00B029E2">
              <w:rPr>
                <w:sz w:val="18"/>
                <w:szCs w:val="18"/>
              </w:rPr>
              <w:t>r</w:t>
            </w:r>
            <w:r w:rsidR="00405DFE" w:rsidRPr="00B029E2">
              <w:rPr>
                <w:sz w:val="18"/>
                <w:szCs w:val="18"/>
              </w:rPr>
              <w:t>ed to in Article 1, paragraph 1</w:t>
            </w:r>
          </w:p>
        </w:tc>
      </w:tr>
      <w:tr w:rsidR="00B12B08" w:rsidRPr="001D090E" w:rsidTr="0088229A">
        <w:tc>
          <w:tcPr>
            <w:tcW w:w="1329" w:type="dxa"/>
          </w:tcPr>
          <w:p w:rsidR="00B12B08" w:rsidRPr="001D090E" w:rsidRDefault="00B12B08" w:rsidP="009320A2">
            <w:pPr>
              <w:rPr>
                <w:sz w:val="18"/>
                <w:szCs w:val="18"/>
              </w:rPr>
            </w:pPr>
            <w:r w:rsidRPr="001D090E">
              <w:rPr>
                <w:sz w:val="18"/>
                <w:szCs w:val="18"/>
              </w:rPr>
              <w:t xml:space="preserve">European </w:t>
            </w:r>
            <w:r>
              <w:rPr>
                <w:sz w:val="18"/>
                <w:szCs w:val="18"/>
              </w:rPr>
              <w:t>Union</w:t>
            </w:r>
          </w:p>
        </w:tc>
        <w:tc>
          <w:tcPr>
            <w:tcW w:w="3939" w:type="dxa"/>
          </w:tcPr>
          <w:p w:rsidR="00B12B08" w:rsidRPr="001D090E" w:rsidRDefault="00B12B08">
            <w:pPr>
              <w:rPr>
                <w:sz w:val="18"/>
                <w:szCs w:val="18"/>
              </w:rPr>
            </w:pPr>
            <w:r w:rsidRPr="001D090E">
              <w:rPr>
                <w:sz w:val="18"/>
                <w:szCs w:val="18"/>
              </w:rPr>
              <w:t xml:space="preserve">Directive 2010/75/EU </w:t>
            </w:r>
            <w:r w:rsidR="008F0197">
              <w:rPr>
                <w:sz w:val="18"/>
                <w:szCs w:val="18"/>
              </w:rPr>
              <w:t>on i</w:t>
            </w:r>
            <w:r w:rsidRPr="001D090E">
              <w:rPr>
                <w:sz w:val="18"/>
                <w:szCs w:val="18"/>
              </w:rPr>
              <w:t xml:space="preserve">ndustrial </w:t>
            </w:r>
            <w:r w:rsidR="008F0197">
              <w:rPr>
                <w:sz w:val="18"/>
                <w:szCs w:val="18"/>
              </w:rPr>
              <w:t>e</w:t>
            </w:r>
            <w:r w:rsidRPr="001D090E">
              <w:rPr>
                <w:sz w:val="18"/>
                <w:szCs w:val="18"/>
              </w:rPr>
              <w:t>mission</w:t>
            </w:r>
            <w:r w:rsidR="008F0197">
              <w:rPr>
                <w:sz w:val="18"/>
                <w:szCs w:val="18"/>
              </w:rPr>
              <w:t>s</w:t>
            </w:r>
            <w:r w:rsidRPr="001D090E">
              <w:rPr>
                <w:sz w:val="18"/>
                <w:szCs w:val="18"/>
              </w:rPr>
              <w:t xml:space="preserve"> </w:t>
            </w:r>
            <w:r w:rsidR="008F0197">
              <w:rPr>
                <w:sz w:val="18"/>
                <w:szCs w:val="18"/>
              </w:rPr>
              <w:t>(</w:t>
            </w:r>
            <w:r w:rsidR="008F44A8">
              <w:rPr>
                <w:sz w:val="18"/>
                <w:szCs w:val="18"/>
              </w:rPr>
              <w:t xml:space="preserve">Industrial Emissions </w:t>
            </w:r>
            <w:r w:rsidR="008F0197">
              <w:rPr>
                <w:sz w:val="18"/>
                <w:szCs w:val="18"/>
              </w:rPr>
              <w:t>Directive</w:t>
            </w:r>
            <w:r w:rsidR="008F44A8">
              <w:rPr>
                <w:sz w:val="18"/>
                <w:szCs w:val="18"/>
              </w:rPr>
              <w:t>, IED</w:t>
            </w:r>
            <w:r w:rsidRPr="001D090E">
              <w:rPr>
                <w:sz w:val="18"/>
                <w:szCs w:val="18"/>
              </w:rPr>
              <w:t>)</w:t>
            </w:r>
          </w:p>
          <w:p w:rsidR="00B12B08" w:rsidRPr="001D090E" w:rsidRDefault="00B12B08">
            <w:pPr>
              <w:rPr>
                <w:sz w:val="18"/>
                <w:szCs w:val="18"/>
              </w:rPr>
            </w:pPr>
          </w:p>
        </w:tc>
        <w:tc>
          <w:tcPr>
            <w:tcW w:w="4308" w:type="dxa"/>
          </w:tcPr>
          <w:p w:rsidR="00B12B08" w:rsidRPr="001D090E" w:rsidRDefault="00405DFE" w:rsidP="00890CDD">
            <w:pPr>
              <w:numPr>
                <w:ilvl w:val="0"/>
                <w:numId w:val="10"/>
              </w:numPr>
              <w:tabs>
                <w:tab w:val="clear" w:pos="360"/>
                <w:tab w:val="clear" w:pos="1247"/>
                <w:tab w:val="clear" w:pos="1814"/>
                <w:tab w:val="clear" w:pos="2381"/>
                <w:tab w:val="clear" w:pos="2948"/>
                <w:tab w:val="clear" w:pos="3515"/>
              </w:tabs>
              <w:spacing w:after="120"/>
              <w:rPr>
                <w:sz w:val="18"/>
                <w:szCs w:val="18"/>
              </w:rPr>
            </w:pPr>
            <w:r w:rsidRPr="00B029E2">
              <w:rPr>
                <w:sz w:val="18"/>
                <w:szCs w:val="18"/>
              </w:rPr>
              <w:t>Annex V</w:t>
            </w:r>
            <w:r w:rsidR="004B3B7A" w:rsidRPr="00B029E2">
              <w:rPr>
                <w:sz w:val="18"/>
                <w:szCs w:val="18"/>
              </w:rPr>
              <w:t>I</w:t>
            </w:r>
            <w:r w:rsidRPr="00B029E2">
              <w:rPr>
                <w:sz w:val="18"/>
                <w:szCs w:val="18"/>
              </w:rPr>
              <w:t>, part 5</w:t>
            </w:r>
            <w:r w:rsidR="00B029E2">
              <w:rPr>
                <w:sz w:val="18"/>
                <w:szCs w:val="18"/>
              </w:rPr>
              <w:t xml:space="preserve">, </w:t>
            </w:r>
            <w:r w:rsidR="00B12B08" w:rsidRPr="00B029E2">
              <w:rPr>
                <w:sz w:val="18"/>
                <w:szCs w:val="18"/>
              </w:rPr>
              <w:t>contains emission limit values for discharges of PCDD</w:t>
            </w:r>
            <w:r w:rsidR="003C413D" w:rsidRPr="00B029E2">
              <w:rPr>
                <w:sz w:val="18"/>
                <w:szCs w:val="18"/>
              </w:rPr>
              <w:t>-</w:t>
            </w:r>
            <w:r w:rsidR="00B12B08" w:rsidRPr="00B029E2">
              <w:rPr>
                <w:sz w:val="18"/>
                <w:szCs w:val="18"/>
              </w:rPr>
              <w:t xml:space="preserve"> and </w:t>
            </w:r>
            <w:r w:rsidR="003C413D" w:rsidRPr="00B029E2">
              <w:rPr>
                <w:sz w:val="18"/>
                <w:szCs w:val="18"/>
              </w:rPr>
              <w:t>PCDF-</w:t>
            </w:r>
            <w:r w:rsidR="00B12B08" w:rsidRPr="00B029E2">
              <w:rPr>
                <w:sz w:val="18"/>
                <w:szCs w:val="18"/>
              </w:rPr>
              <w:t xml:space="preserve">contaminated wastewater from the cleaning of </w:t>
            </w:r>
            <w:r w:rsidRPr="00B029E2">
              <w:rPr>
                <w:sz w:val="18"/>
                <w:szCs w:val="18"/>
              </w:rPr>
              <w:t>waste</w:t>
            </w:r>
            <w:r w:rsidR="003E4192">
              <w:rPr>
                <w:sz w:val="18"/>
                <w:szCs w:val="18"/>
              </w:rPr>
              <w:t xml:space="preserve"> </w:t>
            </w:r>
            <w:r w:rsidR="00B12B08" w:rsidRPr="001D090E">
              <w:rPr>
                <w:sz w:val="18"/>
                <w:szCs w:val="18"/>
              </w:rPr>
              <w:t>gases.</w:t>
            </w:r>
            <w:r w:rsidR="004B3B7A">
              <w:rPr>
                <w:sz w:val="18"/>
                <w:szCs w:val="18"/>
              </w:rPr>
              <w:t xml:space="preserve"> </w:t>
            </w:r>
          </w:p>
          <w:p w:rsidR="00B12B08" w:rsidRPr="001D090E" w:rsidRDefault="00B12B08" w:rsidP="00890CDD">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Annex V contains air emission values for PCDDs and PCDFs</w:t>
            </w:r>
            <w:r w:rsidR="008F65E6">
              <w:rPr>
                <w:sz w:val="18"/>
                <w:szCs w:val="18"/>
              </w:rPr>
              <w:t>.</w:t>
            </w:r>
          </w:p>
        </w:tc>
      </w:tr>
      <w:tr w:rsidR="00B12B08" w:rsidRPr="001D090E" w:rsidTr="0088229A">
        <w:tc>
          <w:tcPr>
            <w:tcW w:w="1329" w:type="dxa"/>
          </w:tcPr>
          <w:p w:rsidR="00B12B08" w:rsidRPr="001D090E" w:rsidRDefault="00B12B08" w:rsidP="009320A2">
            <w:pPr>
              <w:keepNext/>
              <w:keepLines/>
              <w:rPr>
                <w:sz w:val="18"/>
                <w:szCs w:val="18"/>
              </w:rPr>
            </w:pPr>
            <w:r w:rsidRPr="001D090E">
              <w:rPr>
                <w:sz w:val="18"/>
                <w:szCs w:val="18"/>
              </w:rPr>
              <w:t xml:space="preserve">European </w:t>
            </w:r>
            <w:r>
              <w:rPr>
                <w:sz w:val="18"/>
                <w:szCs w:val="18"/>
              </w:rPr>
              <w:t>Union</w:t>
            </w:r>
          </w:p>
        </w:tc>
        <w:tc>
          <w:tcPr>
            <w:tcW w:w="3939" w:type="dxa"/>
          </w:tcPr>
          <w:p w:rsidR="00B12B08" w:rsidRPr="001D090E" w:rsidRDefault="00B12B08">
            <w:pPr>
              <w:keepNext/>
              <w:keepLines/>
              <w:rPr>
                <w:sz w:val="18"/>
                <w:szCs w:val="18"/>
              </w:rPr>
            </w:pPr>
            <w:r w:rsidRPr="001D090E">
              <w:rPr>
                <w:sz w:val="18"/>
                <w:szCs w:val="18"/>
              </w:rPr>
              <w:t>Council Decision 2003/33/EC of 19 December 2002 establishing criteria and procedures for the acceptance of waste at landfills pursuant to Article 16 of</w:t>
            </w:r>
            <w:r w:rsidR="00741F5E">
              <w:rPr>
                <w:sz w:val="18"/>
                <w:szCs w:val="18"/>
              </w:rPr>
              <w:t>,</w:t>
            </w:r>
            <w:r w:rsidRPr="001D090E">
              <w:rPr>
                <w:sz w:val="18"/>
                <w:szCs w:val="18"/>
              </w:rPr>
              <w:t xml:space="preserve"> and Annex II to Directive 1999/31/EC</w:t>
            </w:r>
          </w:p>
        </w:tc>
        <w:tc>
          <w:tcPr>
            <w:tcW w:w="4308" w:type="dxa"/>
          </w:tcPr>
          <w:p w:rsidR="00B12B08" w:rsidRPr="001D090E" w:rsidRDefault="00B12B08" w:rsidP="00890CDD">
            <w:pPr>
              <w:keepNext/>
              <w:keepLines/>
              <w:numPr>
                <w:ilvl w:val="0"/>
                <w:numId w:val="11"/>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Paragraph 2.1.2.2 of the </w:t>
            </w:r>
            <w:r w:rsidR="009C60EC">
              <w:rPr>
                <w:sz w:val="18"/>
                <w:szCs w:val="18"/>
              </w:rPr>
              <w:t>a</w:t>
            </w:r>
            <w:r w:rsidRPr="001D090E">
              <w:rPr>
                <w:sz w:val="18"/>
                <w:szCs w:val="18"/>
              </w:rPr>
              <w:t xml:space="preserve">nnex contains criteria for </w:t>
            </w:r>
            <w:proofErr w:type="spellStart"/>
            <w:r w:rsidRPr="001D090E">
              <w:rPr>
                <w:sz w:val="18"/>
                <w:szCs w:val="18"/>
              </w:rPr>
              <w:t>landfill</w:t>
            </w:r>
            <w:r w:rsidR="00405DFE" w:rsidRPr="00B029E2">
              <w:rPr>
                <w:sz w:val="18"/>
                <w:szCs w:val="18"/>
              </w:rPr>
              <w:t>ing</w:t>
            </w:r>
            <w:proofErr w:type="spellEnd"/>
            <w:r w:rsidRPr="001D090E">
              <w:rPr>
                <w:sz w:val="18"/>
                <w:szCs w:val="18"/>
              </w:rPr>
              <w:t xml:space="preserve"> of inert waste containing PCBs.</w:t>
            </w:r>
            <w:r w:rsidR="00FD0528">
              <w:rPr>
                <w:sz w:val="18"/>
                <w:szCs w:val="18"/>
              </w:rPr>
              <w:t xml:space="preserve"> </w:t>
            </w:r>
          </w:p>
        </w:tc>
      </w:tr>
      <w:tr w:rsidR="00B12B08" w:rsidRPr="001D090E" w:rsidTr="0088229A">
        <w:tc>
          <w:tcPr>
            <w:tcW w:w="1329" w:type="dxa"/>
          </w:tcPr>
          <w:p w:rsidR="00B12B08" w:rsidRPr="001D090E" w:rsidRDefault="00B12B08">
            <w:pPr>
              <w:rPr>
                <w:sz w:val="18"/>
                <w:szCs w:val="18"/>
              </w:rPr>
            </w:pPr>
            <w:r w:rsidRPr="001D090E">
              <w:rPr>
                <w:sz w:val="18"/>
                <w:szCs w:val="18"/>
              </w:rPr>
              <w:t>Finland</w:t>
            </w:r>
          </w:p>
        </w:tc>
        <w:tc>
          <w:tcPr>
            <w:tcW w:w="3939" w:type="dxa"/>
          </w:tcPr>
          <w:p w:rsidR="00B12B08" w:rsidRPr="001D090E" w:rsidRDefault="00B12B08" w:rsidP="00B029E2">
            <w:pPr>
              <w:rPr>
                <w:sz w:val="18"/>
                <w:szCs w:val="18"/>
              </w:rPr>
            </w:pPr>
            <w:r w:rsidRPr="001D090E">
              <w:rPr>
                <w:sz w:val="18"/>
                <w:szCs w:val="18"/>
              </w:rPr>
              <w:t xml:space="preserve">Council of </w:t>
            </w:r>
            <w:r w:rsidRPr="003E5CFC">
              <w:rPr>
                <w:sz w:val="18"/>
                <w:szCs w:val="18"/>
              </w:rPr>
              <w:t xml:space="preserve">State </w:t>
            </w:r>
            <w:r w:rsidR="003E5CFC">
              <w:rPr>
                <w:sz w:val="18"/>
                <w:szCs w:val="18"/>
              </w:rPr>
              <w:t>D</w:t>
            </w:r>
            <w:r w:rsidRPr="003E5CFC">
              <w:rPr>
                <w:sz w:val="18"/>
                <w:szCs w:val="18"/>
              </w:rPr>
              <w:t xml:space="preserve">ecision (1071/1989) on </w:t>
            </w:r>
            <w:r w:rsidR="003F01CE">
              <w:rPr>
                <w:sz w:val="18"/>
                <w:szCs w:val="18"/>
              </w:rPr>
              <w:t xml:space="preserve">restricting </w:t>
            </w:r>
            <w:r w:rsidRPr="003E5CFC">
              <w:rPr>
                <w:sz w:val="18"/>
                <w:szCs w:val="18"/>
              </w:rPr>
              <w:t>the use of PCBs and PCTs</w:t>
            </w:r>
            <w:r w:rsidR="0008117B" w:rsidRPr="003E5CFC">
              <w:rPr>
                <w:sz w:val="18"/>
                <w:szCs w:val="18"/>
              </w:rPr>
              <w:t xml:space="preserve"> </w:t>
            </w:r>
          </w:p>
        </w:tc>
        <w:tc>
          <w:tcPr>
            <w:tcW w:w="4308" w:type="dxa"/>
          </w:tcPr>
          <w:p w:rsidR="00B12B08" w:rsidRPr="001D090E" w:rsidRDefault="00B12B08" w:rsidP="00890CDD">
            <w:pPr>
              <w:numPr>
                <w:ilvl w:val="0"/>
                <w:numId w:val="11"/>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 values for PCBs and PCTs</w:t>
            </w:r>
          </w:p>
        </w:tc>
      </w:tr>
      <w:tr w:rsidR="00B12B08" w:rsidRPr="001D090E" w:rsidTr="0088229A">
        <w:tc>
          <w:tcPr>
            <w:tcW w:w="1329" w:type="dxa"/>
          </w:tcPr>
          <w:p w:rsidR="00B12B08" w:rsidRPr="001D090E" w:rsidRDefault="00B12B08">
            <w:pPr>
              <w:rPr>
                <w:sz w:val="18"/>
                <w:szCs w:val="18"/>
              </w:rPr>
            </w:pPr>
            <w:r w:rsidRPr="001D090E">
              <w:rPr>
                <w:sz w:val="18"/>
                <w:szCs w:val="18"/>
              </w:rPr>
              <w:t>Finland</w:t>
            </w:r>
          </w:p>
        </w:tc>
        <w:tc>
          <w:tcPr>
            <w:tcW w:w="3939" w:type="dxa"/>
          </w:tcPr>
          <w:p w:rsidR="00B12B08" w:rsidRPr="001D090E" w:rsidRDefault="00B12B08">
            <w:pPr>
              <w:rPr>
                <w:sz w:val="18"/>
                <w:szCs w:val="18"/>
              </w:rPr>
            </w:pPr>
            <w:r w:rsidRPr="001D090E">
              <w:rPr>
                <w:sz w:val="18"/>
                <w:szCs w:val="18"/>
              </w:rPr>
              <w:t xml:space="preserve">Council of State </w:t>
            </w:r>
            <w:r w:rsidR="003E5CFC">
              <w:rPr>
                <w:sz w:val="18"/>
                <w:szCs w:val="18"/>
              </w:rPr>
              <w:t>D</w:t>
            </w:r>
            <w:r w:rsidRPr="001D090E">
              <w:rPr>
                <w:sz w:val="18"/>
                <w:szCs w:val="18"/>
              </w:rPr>
              <w:t>ecision (101/1997) on oil waste management</w:t>
            </w:r>
          </w:p>
        </w:tc>
        <w:tc>
          <w:tcPr>
            <w:tcW w:w="4308" w:type="dxa"/>
          </w:tcPr>
          <w:p w:rsidR="00B12B08" w:rsidRPr="001D090E" w:rsidRDefault="00B12B08" w:rsidP="00890CDD">
            <w:pPr>
              <w:numPr>
                <w:ilvl w:val="0"/>
                <w:numId w:val="11"/>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 values for PCBs in regenerated oil and in oil wastes destined for incineration</w:t>
            </w:r>
          </w:p>
        </w:tc>
      </w:tr>
      <w:tr w:rsidR="00B12B08" w:rsidRPr="001D090E" w:rsidTr="0088229A">
        <w:tc>
          <w:tcPr>
            <w:tcW w:w="1329" w:type="dxa"/>
          </w:tcPr>
          <w:p w:rsidR="00B12B08" w:rsidRPr="001D090E" w:rsidRDefault="00B12B08">
            <w:pPr>
              <w:rPr>
                <w:sz w:val="18"/>
                <w:szCs w:val="18"/>
              </w:rPr>
            </w:pPr>
            <w:r w:rsidRPr="001D090E">
              <w:rPr>
                <w:sz w:val="18"/>
                <w:szCs w:val="18"/>
              </w:rPr>
              <w:t>Finland</w:t>
            </w:r>
          </w:p>
        </w:tc>
        <w:tc>
          <w:tcPr>
            <w:tcW w:w="3939" w:type="dxa"/>
          </w:tcPr>
          <w:p w:rsidR="00B12B08" w:rsidRPr="001D090E" w:rsidRDefault="00B12B08">
            <w:pPr>
              <w:rPr>
                <w:sz w:val="18"/>
                <w:szCs w:val="18"/>
              </w:rPr>
            </w:pPr>
            <w:r w:rsidRPr="001D090E">
              <w:rPr>
                <w:sz w:val="18"/>
                <w:szCs w:val="18"/>
              </w:rPr>
              <w:t xml:space="preserve">Council of State </w:t>
            </w:r>
            <w:r w:rsidR="00B2779C">
              <w:rPr>
                <w:sz w:val="18"/>
                <w:szCs w:val="18"/>
              </w:rPr>
              <w:t>D</w:t>
            </w:r>
            <w:r w:rsidRPr="001D090E">
              <w:rPr>
                <w:sz w:val="18"/>
                <w:szCs w:val="18"/>
              </w:rPr>
              <w:t>ecision (711/1998) on the disuse of PCB appliances and the treatment of PCB waste</w:t>
            </w:r>
          </w:p>
        </w:tc>
        <w:tc>
          <w:tcPr>
            <w:tcW w:w="4308" w:type="dxa"/>
          </w:tcPr>
          <w:p w:rsidR="00B12B08" w:rsidRPr="001D090E" w:rsidRDefault="00B12B08" w:rsidP="00890CDD">
            <w:pPr>
              <w:numPr>
                <w:ilvl w:val="0"/>
                <w:numId w:val="11"/>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 values for PCBs</w:t>
            </w:r>
          </w:p>
        </w:tc>
      </w:tr>
      <w:tr w:rsidR="00B12B08" w:rsidRPr="001D090E" w:rsidTr="0088229A">
        <w:tc>
          <w:tcPr>
            <w:tcW w:w="1329" w:type="dxa"/>
          </w:tcPr>
          <w:p w:rsidR="00B12B08" w:rsidRPr="001D090E" w:rsidRDefault="00B12B08">
            <w:pPr>
              <w:rPr>
                <w:sz w:val="18"/>
                <w:szCs w:val="18"/>
              </w:rPr>
            </w:pPr>
            <w:r w:rsidRPr="001D090E">
              <w:rPr>
                <w:sz w:val="18"/>
                <w:szCs w:val="18"/>
              </w:rPr>
              <w:t>Finland</w:t>
            </w:r>
          </w:p>
        </w:tc>
        <w:tc>
          <w:tcPr>
            <w:tcW w:w="3939" w:type="dxa"/>
          </w:tcPr>
          <w:p w:rsidR="00B12B08" w:rsidRPr="001D090E" w:rsidRDefault="00B12B08" w:rsidP="00B2779C">
            <w:pPr>
              <w:rPr>
                <w:sz w:val="18"/>
                <w:szCs w:val="18"/>
              </w:rPr>
            </w:pPr>
            <w:r w:rsidRPr="001D090E">
              <w:rPr>
                <w:sz w:val="18"/>
                <w:szCs w:val="18"/>
              </w:rPr>
              <w:t xml:space="preserve">Council of State </w:t>
            </w:r>
            <w:r w:rsidR="00B2779C">
              <w:rPr>
                <w:sz w:val="18"/>
                <w:szCs w:val="18"/>
              </w:rPr>
              <w:t>D</w:t>
            </w:r>
            <w:r w:rsidRPr="001D090E">
              <w:rPr>
                <w:sz w:val="18"/>
                <w:szCs w:val="18"/>
              </w:rPr>
              <w:t xml:space="preserve">ecree (1129/2001) on a list of the most </w:t>
            </w:r>
            <w:r w:rsidR="00B2779C">
              <w:rPr>
                <w:sz w:val="18"/>
                <w:szCs w:val="18"/>
              </w:rPr>
              <w:t>common</w:t>
            </w:r>
            <w:r w:rsidR="00B2779C" w:rsidRPr="001D090E">
              <w:rPr>
                <w:sz w:val="18"/>
                <w:szCs w:val="18"/>
              </w:rPr>
              <w:t xml:space="preserve"> </w:t>
            </w:r>
            <w:r w:rsidRPr="001D090E">
              <w:rPr>
                <w:sz w:val="18"/>
                <w:szCs w:val="18"/>
              </w:rPr>
              <w:t xml:space="preserve">wastes and </w:t>
            </w:r>
            <w:r w:rsidR="00B2779C">
              <w:rPr>
                <w:sz w:val="18"/>
                <w:szCs w:val="18"/>
              </w:rPr>
              <w:t xml:space="preserve">of </w:t>
            </w:r>
            <w:r w:rsidRPr="001D090E">
              <w:rPr>
                <w:sz w:val="18"/>
                <w:szCs w:val="18"/>
              </w:rPr>
              <w:t>hazardous wastes</w:t>
            </w:r>
          </w:p>
        </w:tc>
        <w:tc>
          <w:tcPr>
            <w:tcW w:w="4308" w:type="dxa"/>
          </w:tcPr>
          <w:p w:rsidR="00B12B08" w:rsidRPr="001D090E" w:rsidRDefault="00B12B08" w:rsidP="00890CDD">
            <w:pPr>
              <w:numPr>
                <w:ilvl w:val="0"/>
                <w:numId w:val="11"/>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 values for PCBs</w:t>
            </w:r>
          </w:p>
        </w:tc>
      </w:tr>
      <w:tr w:rsidR="00B12B08" w:rsidRPr="001D090E" w:rsidTr="0088229A">
        <w:tc>
          <w:tcPr>
            <w:tcW w:w="1329" w:type="dxa"/>
          </w:tcPr>
          <w:p w:rsidR="00B12B08" w:rsidRPr="001D090E" w:rsidRDefault="00B12B08">
            <w:pPr>
              <w:rPr>
                <w:sz w:val="18"/>
                <w:szCs w:val="18"/>
              </w:rPr>
            </w:pPr>
            <w:r w:rsidRPr="001D090E">
              <w:rPr>
                <w:sz w:val="18"/>
                <w:szCs w:val="18"/>
              </w:rPr>
              <w:t>Germany</w:t>
            </w:r>
          </w:p>
        </w:tc>
        <w:tc>
          <w:tcPr>
            <w:tcW w:w="3939" w:type="dxa"/>
          </w:tcPr>
          <w:p w:rsidR="00B12B08" w:rsidRPr="001D090E" w:rsidRDefault="00B12B08">
            <w:pPr>
              <w:rPr>
                <w:sz w:val="18"/>
                <w:szCs w:val="18"/>
              </w:rPr>
            </w:pPr>
            <w:r w:rsidRPr="001D090E">
              <w:rPr>
                <w:sz w:val="18"/>
                <w:szCs w:val="18"/>
              </w:rPr>
              <w:t>Federal Soil Protection and Contaminated Sites Ordinance</w:t>
            </w:r>
          </w:p>
        </w:tc>
        <w:tc>
          <w:tcPr>
            <w:tcW w:w="4308" w:type="dxa"/>
          </w:tcPr>
          <w:p w:rsidR="00B12B08" w:rsidRPr="001D090E" w:rsidRDefault="00B12B08" w:rsidP="00890CDD">
            <w:pPr>
              <w:numPr>
                <w:ilvl w:val="0"/>
                <w:numId w:val="11"/>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action levels regarding sites contaminated with </w:t>
            </w:r>
            <w:proofErr w:type="spellStart"/>
            <w:r w:rsidRPr="001D090E">
              <w:rPr>
                <w:sz w:val="18"/>
                <w:szCs w:val="18"/>
              </w:rPr>
              <w:t>aldrin</w:t>
            </w:r>
            <w:proofErr w:type="spellEnd"/>
            <w:r w:rsidRPr="001D090E">
              <w:rPr>
                <w:sz w:val="18"/>
                <w:szCs w:val="18"/>
              </w:rPr>
              <w:t>, DDT, HCB, HCH, PCBs, PCDDs and PCDFs.</w:t>
            </w:r>
          </w:p>
        </w:tc>
      </w:tr>
      <w:tr w:rsidR="00B12B08" w:rsidRPr="001D090E" w:rsidTr="00CF284D">
        <w:trPr>
          <w:cantSplit/>
        </w:trPr>
        <w:tc>
          <w:tcPr>
            <w:tcW w:w="1329" w:type="dxa"/>
          </w:tcPr>
          <w:p w:rsidR="00B12B08" w:rsidRPr="001D090E" w:rsidRDefault="00B12B08">
            <w:pPr>
              <w:rPr>
                <w:sz w:val="18"/>
                <w:szCs w:val="18"/>
              </w:rPr>
            </w:pPr>
            <w:r w:rsidRPr="001D090E">
              <w:rPr>
                <w:sz w:val="18"/>
                <w:szCs w:val="18"/>
              </w:rPr>
              <w:t>Germany</w:t>
            </w:r>
          </w:p>
        </w:tc>
        <w:tc>
          <w:tcPr>
            <w:tcW w:w="3939" w:type="dxa"/>
          </w:tcPr>
          <w:p w:rsidR="00B12B08" w:rsidRPr="001D090E" w:rsidRDefault="00B12B08">
            <w:pPr>
              <w:rPr>
                <w:sz w:val="18"/>
                <w:szCs w:val="18"/>
              </w:rPr>
            </w:pPr>
            <w:r w:rsidRPr="001D090E">
              <w:rPr>
                <w:sz w:val="18"/>
                <w:szCs w:val="18"/>
              </w:rPr>
              <w:t>Ordinance on Landfills and Long-Term Storage Facilities</w:t>
            </w:r>
          </w:p>
        </w:tc>
        <w:tc>
          <w:tcPr>
            <w:tcW w:w="4308" w:type="dxa"/>
          </w:tcPr>
          <w:p w:rsidR="00B12B08" w:rsidRPr="001D090E" w:rsidRDefault="00B12B08" w:rsidP="00890CDD">
            <w:pPr>
              <w:numPr>
                <w:ilvl w:val="0"/>
                <w:numId w:val="11"/>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a limit for PCBs in soils used as </w:t>
            </w:r>
            <w:proofErr w:type="spellStart"/>
            <w:r w:rsidRPr="001D090E">
              <w:rPr>
                <w:sz w:val="18"/>
                <w:szCs w:val="18"/>
              </w:rPr>
              <w:t>recultivation</w:t>
            </w:r>
            <w:proofErr w:type="spellEnd"/>
            <w:r w:rsidRPr="001D090E">
              <w:rPr>
                <w:sz w:val="18"/>
                <w:szCs w:val="18"/>
              </w:rPr>
              <w:t xml:space="preserve"> layers of landfills.</w:t>
            </w:r>
          </w:p>
          <w:p w:rsidR="00B12B08" w:rsidRPr="001D090E" w:rsidRDefault="00B12B08" w:rsidP="002113D5">
            <w:pPr>
              <w:numPr>
                <w:ilvl w:val="0"/>
                <w:numId w:val="11"/>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Prohibits the </w:t>
            </w:r>
            <w:proofErr w:type="spellStart"/>
            <w:r w:rsidRPr="001D090E">
              <w:rPr>
                <w:sz w:val="18"/>
                <w:szCs w:val="18"/>
              </w:rPr>
              <w:t>landfilling</w:t>
            </w:r>
            <w:proofErr w:type="spellEnd"/>
            <w:r w:rsidRPr="001D090E">
              <w:rPr>
                <w:sz w:val="18"/>
                <w:szCs w:val="18"/>
              </w:rPr>
              <w:t xml:space="preserve"> of waste</w:t>
            </w:r>
            <w:r w:rsidR="002113D5">
              <w:rPr>
                <w:sz w:val="18"/>
                <w:szCs w:val="18"/>
              </w:rPr>
              <w:t xml:space="preserve"> that could </w:t>
            </w:r>
            <w:r w:rsidRPr="001D090E">
              <w:rPr>
                <w:sz w:val="18"/>
                <w:szCs w:val="18"/>
              </w:rPr>
              <w:t>harm public welfare due to its content of long-lived or bio-</w:t>
            </w:r>
            <w:proofErr w:type="spellStart"/>
            <w:r w:rsidRPr="001D090E">
              <w:rPr>
                <w:sz w:val="18"/>
                <w:szCs w:val="18"/>
              </w:rPr>
              <w:t>accumulable</w:t>
            </w:r>
            <w:proofErr w:type="spellEnd"/>
            <w:r w:rsidRPr="001D090E">
              <w:rPr>
                <w:sz w:val="18"/>
                <w:szCs w:val="18"/>
              </w:rPr>
              <w:t xml:space="preserve"> toxic substances.</w:t>
            </w:r>
          </w:p>
        </w:tc>
      </w:tr>
      <w:tr w:rsidR="00B12B08" w:rsidRPr="001D090E" w:rsidTr="0088229A">
        <w:tc>
          <w:tcPr>
            <w:tcW w:w="1329" w:type="dxa"/>
          </w:tcPr>
          <w:p w:rsidR="00B12B08" w:rsidRPr="001D090E" w:rsidRDefault="00B12B08">
            <w:pPr>
              <w:rPr>
                <w:sz w:val="18"/>
                <w:szCs w:val="18"/>
              </w:rPr>
            </w:pPr>
            <w:r w:rsidRPr="001D090E">
              <w:rPr>
                <w:sz w:val="18"/>
                <w:szCs w:val="18"/>
              </w:rPr>
              <w:t>Germany</w:t>
            </w:r>
          </w:p>
        </w:tc>
        <w:tc>
          <w:tcPr>
            <w:tcW w:w="3939" w:type="dxa"/>
          </w:tcPr>
          <w:p w:rsidR="00B12B08" w:rsidRPr="001D090E" w:rsidRDefault="00B12B08">
            <w:pPr>
              <w:rPr>
                <w:sz w:val="18"/>
                <w:szCs w:val="18"/>
              </w:rPr>
            </w:pPr>
            <w:r w:rsidRPr="001D090E">
              <w:rPr>
                <w:sz w:val="18"/>
                <w:szCs w:val="18"/>
              </w:rPr>
              <w:t>Ordinance on Underground Waste Stowage</w:t>
            </w:r>
          </w:p>
        </w:tc>
        <w:tc>
          <w:tcPr>
            <w:tcW w:w="4308" w:type="dxa"/>
          </w:tcPr>
          <w:p w:rsidR="00B12B08" w:rsidRPr="001D090E" w:rsidRDefault="00B12B08" w:rsidP="00890CDD">
            <w:pPr>
              <w:numPr>
                <w:ilvl w:val="0"/>
                <w:numId w:val="11"/>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limits for </w:t>
            </w:r>
            <w:r w:rsidR="009435E5">
              <w:rPr>
                <w:sz w:val="18"/>
                <w:szCs w:val="18"/>
              </w:rPr>
              <w:t xml:space="preserve">the </w:t>
            </w:r>
            <w:r w:rsidRPr="001D090E">
              <w:rPr>
                <w:sz w:val="18"/>
                <w:szCs w:val="18"/>
              </w:rPr>
              <w:t>use of waste contaminated with PCBs as stowage material.</w:t>
            </w:r>
          </w:p>
        </w:tc>
      </w:tr>
      <w:tr w:rsidR="00B12B08" w:rsidRPr="001D090E" w:rsidTr="0088229A">
        <w:tc>
          <w:tcPr>
            <w:tcW w:w="1329" w:type="dxa"/>
          </w:tcPr>
          <w:p w:rsidR="00B12B08" w:rsidRPr="001D090E" w:rsidRDefault="00B12B08">
            <w:pPr>
              <w:rPr>
                <w:sz w:val="18"/>
                <w:szCs w:val="18"/>
              </w:rPr>
            </w:pPr>
            <w:r>
              <w:rPr>
                <w:sz w:val="18"/>
                <w:szCs w:val="18"/>
              </w:rPr>
              <w:t xml:space="preserve">Germany </w:t>
            </w:r>
          </w:p>
        </w:tc>
        <w:tc>
          <w:tcPr>
            <w:tcW w:w="3939" w:type="dxa"/>
          </w:tcPr>
          <w:p w:rsidR="00B12B08" w:rsidRPr="001D090E" w:rsidRDefault="00B12B08">
            <w:pPr>
              <w:rPr>
                <w:sz w:val="18"/>
                <w:szCs w:val="18"/>
              </w:rPr>
            </w:pPr>
            <w:r w:rsidRPr="00A6015A">
              <w:rPr>
                <w:sz w:val="18"/>
                <w:szCs w:val="18"/>
              </w:rPr>
              <w:t>Fertilizer Ordinance</w:t>
            </w:r>
          </w:p>
        </w:tc>
        <w:tc>
          <w:tcPr>
            <w:tcW w:w="4308" w:type="dxa"/>
          </w:tcPr>
          <w:p w:rsidR="00B12B08" w:rsidRPr="001D090E" w:rsidRDefault="00B12B08" w:rsidP="00890CDD">
            <w:pPr>
              <w:numPr>
                <w:ilvl w:val="0"/>
                <w:numId w:val="11"/>
              </w:numPr>
              <w:tabs>
                <w:tab w:val="clear" w:pos="360"/>
                <w:tab w:val="clear" w:pos="1247"/>
                <w:tab w:val="clear" w:pos="1814"/>
                <w:tab w:val="clear" w:pos="2381"/>
                <w:tab w:val="clear" w:pos="2948"/>
                <w:tab w:val="clear" w:pos="3515"/>
              </w:tabs>
              <w:spacing w:after="120"/>
              <w:rPr>
                <w:sz w:val="18"/>
                <w:szCs w:val="18"/>
              </w:rPr>
            </w:pPr>
            <w:r w:rsidRPr="00A6015A">
              <w:rPr>
                <w:sz w:val="18"/>
                <w:szCs w:val="18"/>
              </w:rPr>
              <w:t>Contains limits for PFOS, PCDDs and PCDFs in fertilizers</w:t>
            </w:r>
          </w:p>
        </w:tc>
      </w:tr>
      <w:tr w:rsidR="00B12B08" w:rsidRPr="001D090E" w:rsidTr="0088229A">
        <w:tc>
          <w:tcPr>
            <w:tcW w:w="1329" w:type="dxa"/>
          </w:tcPr>
          <w:p w:rsidR="00B12B08" w:rsidRPr="001D090E" w:rsidRDefault="00B12B08">
            <w:pPr>
              <w:rPr>
                <w:sz w:val="18"/>
                <w:szCs w:val="18"/>
              </w:rPr>
            </w:pPr>
            <w:r w:rsidRPr="001D090E">
              <w:rPr>
                <w:sz w:val="18"/>
                <w:szCs w:val="18"/>
              </w:rPr>
              <w:t>Germany</w:t>
            </w:r>
          </w:p>
        </w:tc>
        <w:tc>
          <w:tcPr>
            <w:tcW w:w="3939" w:type="dxa"/>
          </w:tcPr>
          <w:p w:rsidR="00B12B08" w:rsidRPr="001D090E" w:rsidRDefault="00B12B08">
            <w:pPr>
              <w:rPr>
                <w:sz w:val="18"/>
                <w:szCs w:val="18"/>
              </w:rPr>
            </w:pPr>
            <w:r w:rsidRPr="001D090E">
              <w:rPr>
                <w:sz w:val="18"/>
                <w:szCs w:val="18"/>
              </w:rPr>
              <w:t>Sewage Sludge Ordinance</w:t>
            </w:r>
          </w:p>
        </w:tc>
        <w:tc>
          <w:tcPr>
            <w:tcW w:w="4308" w:type="dxa"/>
          </w:tcPr>
          <w:p w:rsidR="00B12B08" w:rsidRPr="001D090E" w:rsidRDefault="00B12B08" w:rsidP="009435E5">
            <w:pPr>
              <w:numPr>
                <w:ilvl w:val="0"/>
                <w:numId w:val="11"/>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limits for </w:t>
            </w:r>
            <w:r w:rsidR="009435E5">
              <w:rPr>
                <w:sz w:val="18"/>
                <w:szCs w:val="18"/>
              </w:rPr>
              <w:t xml:space="preserve">the </w:t>
            </w:r>
            <w:r w:rsidRPr="001D090E">
              <w:rPr>
                <w:sz w:val="18"/>
                <w:szCs w:val="18"/>
              </w:rPr>
              <w:t>usage of sewage sludge contaminated with PCBs, PCDDs and PCDFs as fertilizer.</w:t>
            </w:r>
          </w:p>
        </w:tc>
      </w:tr>
      <w:tr w:rsidR="00B12B08" w:rsidRPr="001D090E" w:rsidTr="0088229A">
        <w:tc>
          <w:tcPr>
            <w:tcW w:w="1329" w:type="dxa"/>
          </w:tcPr>
          <w:p w:rsidR="00B12B08" w:rsidRPr="001D090E" w:rsidRDefault="00B12B08">
            <w:pPr>
              <w:rPr>
                <w:sz w:val="18"/>
                <w:szCs w:val="18"/>
              </w:rPr>
            </w:pPr>
            <w:r w:rsidRPr="001D090E">
              <w:rPr>
                <w:sz w:val="18"/>
                <w:szCs w:val="18"/>
              </w:rPr>
              <w:t>Germany</w:t>
            </w:r>
          </w:p>
        </w:tc>
        <w:tc>
          <w:tcPr>
            <w:tcW w:w="3939" w:type="dxa"/>
          </w:tcPr>
          <w:p w:rsidR="00B12B08" w:rsidRPr="001D090E" w:rsidRDefault="00B12B08">
            <w:pPr>
              <w:rPr>
                <w:sz w:val="18"/>
                <w:szCs w:val="18"/>
              </w:rPr>
            </w:pPr>
            <w:r w:rsidRPr="001D090E">
              <w:rPr>
                <w:sz w:val="18"/>
                <w:szCs w:val="18"/>
              </w:rPr>
              <w:t>Waste Wood Ordinance</w:t>
            </w:r>
          </w:p>
        </w:tc>
        <w:tc>
          <w:tcPr>
            <w:tcW w:w="4308" w:type="dxa"/>
          </w:tcPr>
          <w:p w:rsidR="00B12B08" w:rsidRPr="001D090E" w:rsidRDefault="00B12B08" w:rsidP="00890CDD">
            <w:pPr>
              <w:numPr>
                <w:ilvl w:val="0"/>
                <w:numId w:val="11"/>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limits for recycling of waste wood contaminated with PCBs.</w:t>
            </w:r>
          </w:p>
        </w:tc>
      </w:tr>
      <w:tr w:rsidR="00B12B08" w:rsidRPr="001D090E" w:rsidTr="0088229A">
        <w:tc>
          <w:tcPr>
            <w:tcW w:w="1329" w:type="dxa"/>
          </w:tcPr>
          <w:p w:rsidR="00B12B08" w:rsidRPr="001D090E" w:rsidRDefault="00B12B08">
            <w:pPr>
              <w:rPr>
                <w:sz w:val="18"/>
                <w:szCs w:val="18"/>
              </w:rPr>
            </w:pPr>
            <w:r w:rsidRPr="001D090E">
              <w:rPr>
                <w:sz w:val="18"/>
                <w:szCs w:val="18"/>
              </w:rPr>
              <w:t>Germany</w:t>
            </w:r>
          </w:p>
        </w:tc>
        <w:tc>
          <w:tcPr>
            <w:tcW w:w="3939" w:type="dxa"/>
          </w:tcPr>
          <w:p w:rsidR="00B12B08" w:rsidRPr="001D090E" w:rsidRDefault="00B12B08">
            <w:pPr>
              <w:rPr>
                <w:sz w:val="18"/>
                <w:szCs w:val="18"/>
              </w:rPr>
            </w:pPr>
            <w:r w:rsidRPr="001D090E">
              <w:rPr>
                <w:sz w:val="18"/>
                <w:szCs w:val="18"/>
              </w:rPr>
              <w:t>Waste Oil Ordinance</w:t>
            </w:r>
          </w:p>
        </w:tc>
        <w:tc>
          <w:tcPr>
            <w:tcW w:w="4308" w:type="dxa"/>
          </w:tcPr>
          <w:p w:rsidR="00B12B08" w:rsidRPr="001D090E" w:rsidRDefault="00B12B08" w:rsidP="009435E5">
            <w:pPr>
              <w:numPr>
                <w:ilvl w:val="0"/>
                <w:numId w:val="11"/>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limits for recycling of PCB</w:t>
            </w:r>
            <w:r w:rsidR="009435E5">
              <w:rPr>
                <w:sz w:val="18"/>
                <w:szCs w:val="18"/>
              </w:rPr>
              <w:t>-</w:t>
            </w:r>
            <w:r w:rsidRPr="001D090E">
              <w:rPr>
                <w:sz w:val="18"/>
                <w:szCs w:val="18"/>
              </w:rPr>
              <w:t xml:space="preserve">contaminated </w:t>
            </w:r>
            <w:proofErr w:type="spellStart"/>
            <w:r w:rsidRPr="001D090E">
              <w:rPr>
                <w:sz w:val="18"/>
                <w:szCs w:val="18"/>
              </w:rPr>
              <w:t>oils</w:t>
            </w:r>
            <w:proofErr w:type="spellEnd"/>
            <w:r w:rsidRPr="001D090E">
              <w:rPr>
                <w:sz w:val="18"/>
                <w:szCs w:val="18"/>
              </w:rPr>
              <w:t>.</w:t>
            </w:r>
          </w:p>
        </w:tc>
      </w:tr>
      <w:tr w:rsidR="00503438" w:rsidRPr="001D090E" w:rsidTr="007657AF">
        <w:tc>
          <w:tcPr>
            <w:tcW w:w="1329" w:type="dxa"/>
            <w:shd w:val="clear" w:color="auto" w:fill="auto"/>
          </w:tcPr>
          <w:p w:rsidR="00503438" w:rsidRPr="00AC367E" w:rsidRDefault="00503438" w:rsidP="00323A87">
            <w:pPr>
              <w:rPr>
                <w:sz w:val="18"/>
                <w:szCs w:val="18"/>
              </w:rPr>
            </w:pPr>
            <w:r w:rsidRPr="00AC367E">
              <w:rPr>
                <w:sz w:val="18"/>
                <w:szCs w:val="18"/>
              </w:rPr>
              <w:t xml:space="preserve">Italy </w:t>
            </w:r>
          </w:p>
        </w:tc>
        <w:tc>
          <w:tcPr>
            <w:tcW w:w="3939" w:type="dxa"/>
            <w:shd w:val="clear" w:color="auto" w:fill="auto"/>
          </w:tcPr>
          <w:p w:rsidR="001A1011" w:rsidRPr="001A1011" w:rsidRDefault="00503438" w:rsidP="001A1011">
            <w:pPr>
              <w:rPr>
                <w:sz w:val="18"/>
                <w:szCs w:val="18"/>
              </w:rPr>
            </w:pPr>
            <w:r w:rsidRPr="0000316E">
              <w:rPr>
                <w:sz w:val="18"/>
                <w:szCs w:val="18"/>
              </w:rPr>
              <w:t xml:space="preserve">Part of the Environmental Frame </w:t>
            </w:r>
            <w:r w:rsidRPr="00533D67">
              <w:rPr>
                <w:sz w:val="18"/>
                <w:szCs w:val="18"/>
              </w:rPr>
              <w:t xml:space="preserve">Law concerning </w:t>
            </w:r>
            <w:r w:rsidRPr="005A426A">
              <w:rPr>
                <w:sz w:val="18"/>
                <w:szCs w:val="18"/>
              </w:rPr>
              <w:t xml:space="preserve">waste and </w:t>
            </w:r>
            <w:r w:rsidRPr="00D921B0">
              <w:rPr>
                <w:sz w:val="18"/>
                <w:szCs w:val="18"/>
              </w:rPr>
              <w:t>soil remediation</w:t>
            </w:r>
            <w:r w:rsidR="005B1E69">
              <w:t xml:space="preserve"> (Part IV of Legislative Decree No</w:t>
            </w:r>
            <w:r w:rsidR="00405DFE" w:rsidRPr="00405DFE">
              <w:rPr>
                <w:sz w:val="18"/>
                <w:szCs w:val="18"/>
              </w:rPr>
              <w:t>.</w:t>
            </w:r>
            <w:r w:rsidR="005B1E69">
              <w:t xml:space="preserve"> 152 of 3 April 2006) </w:t>
            </w:r>
          </w:p>
        </w:tc>
        <w:tc>
          <w:tcPr>
            <w:tcW w:w="4308" w:type="dxa"/>
            <w:shd w:val="clear" w:color="auto" w:fill="auto"/>
          </w:tcPr>
          <w:p w:rsidR="00515F20" w:rsidRDefault="00503438">
            <w:pPr>
              <w:pStyle w:val="ColorfulList-Accent11"/>
              <w:numPr>
                <w:ilvl w:val="0"/>
                <w:numId w:val="11"/>
              </w:numPr>
              <w:rPr>
                <w:sz w:val="18"/>
                <w:szCs w:val="18"/>
              </w:rPr>
            </w:pPr>
            <w:r w:rsidRPr="00AC367E">
              <w:rPr>
                <w:sz w:val="18"/>
                <w:szCs w:val="18"/>
              </w:rPr>
              <w:t>Contains limits for the regeneration and the co-incineration of PCB/PCT contaminated oils</w:t>
            </w:r>
          </w:p>
          <w:p w:rsidR="00503438" w:rsidRPr="00AC367E" w:rsidRDefault="00503438" w:rsidP="00323A87">
            <w:pPr>
              <w:numPr>
                <w:ilvl w:val="0"/>
                <w:numId w:val="11"/>
              </w:numPr>
              <w:tabs>
                <w:tab w:val="clear" w:pos="1247"/>
                <w:tab w:val="clear" w:pos="1814"/>
                <w:tab w:val="clear" w:pos="2381"/>
                <w:tab w:val="clear" w:pos="2948"/>
                <w:tab w:val="clear" w:pos="3515"/>
              </w:tabs>
              <w:spacing w:after="120"/>
              <w:rPr>
                <w:sz w:val="18"/>
                <w:szCs w:val="18"/>
              </w:rPr>
            </w:pPr>
            <w:r w:rsidRPr="00AC367E">
              <w:rPr>
                <w:sz w:val="18"/>
                <w:szCs w:val="18"/>
              </w:rPr>
              <w:t xml:space="preserve">Contains action levels regarding sites (residential, industrial commercial soil and groundwater) contaminated with </w:t>
            </w:r>
            <w:proofErr w:type="spellStart"/>
            <w:r w:rsidRPr="00AC367E">
              <w:rPr>
                <w:sz w:val="18"/>
                <w:szCs w:val="18"/>
              </w:rPr>
              <w:t>aldrin</w:t>
            </w:r>
            <w:proofErr w:type="spellEnd"/>
            <w:r w:rsidRPr="00AC367E">
              <w:rPr>
                <w:sz w:val="18"/>
                <w:szCs w:val="18"/>
              </w:rPr>
              <w:t xml:space="preserve">, </w:t>
            </w:r>
            <w:proofErr w:type="spellStart"/>
            <w:r w:rsidRPr="00AC367E">
              <w:rPr>
                <w:sz w:val="18"/>
                <w:szCs w:val="18"/>
              </w:rPr>
              <w:t>alfa</w:t>
            </w:r>
            <w:proofErr w:type="spellEnd"/>
            <w:r w:rsidRPr="00AC367E">
              <w:rPr>
                <w:sz w:val="18"/>
                <w:szCs w:val="18"/>
              </w:rPr>
              <w:t xml:space="preserve">, beta and gamma HCH, chlordane, </w:t>
            </w:r>
            <w:proofErr w:type="spellStart"/>
            <w:r w:rsidRPr="00AC367E">
              <w:rPr>
                <w:sz w:val="18"/>
                <w:szCs w:val="18"/>
              </w:rPr>
              <w:t>dieldrin</w:t>
            </w:r>
            <w:proofErr w:type="spellEnd"/>
            <w:r w:rsidRPr="00AC367E">
              <w:rPr>
                <w:sz w:val="18"/>
                <w:szCs w:val="18"/>
              </w:rPr>
              <w:t xml:space="preserve">, </w:t>
            </w:r>
            <w:proofErr w:type="spellStart"/>
            <w:r w:rsidRPr="00AC367E">
              <w:rPr>
                <w:sz w:val="18"/>
                <w:szCs w:val="18"/>
              </w:rPr>
              <w:t>endrin</w:t>
            </w:r>
            <w:proofErr w:type="spellEnd"/>
            <w:r w:rsidRPr="00AC367E">
              <w:rPr>
                <w:sz w:val="18"/>
                <w:szCs w:val="18"/>
              </w:rPr>
              <w:t xml:space="preserve">, DDT, HCB, PCBs, PCDDs and PCDFs. </w:t>
            </w:r>
          </w:p>
        </w:tc>
      </w:tr>
      <w:tr w:rsidR="00503438" w:rsidRPr="001D090E" w:rsidTr="007657AF">
        <w:tc>
          <w:tcPr>
            <w:tcW w:w="1329" w:type="dxa"/>
            <w:shd w:val="clear" w:color="auto" w:fill="auto"/>
          </w:tcPr>
          <w:p w:rsidR="00503438" w:rsidRPr="00AC367E" w:rsidRDefault="00503438" w:rsidP="00323A87">
            <w:pPr>
              <w:rPr>
                <w:sz w:val="18"/>
                <w:szCs w:val="18"/>
              </w:rPr>
            </w:pPr>
            <w:r w:rsidRPr="00AC367E">
              <w:rPr>
                <w:sz w:val="18"/>
                <w:szCs w:val="18"/>
              </w:rPr>
              <w:t>Italy</w:t>
            </w:r>
          </w:p>
        </w:tc>
        <w:tc>
          <w:tcPr>
            <w:tcW w:w="3939" w:type="dxa"/>
            <w:shd w:val="clear" w:color="auto" w:fill="auto"/>
          </w:tcPr>
          <w:p w:rsidR="00503438" w:rsidRPr="00AC367E" w:rsidRDefault="00503438" w:rsidP="004C1441">
            <w:pPr>
              <w:rPr>
                <w:sz w:val="18"/>
                <w:szCs w:val="18"/>
              </w:rPr>
            </w:pPr>
            <w:r w:rsidRPr="00AC367E">
              <w:rPr>
                <w:sz w:val="18"/>
                <w:szCs w:val="18"/>
              </w:rPr>
              <w:t>Regulations for waste recovery with exemption from permit requirements (simplified administrative procedures)</w:t>
            </w:r>
            <w:r w:rsidR="009C6333">
              <w:rPr>
                <w:sz w:val="18"/>
                <w:szCs w:val="18"/>
              </w:rPr>
              <w:t xml:space="preserve"> </w:t>
            </w:r>
            <w:r w:rsidR="004C1441" w:rsidRPr="004C1441">
              <w:rPr>
                <w:sz w:val="18"/>
                <w:szCs w:val="18"/>
              </w:rPr>
              <w:t>(</w:t>
            </w:r>
            <w:r w:rsidR="00405DFE" w:rsidRPr="00405DFE">
              <w:rPr>
                <w:rFonts w:eastAsia="PMingLiU"/>
                <w:color w:val="1A1A1A"/>
                <w:sz w:val="18"/>
                <w:szCs w:val="18"/>
                <w:lang w:val="en-US" w:eastAsia="zh-TW"/>
              </w:rPr>
              <w:t>Ministerial Decree 5/02/1998)</w:t>
            </w:r>
          </w:p>
        </w:tc>
        <w:tc>
          <w:tcPr>
            <w:tcW w:w="4308" w:type="dxa"/>
            <w:shd w:val="clear" w:color="auto" w:fill="auto"/>
          </w:tcPr>
          <w:p w:rsidR="00515F20" w:rsidRDefault="00503438">
            <w:pPr>
              <w:pStyle w:val="ColorfulList-Accent11"/>
              <w:numPr>
                <w:ilvl w:val="0"/>
                <w:numId w:val="11"/>
              </w:numPr>
              <w:rPr>
                <w:sz w:val="18"/>
                <w:szCs w:val="18"/>
              </w:rPr>
            </w:pPr>
            <w:r w:rsidRPr="00AC367E">
              <w:rPr>
                <w:sz w:val="18"/>
                <w:szCs w:val="18"/>
              </w:rPr>
              <w:t>Contains limits for PCBs, PCTs and PCDDs in specific types of waste as conditions for exemption from permit requirements</w:t>
            </w:r>
          </w:p>
        </w:tc>
      </w:tr>
      <w:tr w:rsidR="00B12B08" w:rsidRPr="001D090E" w:rsidTr="0088229A">
        <w:tc>
          <w:tcPr>
            <w:tcW w:w="1329" w:type="dxa"/>
          </w:tcPr>
          <w:p w:rsidR="00B12B08" w:rsidRPr="001D090E" w:rsidRDefault="00B12B08">
            <w:pPr>
              <w:rPr>
                <w:sz w:val="18"/>
                <w:szCs w:val="18"/>
              </w:rPr>
            </w:pPr>
            <w:r w:rsidRPr="001D090E">
              <w:rPr>
                <w:sz w:val="18"/>
                <w:szCs w:val="18"/>
              </w:rPr>
              <w:t>Japan</w:t>
            </w:r>
          </w:p>
        </w:tc>
        <w:tc>
          <w:tcPr>
            <w:tcW w:w="3939" w:type="dxa"/>
          </w:tcPr>
          <w:p w:rsidR="00B12B08" w:rsidRPr="001D090E" w:rsidRDefault="00B12B08">
            <w:pPr>
              <w:rPr>
                <w:sz w:val="18"/>
                <w:szCs w:val="18"/>
              </w:rPr>
            </w:pPr>
            <w:r w:rsidRPr="001D090E">
              <w:rPr>
                <w:sz w:val="18"/>
                <w:szCs w:val="18"/>
              </w:rPr>
              <w:t>Law Concerning Special Measures Against Dioxins</w:t>
            </w:r>
          </w:p>
        </w:tc>
        <w:tc>
          <w:tcPr>
            <w:tcW w:w="4308" w:type="dxa"/>
          </w:tcPr>
          <w:p w:rsidR="00B12B08" w:rsidRPr="001D090E" w:rsidRDefault="00B12B08" w:rsidP="00890CDD">
            <w:pPr>
              <w:numPr>
                <w:ilvl w:val="0"/>
                <w:numId w:val="11"/>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tolerable daily intake environmental standards for ambient air, water quality (including sediment) and soil, emission and residue standards for gas, effluent, ash and dust regarding PCDDs, PCDFs and dioxin-like PCBs.</w:t>
            </w:r>
          </w:p>
        </w:tc>
      </w:tr>
      <w:tr w:rsidR="00B12B08" w:rsidRPr="001D090E" w:rsidTr="0088229A">
        <w:tc>
          <w:tcPr>
            <w:tcW w:w="1329" w:type="dxa"/>
          </w:tcPr>
          <w:p w:rsidR="00B12B08" w:rsidRPr="001D090E" w:rsidRDefault="00B12B08">
            <w:pPr>
              <w:rPr>
                <w:sz w:val="18"/>
                <w:szCs w:val="18"/>
              </w:rPr>
            </w:pPr>
            <w:r w:rsidRPr="001D090E">
              <w:rPr>
                <w:sz w:val="18"/>
                <w:szCs w:val="18"/>
              </w:rPr>
              <w:t>Japan</w:t>
            </w:r>
          </w:p>
        </w:tc>
        <w:tc>
          <w:tcPr>
            <w:tcW w:w="3939" w:type="dxa"/>
          </w:tcPr>
          <w:p w:rsidR="00B12B08" w:rsidRPr="001D090E" w:rsidRDefault="00B12B08" w:rsidP="0088229A">
            <w:pPr>
              <w:rPr>
                <w:sz w:val="18"/>
                <w:szCs w:val="18"/>
              </w:rPr>
            </w:pPr>
            <w:r w:rsidRPr="001D090E">
              <w:rPr>
                <w:sz w:val="18"/>
                <w:szCs w:val="18"/>
              </w:rPr>
              <w:t xml:space="preserve">Law Concerning Special Measures for Promotion of Proper Treatment of PCB Wastes (PCB Special Measures Law) </w:t>
            </w:r>
          </w:p>
        </w:tc>
        <w:tc>
          <w:tcPr>
            <w:tcW w:w="4308" w:type="dxa"/>
          </w:tcPr>
          <w:p w:rsidR="00B12B08" w:rsidRPr="001D090E" w:rsidRDefault="00B12B08" w:rsidP="00890CDD">
            <w:pPr>
              <w:numPr>
                <w:ilvl w:val="0"/>
                <w:numId w:val="11"/>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the treatment of plastics and metals contaminated with PCBs.</w:t>
            </w:r>
          </w:p>
        </w:tc>
      </w:tr>
      <w:tr w:rsidR="00B12B08" w:rsidRPr="001D090E" w:rsidTr="0088229A">
        <w:tc>
          <w:tcPr>
            <w:tcW w:w="1329" w:type="dxa"/>
          </w:tcPr>
          <w:p w:rsidR="00B12B08" w:rsidRPr="001D090E" w:rsidRDefault="00B12B08">
            <w:pPr>
              <w:rPr>
                <w:sz w:val="18"/>
                <w:szCs w:val="18"/>
              </w:rPr>
            </w:pPr>
            <w:r w:rsidRPr="001D090E">
              <w:rPr>
                <w:sz w:val="18"/>
                <w:szCs w:val="18"/>
              </w:rPr>
              <w:t>Japan</w:t>
            </w:r>
          </w:p>
        </w:tc>
        <w:tc>
          <w:tcPr>
            <w:tcW w:w="3939" w:type="dxa"/>
          </w:tcPr>
          <w:p w:rsidR="00B12B08" w:rsidRPr="001D090E" w:rsidRDefault="00B12B08">
            <w:pPr>
              <w:rPr>
                <w:sz w:val="18"/>
                <w:szCs w:val="18"/>
              </w:rPr>
            </w:pPr>
            <w:r w:rsidRPr="001D090E">
              <w:rPr>
                <w:sz w:val="18"/>
                <w:szCs w:val="18"/>
              </w:rPr>
              <w:t xml:space="preserve">Soil Contamination Countermeasures </w:t>
            </w:r>
          </w:p>
        </w:tc>
        <w:tc>
          <w:tcPr>
            <w:tcW w:w="4308" w:type="dxa"/>
          </w:tcPr>
          <w:p w:rsidR="00B12B08" w:rsidRPr="001D090E" w:rsidRDefault="00B12B08" w:rsidP="00890CDD">
            <w:pPr>
              <w:numPr>
                <w:ilvl w:val="0"/>
                <w:numId w:val="11"/>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the treatment of soil contaminated with PCBs.</w:t>
            </w:r>
          </w:p>
        </w:tc>
      </w:tr>
      <w:tr w:rsidR="00B12B08" w:rsidRPr="001D090E" w:rsidTr="0088229A">
        <w:tc>
          <w:tcPr>
            <w:tcW w:w="1329" w:type="dxa"/>
          </w:tcPr>
          <w:p w:rsidR="00B12B08" w:rsidRPr="001D090E" w:rsidRDefault="00B12B08">
            <w:pPr>
              <w:rPr>
                <w:sz w:val="18"/>
                <w:szCs w:val="18"/>
              </w:rPr>
            </w:pPr>
            <w:r w:rsidRPr="001D090E">
              <w:rPr>
                <w:sz w:val="18"/>
                <w:szCs w:val="18"/>
              </w:rPr>
              <w:t>Japan</w:t>
            </w:r>
          </w:p>
        </w:tc>
        <w:tc>
          <w:tcPr>
            <w:tcW w:w="3939" w:type="dxa"/>
          </w:tcPr>
          <w:p w:rsidR="00B12B08" w:rsidRPr="001D090E" w:rsidRDefault="00B12B08">
            <w:pPr>
              <w:rPr>
                <w:sz w:val="18"/>
                <w:szCs w:val="18"/>
              </w:rPr>
            </w:pPr>
            <w:r w:rsidRPr="001D090E">
              <w:rPr>
                <w:sz w:val="18"/>
                <w:szCs w:val="18"/>
              </w:rPr>
              <w:t>Waste Management and Public Cleansing Law</w:t>
            </w:r>
          </w:p>
        </w:tc>
        <w:tc>
          <w:tcPr>
            <w:tcW w:w="4308" w:type="dxa"/>
          </w:tcPr>
          <w:p w:rsidR="00B12B08" w:rsidRPr="001D090E" w:rsidRDefault="00B12B08" w:rsidP="00890CDD">
            <w:pPr>
              <w:numPr>
                <w:ilvl w:val="0"/>
                <w:numId w:val="11"/>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criteria of hazardous wastes containing PCBs, PCDDs, PCDFs and dioxin-like PCBs.</w:t>
            </w:r>
          </w:p>
        </w:tc>
      </w:tr>
      <w:tr w:rsidR="00B12B08" w:rsidRPr="001D090E" w:rsidTr="0088229A">
        <w:tc>
          <w:tcPr>
            <w:tcW w:w="1329" w:type="dxa"/>
          </w:tcPr>
          <w:p w:rsidR="00B12B08" w:rsidRPr="001D090E" w:rsidRDefault="00B12B08">
            <w:pPr>
              <w:rPr>
                <w:sz w:val="18"/>
                <w:szCs w:val="18"/>
              </w:rPr>
            </w:pPr>
            <w:r w:rsidRPr="001D090E">
              <w:rPr>
                <w:sz w:val="18"/>
                <w:szCs w:val="18"/>
              </w:rPr>
              <w:t>Japan</w:t>
            </w:r>
          </w:p>
        </w:tc>
        <w:tc>
          <w:tcPr>
            <w:tcW w:w="3939" w:type="dxa"/>
          </w:tcPr>
          <w:p w:rsidR="00B12B08" w:rsidRPr="001D090E" w:rsidRDefault="00B12B08">
            <w:pPr>
              <w:rPr>
                <w:sz w:val="18"/>
                <w:szCs w:val="18"/>
              </w:rPr>
            </w:pPr>
            <w:r w:rsidRPr="001D090E">
              <w:rPr>
                <w:sz w:val="18"/>
                <w:szCs w:val="18"/>
              </w:rPr>
              <w:t>Water Pollution Control Law</w:t>
            </w:r>
          </w:p>
        </w:tc>
        <w:tc>
          <w:tcPr>
            <w:tcW w:w="4308" w:type="dxa"/>
          </w:tcPr>
          <w:p w:rsidR="00B12B08" w:rsidRPr="001D090E" w:rsidRDefault="00B12B08" w:rsidP="00890CDD">
            <w:pPr>
              <w:numPr>
                <w:ilvl w:val="0"/>
                <w:numId w:val="11"/>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emission standards for effluent containing PCBs.</w:t>
            </w:r>
          </w:p>
        </w:tc>
      </w:tr>
      <w:tr w:rsidR="00B12B08" w:rsidRPr="001D090E" w:rsidTr="0088229A">
        <w:tc>
          <w:tcPr>
            <w:tcW w:w="1329" w:type="dxa"/>
          </w:tcPr>
          <w:p w:rsidR="00B12B08" w:rsidRPr="001D090E" w:rsidRDefault="00B12B08">
            <w:pPr>
              <w:rPr>
                <w:sz w:val="18"/>
                <w:szCs w:val="18"/>
              </w:rPr>
            </w:pPr>
            <w:r w:rsidRPr="001D090E">
              <w:rPr>
                <w:sz w:val="18"/>
                <w:szCs w:val="18"/>
              </w:rPr>
              <w:t>Mexico</w:t>
            </w:r>
          </w:p>
        </w:tc>
        <w:tc>
          <w:tcPr>
            <w:tcW w:w="3939" w:type="dxa"/>
          </w:tcPr>
          <w:p w:rsidR="00B12B08" w:rsidRPr="001D090E" w:rsidRDefault="00B12B08">
            <w:pPr>
              <w:rPr>
                <w:sz w:val="18"/>
                <w:szCs w:val="18"/>
              </w:rPr>
            </w:pPr>
            <w:r w:rsidRPr="001D090E">
              <w:rPr>
                <w:sz w:val="18"/>
                <w:szCs w:val="18"/>
              </w:rPr>
              <w:t>Norm NOM-098 of 2004</w:t>
            </w:r>
          </w:p>
        </w:tc>
        <w:tc>
          <w:tcPr>
            <w:tcW w:w="4308" w:type="dxa"/>
          </w:tcPr>
          <w:p w:rsidR="00B12B08" w:rsidRPr="001D090E" w:rsidRDefault="00B12B08" w:rsidP="00890CDD">
            <w:pPr>
              <w:numPr>
                <w:ilvl w:val="0"/>
                <w:numId w:val="11"/>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emission and destruction efficiency standards for waste incinerators.</w:t>
            </w:r>
          </w:p>
        </w:tc>
      </w:tr>
      <w:tr w:rsidR="00B12B08" w:rsidRPr="001D090E" w:rsidTr="0088229A">
        <w:tc>
          <w:tcPr>
            <w:tcW w:w="1329" w:type="dxa"/>
          </w:tcPr>
          <w:p w:rsidR="00B12B08" w:rsidRPr="001D090E" w:rsidRDefault="00B12B08">
            <w:pPr>
              <w:rPr>
                <w:sz w:val="18"/>
                <w:szCs w:val="18"/>
              </w:rPr>
            </w:pPr>
            <w:r w:rsidRPr="001D090E">
              <w:rPr>
                <w:sz w:val="18"/>
                <w:szCs w:val="18"/>
              </w:rPr>
              <w:t>Mexico</w:t>
            </w:r>
          </w:p>
        </w:tc>
        <w:tc>
          <w:tcPr>
            <w:tcW w:w="3939" w:type="dxa"/>
          </w:tcPr>
          <w:p w:rsidR="00B12B08" w:rsidRPr="001D090E" w:rsidRDefault="00B12B08">
            <w:pPr>
              <w:rPr>
                <w:sz w:val="18"/>
                <w:szCs w:val="18"/>
              </w:rPr>
            </w:pPr>
            <w:r w:rsidRPr="001D090E">
              <w:rPr>
                <w:sz w:val="18"/>
                <w:szCs w:val="18"/>
              </w:rPr>
              <w:t>Norm NOM-133 of 2001</w:t>
            </w:r>
          </w:p>
        </w:tc>
        <w:tc>
          <w:tcPr>
            <w:tcW w:w="4308" w:type="dxa"/>
          </w:tcPr>
          <w:p w:rsidR="00B12B08" w:rsidRPr="001D090E" w:rsidRDefault="00B12B08" w:rsidP="008C6766">
            <w:pPr>
              <w:numPr>
                <w:ilvl w:val="0"/>
                <w:numId w:val="11"/>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regulations regarding handling of PCBs and a programme for the preparation of inventories.</w:t>
            </w:r>
          </w:p>
        </w:tc>
      </w:tr>
      <w:tr w:rsidR="00B12B08" w:rsidRPr="001D090E" w:rsidTr="0088229A">
        <w:tc>
          <w:tcPr>
            <w:tcW w:w="1329" w:type="dxa"/>
          </w:tcPr>
          <w:p w:rsidR="00B12B08" w:rsidRPr="001D090E" w:rsidRDefault="00B12B08">
            <w:pPr>
              <w:rPr>
                <w:sz w:val="18"/>
                <w:szCs w:val="18"/>
              </w:rPr>
            </w:pPr>
            <w:r>
              <w:rPr>
                <w:sz w:val="18"/>
                <w:szCs w:val="18"/>
              </w:rPr>
              <w:t>New Zealand</w:t>
            </w:r>
          </w:p>
        </w:tc>
        <w:tc>
          <w:tcPr>
            <w:tcW w:w="3939" w:type="dxa"/>
          </w:tcPr>
          <w:p w:rsidR="00B12B08" w:rsidRPr="001D090E" w:rsidRDefault="00B12B08">
            <w:pPr>
              <w:rPr>
                <w:sz w:val="18"/>
                <w:szCs w:val="18"/>
              </w:rPr>
            </w:pPr>
            <w:r>
              <w:rPr>
                <w:sz w:val="18"/>
                <w:szCs w:val="18"/>
              </w:rPr>
              <w:t>Hazardous Substances and New Organisms Act 1996</w:t>
            </w:r>
          </w:p>
        </w:tc>
        <w:tc>
          <w:tcPr>
            <w:tcW w:w="4308" w:type="dxa"/>
          </w:tcPr>
          <w:p w:rsidR="00B12B08" w:rsidRPr="001D090E" w:rsidRDefault="00B12B08" w:rsidP="008C6766">
            <w:pPr>
              <w:numPr>
                <w:ilvl w:val="0"/>
                <w:numId w:val="11"/>
              </w:numPr>
              <w:tabs>
                <w:tab w:val="clear" w:pos="360"/>
                <w:tab w:val="clear" w:pos="1247"/>
                <w:tab w:val="clear" w:pos="1814"/>
                <w:tab w:val="clear" w:pos="2381"/>
                <w:tab w:val="clear" w:pos="2948"/>
                <w:tab w:val="clear" w:pos="3515"/>
              </w:tabs>
              <w:spacing w:after="120"/>
              <w:rPr>
                <w:sz w:val="18"/>
                <w:szCs w:val="18"/>
              </w:rPr>
            </w:pPr>
            <w:r>
              <w:rPr>
                <w:sz w:val="18"/>
                <w:szCs w:val="18"/>
              </w:rPr>
              <w:t xml:space="preserve">Prohibits the import, manufacture, use or storage of </w:t>
            </w:r>
            <w:proofErr w:type="gramStart"/>
            <w:r w:rsidR="008C6766">
              <w:rPr>
                <w:sz w:val="18"/>
                <w:szCs w:val="18"/>
              </w:rPr>
              <w:t xml:space="preserve">POPs </w:t>
            </w:r>
            <w:r>
              <w:rPr>
                <w:sz w:val="18"/>
                <w:szCs w:val="18"/>
              </w:rPr>
              <w:t xml:space="preserve"> (</w:t>
            </w:r>
            <w:proofErr w:type="gramEnd"/>
            <w:r>
              <w:rPr>
                <w:sz w:val="18"/>
                <w:szCs w:val="18"/>
              </w:rPr>
              <w:t>sections 25A – 25D, Schedule 1AA, Schedule 2A).</w:t>
            </w:r>
          </w:p>
        </w:tc>
      </w:tr>
      <w:tr w:rsidR="00B12B08" w:rsidRPr="001D090E" w:rsidTr="0088229A">
        <w:tc>
          <w:tcPr>
            <w:tcW w:w="1329" w:type="dxa"/>
          </w:tcPr>
          <w:p w:rsidR="00B12B08" w:rsidRDefault="00B12B08">
            <w:pPr>
              <w:rPr>
                <w:sz w:val="18"/>
                <w:szCs w:val="18"/>
              </w:rPr>
            </w:pPr>
            <w:r>
              <w:rPr>
                <w:sz w:val="18"/>
                <w:szCs w:val="18"/>
              </w:rPr>
              <w:t>New Zealand</w:t>
            </w:r>
          </w:p>
        </w:tc>
        <w:tc>
          <w:tcPr>
            <w:tcW w:w="3939" w:type="dxa"/>
          </w:tcPr>
          <w:p w:rsidR="00B12B08" w:rsidRPr="001D090E" w:rsidRDefault="00B12B08">
            <w:pPr>
              <w:rPr>
                <w:sz w:val="18"/>
                <w:szCs w:val="18"/>
              </w:rPr>
            </w:pPr>
            <w:r>
              <w:rPr>
                <w:sz w:val="18"/>
                <w:szCs w:val="18"/>
              </w:rPr>
              <w:t>National Environmental Standards for Air Quality (Resource Management (National Environmental Standards for Air Quality) Regulations 2004)</w:t>
            </w:r>
          </w:p>
        </w:tc>
        <w:tc>
          <w:tcPr>
            <w:tcW w:w="4308" w:type="dxa"/>
          </w:tcPr>
          <w:p w:rsidR="00B12B08" w:rsidRPr="001D090E" w:rsidRDefault="00B12B08" w:rsidP="00890CDD">
            <w:pPr>
              <w:numPr>
                <w:ilvl w:val="0"/>
                <w:numId w:val="11"/>
              </w:numPr>
              <w:tabs>
                <w:tab w:val="clear" w:pos="360"/>
                <w:tab w:val="clear" w:pos="1247"/>
                <w:tab w:val="clear" w:pos="1814"/>
                <w:tab w:val="clear" w:pos="2381"/>
                <w:tab w:val="clear" w:pos="2948"/>
                <w:tab w:val="clear" w:pos="3515"/>
              </w:tabs>
              <w:spacing w:after="120"/>
              <w:rPr>
                <w:sz w:val="18"/>
                <w:szCs w:val="18"/>
              </w:rPr>
            </w:pPr>
            <w:r>
              <w:rPr>
                <w:sz w:val="18"/>
                <w:szCs w:val="18"/>
              </w:rPr>
              <w:t>Contains standards banning activities discharging significant quantities of dioxins and other toxics into the air, and standards for ambient (outdoor) air quality.</w:t>
            </w:r>
          </w:p>
        </w:tc>
      </w:tr>
      <w:tr w:rsidR="00B12B08" w:rsidRPr="001D090E" w:rsidTr="0088229A">
        <w:tc>
          <w:tcPr>
            <w:tcW w:w="1329" w:type="dxa"/>
          </w:tcPr>
          <w:p w:rsidR="00B12B08" w:rsidRPr="001D090E" w:rsidRDefault="00B12B08">
            <w:pPr>
              <w:rPr>
                <w:sz w:val="18"/>
                <w:szCs w:val="18"/>
              </w:rPr>
            </w:pPr>
            <w:r w:rsidRPr="001D090E">
              <w:rPr>
                <w:sz w:val="18"/>
                <w:szCs w:val="18"/>
              </w:rPr>
              <w:t>Norway</w:t>
            </w:r>
          </w:p>
        </w:tc>
        <w:tc>
          <w:tcPr>
            <w:tcW w:w="3939" w:type="dxa"/>
          </w:tcPr>
          <w:p w:rsidR="00B12B08" w:rsidRPr="001D090E" w:rsidRDefault="00B12B08" w:rsidP="003F01CE">
            <w:pPr>
              <w:rPr>
                <w:sz w:val="18"/>
                <w:szCs w:val="18"/>
              </w:rPr>
            </w:pPr>
            <w:r w:rsidRPr="001D090E">
              <w:rPr>
                <w:sz w:val="18"/>
                <w:szCs w:val="18"/>
              </w:rPr>
              <w:t>Norwegian Product</w:t>
            </w:r>
            <w:r w:rsidRPr="00FF3FEC">
              <w:rPr>
                <w:sz w:val="18"/>
                <w:szCs w:val="18"/>
              </w:rPr>
              <w:t xml:space="preserve"> Regulation</w:t>
            </w:r>
            <w:r w:rsidR="00FF3FEC" w:rsidRPr="005571F2">
              <w:rPr>
                <w:sz w:val="18"/>
                <w:szCs w:val="18"/>
              </w:rPr>
              <w:t>s,</w:t>
            </w:r>
            <w:r w:rsidRPr="005571F2">
              <w:rPr>
                <w:sz w:val="18"/>
                <w:szCs w:val="18"/>
              </w:rPr>
              <w:t xml:space="preserve"> </w:t>
            </w:r>
            <w:r w:rsidR="00CE47BB" w:rsidRPr="005571F2">
              <w:rPr>
                <w:sz w:val="18"/>
                <w:szCs w:val="18"/>
              </w:rPr>
              <w:t>C</w:t>
            </w:r>
            <w:r w:rsidRPr="00607488">
              <w:rPr>
                <w:sz w:val="18"/>
                <w:szCs w:val="18"/>
              </w:rPr>
              <w:t xml:space="preserve">hapter 2 on </w:t>
            </w:r>
            <w:r w:rsidR="005B1E69">
              <w:t>Regulated substances, preparations and products</w:t>
            </w:r>
            <w:r w:rsidR="00405DFE" w:rsidRPr="00405DFE">
              <w:rPr>
                <w:rFonts w:eastAsia="PMingLiU"/>
                <w:bCs/>
                <w:sz w:val="18"/>
                <w:szCs w:val="18"/>
                <w:lang w:val="en-US" w:eastAsia="zh-TW"/>
              </w:rPr>
              <w:t xml:space="preserve">. </w:t>
            </w:r>
            <w:r w:rsidR="00CE47BB">
              <w:rPr>
                <w:sz w:val="18"/>
                <w:szCs w:val="18"/>
              </w:rPr>
              <w:t xml:space="preserve"> </w:t>
            </w:r>
          </w:p>
        </w:tc>
        <w:tc>
          <w:tcPr>
            <w:tcW w:w="4308" w:type="dxa"/>
          </w:tcPr>
          <w:p w:rsidR="0000316E" w:rsidRPr="0000316E" w:rsidRDefault="00B12B08" w:rsidP="00115CF8">
            <w:pPr>
              <w:numPr>
                <w:ilvl w:val="0"/>
                <w:numId w:val="11"/>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a ban on the production, use, import and export of PCBs, including PCB-containing capacitors.</w:t>
            </w:r>
            <w:r w:rsidR="00607488">
              <w:rPr>
                <w:sz w:val="18"/>
                <w:szCs w:val="18"/>
              </w:rPr>
              <w:t xml:space="preserve"> </w:t>
            </w:r>
          </w:p>
        </w:tc>
      </w:tr>
      <w:tr w:rsidR="00B12B08" w:rsidRPr="001D090E" w:rsidTr="0088229A">
        <w:tc>
          <w:tcPr>
            <w:tcW w:w="1329" w:type="dxa"/>
          </w:tcPr>
          <w:p w:rsidR="00B12B08" w:rsidRPr="001D090E" w:rsidRDefault="00B12B08">
            <w:pPr>
              <w:rPr>
                <w:sz w:val="18"/>
                <w:szCs w:val="18"/>
              </w:rPr>
            </w:pPr>
            <w:r w:rsidRPr="001D090E">
              <w:rPr>
                <w:sz w:val="18"/>
                <w:szCs w:val="18"/>
              </w:rPr>
              <w:t>Norway</w:t>
            </w:r>
          </w:p>
        </w:tc>
        <w:tc>
          <w:tcPr>
            <w:tcW w:w="3939" w:type="dxa"/>
          </w:tcPr>
          <w:p w:rsidR="00B12B08" w:rsidRPr="001D090E" w:rsidRDefault="00B12B08" w:rsidP="001014C4">
            <w:pPr>
              <w:rPr>
                <w:sz w:val="18"/>
                <w:szCs w:val="18"/>
              </w:rPr>
            </w:pPr>
            <w:r w:rsidRPr="001D090E">
              <w:rPr>
                <w:sz w:val="18"/>
                <w:szCs w:val="18"/>
              </w:rPr>
              <w:t>Norwegian Waste Regulation</w:t>
            </w:r>
            <w:r w:rsidR="001014C4">
              <w:rPr>
                <w:sz w:val="18"/>
                <w:szCs w:val="18"/>
              </w:rPr>
              <w:t>s,</w:t>
            </w:r>
            <w:r w:rsidRPr="001D090E">
              <w:rPr>
                <w:sz w:val="18"/>
                <w:szCs w:val="18"/>
              </w:rPr>
              <w:t xml:space="preserve"> </w:t>
            </w:r>
            <w:r w:rsidR="001014C4">
              <w:rPr>
                <w:sz w:val="18"/>
                <w:szCs w:val="18"/>
              </w:rPr>
              <w:t>C</w:t>
            </w:r>
            <w:r w:rsidRPr="001D090E">
              <w:rPr>
                <w:sz w:val="18"/>
                <w:szCs w:val="18"/>
              </w:rPr>
              <w:t xml:space="preserve">hapter 14 on </w:t>
            </w:r>
            <w:r w:rsidR="005B1E69">
              <w:t>Discarded insulating glass units containing PCBs</w:t>
            </w:r>
          </w:p>
        </w:tc>
        <w:tc>
          <w:tcPr>
            <w:tcW w:w="4308" w:type="dxa"/>
          </w:tcPr>
          <w:p w:rsidR="00B12B08" w:rsidRPr="001D090E" w:rsidRDefault="00B12B08" w:rsidP="00890CDD">
            <w:pPr>
              <w:numPr>
                <w:ilvl w:val="0"/>
                <w:numId w:val="11"/>
              </w:numPr>
              <w:tabs>
                <w:tab w:val="clear" w:pos="360"/>
                <w:tab w:val="clear" w:pos="1247"/>
                <w:tab w:val="clear" w:pos="1814"/>
                <w:tab w:val="clear" w:pos="2381"/>
                <w:tab w:val="clear" w:pos="2948"/>
                <w:tab w:val="clear" w:pos="3515"/>
              </w:tabs>
              <w:spacing w:after="120"/>
              <w:rPr>
                <w:sz w:val="18"/>
                <w:szCs w:val="18"/>
              </w:rPr>
            </w:pPr>
            <w:r w:rsidRPr="001D090E">
              <w:rPr>
                <w:sz w:val="18"/>
                <w:szCs w:val="18"/>
              </w:rPr>
              <w:t>Lays down requirements for the producers to collect and handle obsolete windows that contain PCBs.</w:t>
            </w:r>
          </w:p>
        </w:tc>
      </w:tr>
      <w:tr w:rsidR="00B12B08" w:rsidRPr="001D090E" w:rsidTr="0088229A">
        <w:tc>
          <w:tcPr>
            <w:tcW w:w="1329" w:type="dxa"/>
          </w:tcPr>
          <w:p w:rsidR="00B12B08" w:rsidRPr="001D090E" w:rsidRDefault="00B12B08">
            <w:pPr>
              <w:keepNext/>
              <w:keepLines/>
              <w:rPr>
                <w:sz w:val="18"/>
                <w:szCs w:val="18"/>
              </w:rPr>
            </w:pPr>
            <w:r w:rsidRPr="001D090E">
              <w:rPr>
                <w:sz w:val="18"/>
                <w:szCs w:val="18"/>
              </w:rPr>
              <w:t>Norway</w:t>
            </w:r>
          </w:p>
        </w:tc>
        <w:tc>
          <w:tcPr>
            <w:tcW w:w="3939" w:type="dxa"/>
          </w:tcPr>
          <w:p w:rsidR="00B12B08" w:rsidRPr="001D090E" w:rsidRDefault="00B12B08" w:rsidP="00BD0CA5">
            <w:pPr>
              <w:keepNext/>
              <w:keepLines/>
              <w:rPr>
                <w:sz w:val="18"/>
                <w:szCs w:val="18"/>
              </w:rPr>
            </w:pPr>
            <w:r w:rsidRPr="001D090E">
              <w:rPr>
                <w:sz w:val="18"/>
                <w:szCs w:val="18"/>
              </w:rPr>
              <w:t>Norwegian Pollution Regulation</w:t>
            </w:r>
            <w:r w:rsidR="001014C4">
              <w:rPr>
                <w:sz w:val="18"/>
                <w:szCs w:val="18"/>
              </w:rPr>
              <w:t>s,</w:t>
            </w:r>
            <w:r w:rsidRPr="001D090E">
              <w:rPr>
                <w:sz w:val="18"/>
                <w:szCs w:val="18"/>
              </w:rPr>
              <w:t xml:space="preserve"> </w:t>
            </w:r>
            <w:r w:rsidR="001014C4">
              <w:rPr>
                <w:sz w:val="18"/>
                <w:szCs w:val="18"/>
              </w:rPr>
              <w:t>C</w:t>
            </w:r>
            <w:r w:rsidRPr="001D090E">
              <w:rPr>
                <w:sz w:val="18"/>
                <w:szCs w:val="18"/>
              </w:rPr>
              <w:t xml:space="preserve">hapter 2 on </w:t>
            </w:r>
            <w:r w:rsidR="00BA3C3E">
              <w:rPr>
                <w:sz w:val="18"/>
                <w:szCs w:val="18"/>
              </w:rPr>
              <w:t>C</w:t>
            </w:r>
            <w:r w:rsidRPr="001D090E">
              <w:rPr>
                <w:sz w:val="18"/>
                <w:szCs w:val="18"/>
              </w:rPr>
              <w:t xml:space="preserve">lean-up of contaminated </w:t>
            </w:r>
            <w:r w:rsidR="00BD0CA5">
              <w:rPr>
                <w:sz w:val="18"/>
                <w:szCs w:val="18"/>
              </w:rPr>
              <w:t xml:space="preserve">soil </w:t>
            </w:r>
          </w:p>
        </w:tc>
        <w:tc>
          <w:tcPr>
            <w:tcW w:w="4308" w:type="dxa"/>
          </w:tcPr>
          <w:p w:rsidR="00B12B08" w:rsidRPr="001D090E" w:rsidRDefault="00B12B08" w:rsidP="00890CDD">
            <w:pPr>
              <w:keepNext/>
              <w:keepLines/>
              <w:numPr>
                <w:ilvl w:val="0"/>
                <w:numId w:val="11"/>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limit values below which a soil is considered to be clean and suitable for use in sensitive areas. </w:t>
            </w:r>
          </w:p>
        </w:tc>
      </w:tr>
      <w:tr w:rsidR="00B12B08" w:rsidRPr="001D090E" w:rsidTr="0088229A">
        <w:tc>
          <w:tcPr>
            <w:tcW w:w="1329" w:type="dxa"/>
          </w:tcPr>
          <w:p w:rsidR="00B12B08" w:rsidRPr="001D090E" w:rsidRDefault="00B12B08">
            <w:pPr>
              <w:rPr>
                <w:sz w:val="18"/>
                <w:szCs w:val="18"/>
              </w:rPr>
            </w:pPr>
            <w:r w:rsidRPr="001D090E">
              <w:rPr>
                <w:sz w:val="18"/>
                <w:szCs w:val="18"/>
              </w:rPr>
              <w:t>Switzerland</w:t>
            </w:r>
          </w:p>
        </w:tc>
        <w:tc>
          <w:tcPr>
            <w:tcW w:w="3939" w:type="dxa"/>
          </w:tcPr>
          <w:p w:rsidR="00B12B08" w:rsidRPr="001D090E" w:rsidRDefault="00B12B08">
            <w:pPr>
              <w:rPr>
                <w:sz w:val="18"/>
                <w:szCs w:val="18"/>
              </w:rPr>
            </w:pPr>
            <w:r w:rsidRPr="001D090E">
              <w:rPr>
                <w:sz w:val="18"/>
                <w:szCs w:val="18"/>
              </w:rPr>
              <w:t>Soil Burden Ordinance</w:t>
            </w:r>
          </w:p>
        </w:tc>
        <w:tc>
          <w:tcPr>
            <w:tcW w:w="4308" w:type="dxa"/>
          </w:tcPr>
          <w:p w:rsidR="00B12B08" w:rsidRPr="001D090E" w:rsidRDefault="00B12B08" w:rsidP="00890CDD">
            <w:pPr>
              <w:numPr>
                <w:ilvl w:val="0"/>
                <w:numId w:val="11"/>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actions levels regarding sites contaminated with PCBs, PCDDs and PCDFs.</w:t>
            </w:r>
          </w:p>
        </w:tc>
      </w:tr>
      <w:tr w:rsidR="00B12B08" w:rsidRPr="001D090E" w:rsidTr="0088229A">
        <w:tc>
          <w:tcPr>
            <w:tcW w:w="1329" w:type="dxa"/>
          </w:tcPr>
          <w:p w:rsidR="00B12B08" w:rsidRPr="001D090E" w:rsidRDefault="00B12B08">
            <w:pPr>
              <w:rPr>
                <w:sz w:val="18"/>
                <w:szCs w:val="18"/>
              </w:rPr>
            </w:pPr>
            <w:r w:rsidRPr="001D090E">
              <w:rPr>
                <w:sz w:val="18"/>
                <w:szCs w:val="18"/>
              </w:rPr>
              <w:t>United States of America</w:t>
            </w:r>
          </w:p>
        </w:tc>
        <w:tc>
          <w:tcPr>
            <w:tcW w:w="3939" w:type="dxa"/>
          </w:tcPr>
          <w:p w:rsidR="00B12B08" w:rsidRPr="001D090E" w:rsidRDefault="00B12B08">
            <w:pPr>
              <w:rPr>
                <w:sz w:val="18"/>
                <w:szCs w:val="18"/>
              </w:rPr>
            </w:pPr>
            <w:r w:rsidRPr="001D090E">
              <w:rPr>
                <w:sz w:val="18"/>
                <w:szCs w:val="18"/>
              </w:rPr>
              <w:t>EPA 40 CFR 63 Subpart EEE National Emission Standards for Hazardous Air Pollutants from Hazardous Waste Combustors</w:t>
            </w:r>
          </w:p>
        </w:tc>
        <w:tc>
          <w:tcPr>
            <w:tcW w:w="4308" w:type="dxa"/>
          </w:tcPr>
          <w:p w:rsidR="00B12B08" w:rsidRPr="001D090E" w:rsidRDefault="00B12B08" w:rsidP="00890CDD">
            <w:pPr>
              <w:numPr>
                <w:ilvl w:val="0"/>
                <w:numId w:val="11"/>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releases of PCDDs and PCDFs within air emissions.</w:t>
            </w:r>
          </w:p>
        </w:tc>
      </w:tr>
      <w:tr w:rsidR="00B12B08" w:rsidRPr="001D090E" w:rsidTr="0088229A">
        <w:tc>
          <w:tcPr>
            <w:tcW w:w="1329" w:type="dxa"/>
          </w:tcPr>
          <w:p w:rsidR="00B12B08" w:rsidRPr="001D090E" w:rsidRDefault="00B12B08">
            <w:pPr>
              <w:rPr>
                <w:sz w:val="18"/>
                <w:szCs w:val="18"/>
              </w:rPr>
            </w:pPr>
            <w:r w:rsidRPr="001D090E">
              <w:rPr>
                <w:sz w:val="18"/>
                <w:szCs w:val="18"/>
              </w:rPr>
              <w:t>United States of America</w:t>
            </w:r>
          </w:p>
        </w:tc>
        <w:tc>
          <w:tcPr>
            <w:tcW w:w="3939" w:type="dxa"/>
          </w:tcPr>
          <w:p w:rsidR="00B12B08" w:rsidRPr="001D090E" w:rsidRDefault="00B12B08">
            <w:pPr>
              <w:rPr>
                <w:sz w:val="18"/>
                <w:szCs w:val="18"/>
              </w:rPr>
            </w:pPr>
            <w:r w:rsidRPr="001D090E">
              <w:rPr>
                <w:sz w:val="18"/>
                <w:szCs w:val="18"/>
              </w:rPr>
              <w:t>40 CFR 268.48 Universal Treatment Standards for Hazardous Wastes</w:t>
            </w:r>
          </w:p>
        </w:tc>
        <w:tc>
          <w:tcPr>
            <w:tcW w:w="4308" w:type="dxa"/>
          </w:tcPr>
          <w:p w:rsidR="00B12B08" w:rsidRPr="001D090E" w:rsidRDefault="00B12B08" w:rsidP="003F01CE">
            <w:pPr>
              <w:numPr>
                <w:ilvl w:val="0"/>
                <w:numId w:val="11"/>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the treatment of hazardous waste prior to land disposal and aqueous waste prior to release.</w:t>
            </w:r>
          </w:p>
        </w:tc>
      </w:tr>
      <w:tr w:rsidR="00B12B08" w:rsidRPr="001D090E" w:rsidTr="0088229A">
        <w:tc>
          <w:tcPr>
            <w:tcW w:w="1329" w:type="dxa"/>
          </w:tcPr>
          <w:p w:rsidR="00B12B08" w:rsidRPr="001D090E" w:rsidRDefault="00B12B08">
            <w:pPr>
              <w:rPr>
                <w:sz w:val="18"/>
                <w:szCs w:val="18"/>
              </w:rPr>
            </w:pPr>
            <w:r w:rsidRPr="001D090E">
              <w:rPr>
                <w:sz w:val="18"/>
                <w:szCs w:val="18"/>
              </w:rPr>
              <w:t>United States of America</w:t>
            </w:r>
          </w:p>
        </w:tc>
        <w:tc>
          <w:tcPr>
            <w:tcW w:w="3939" w:type="dxa"/>
          </w:tcPr>
          <w:p w:rsidR="00B12B08" w:rsidRPr="001D090E" w:rsidRDefault="00B12B08">
            <w:pPr>
              <w:rPr>
                <w:sz w:val="18"/>
                <w:szCs w:val="18"/>
              </w:rPr>
            </w:pPr>
            <w:r w:rsidRPr="001D090E">
              <w:rPr>
                <w:sz w:val="18"/>
                <w:szCs w:val="18"/>
              </w:rPr>
              <w:t>40 CFR 761.70 Standards for incineration of PCBs</w:t>
            </w:r>
          </w:p>
        </w:tc>
        <w:tc>
          <w:tcPr>
            <w:tcW w:w="4308" w:type="dxa"/>
          </w:tcPr>
          <w:p w:rsidR="00B12B08" w:rsidRPr="001D090E" w:rsidRDefault="00B12B08" w:rsidP="00890CDD">
            <w:pPr>
              <w:numPr>
                <w:ilvl w:val="0"/>
                <w:numId w:val="11"/>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air emissions when incinerating PCBs</w:t>
            </w:r>
            <w:r w:rsidR="00BA3C3E">
              <w:rPr>
                <w:sz w:val="18"/>
                <w:szCs w:val="18"/>
              </w:rPr>
              <w:t>.</w:t>
            </w:r>
          </w:p>
        </w:tc>
      </w:tr>
    </w:tbl>
    <w:p w:rsidR="00890CDD" w:rsidRDefault="00890CDD" w:rsidP="0088229A">
      <w:pPr>
        <w:pStyle w:val="Anxhead"/>
        <w:spacing w:before="360" w:after="240"/>
      </w:pPr>
      <w:bookmarkStart w:id="906" w:name="_Toc81707183"/>
      <w:bookmarkStart w:id="907" w:name="_Toc84387284"/>
      <w:bookmarkStart w:id="908" w:name="_Toc147727308"/>
      <w:bookmarkStart w:id="909" w:name="_Toc161804629"/>
      <w:bookmarkStart w:id="910" w:name="_Toc62220572"/>
      <w:bookmarkEnd w:id="905"/>
    </w:p>
    <w:p w:rsidR="00093BCE" w:rsidRDefault="00890CDD" w:rsidP="00093BCE">
      <w:pPr>
        <w:pStyle w:val="Heading1"/>
        <w:spacing w:before="120"/>
        <w:rPr>
          <w:rFonts w:ascii="Times New Roman" w:hAnsi="Times New Roman"/>
          <w:sz w:val="28"/>
          <w:szCs w:val="28"/>
          <w:lang w:val="en-US"/>
        </w:rPr>
      </w:pPr>
      <w:r w:rsidRPr="00CF652F">
        <w:rPr>
          <w:lang w:val="en-US"/>
        </w:rPr>
        <w:br w:type="page"/>
      </w:r>
      <w:bookmarkStart w:id="911" w:name="_Toc81707181"/>
      <w:bookmarkStart w:id="912" w:name="_Toc84387282"/>
      <w:bookmarkStart w:id="913" w:name="_Toc147727304"/>
      <w:bookmarkStart w:id="914" w:name="_Toc161804625"/>
      <w:bookmarkStart w:id="915" w:name="_Toc416938668"/>
      <w:bookmarkStart w:id="916" w:name="_Toc426462774"/>
      <w:bookmarkStart w:id="917" w:name="_Toc437340597"/>
      <w:bookmarkStart w:id="918" w:name="_Toc405983900"/>
      <w:bookmarkStart w:id="919" w:name="_Toc405988704"/>
      <w:r w:rsidR="00FA42EF" w:rsidRPr="00FA42EF">
        <w:rPr>
          <w:rFonts w:ascii="Times New Roman" w:hAnsi="Times New Roman"/>
          <w:sz w:val="28"/>
          <w:szCs w:val="28"/>
          <w:lang w:val="en-US"/>
        </w:rPr>
        <w:t>Annex III</w:t>
      </w:r>
      <w:bookmarkEnd w:id="906"/>
      <w:bookmarkEnd w:id="907"/>
      <w:bookmarkEnd w:id="908"/>
      <w:bookmarkEnd w:id="909"/>
      <w:bookmarkEnd w:id="911"/>
      <w:bookmarkEnd w:id="912"/>
      <w:bookmarkEnd w:id="913"/>
      <w:bookmarkEnd w:id="914"/>
      <w:bookmarkEnd w:id="915"/>
      <w:bookmarkEnd w:id="916"/>
      <w:bookmarkEnd w:id="917"/>
      <w:r w:rsidR="000302A4">
        <w:rPr>
          <w:rFonts w:ascii="Times New Roman" w:hAnsi="Times New Roman"/>
          <w:sz w:val="28"/>
          <w:szCs w:val="28"/>
          <w:lang w:val="en-US"/>
        </w:rPr>
        <w:t xml:space="preserve"> to the technical guidelines</w:t>
      </w:r>
      <w:r w:rsidR="00FA42EF" w:rsidRPr="00FA42EF">
        <w:rPr>
          <w:rFonts w:ascii="Times New Roman" w:hAnsi="Times New Roman"/>
          <w:sz w:val="28"/>
          <w:szCs w:val="28"/>
          <w:lang w:val="en-US"/>
        </w:rPr>
        <w:t xml:space="preserve"> </w:t>
      </w:r>
      <w:bookmarkEnd w:id="918"/>
      <w:bookmarkEnd w:id="919"/>
    </w:p>
    <w:p w:rsidR="00E8028C" w:rsidRDefault="00FA42EF">
      <w:pPr>
        <w:pStyle w:val="Heading1"/>
        <w:spacing w:before="240"/>
        <w:ind w:firstLine="527"/>
        <w:rPr>
          <w:szCs w:val="28"/>
        </w:rPr>
      </w:pPr>
      <w:bookmarkStart w:id="920" w:name="_Toc161804630"/>
      <w:bookmarkStart w:id="921" w:name="_Toc405988705"/>
      <w:bookmarkStart w:id="922" w:name="_Toc437340598"/>
      <w:r w:rsidRPr="00FA42EF">
        <w:rPr>
          <w:rFonts w:ascii="Times New Roman" w:hAnsi="Times New Roman"/>
          <w:sz w:val="28"/>
          <w:szCs w:val="28"/>
        </w:rPr>
        <w:t>Bibliography</w:t>
      </w:r>
      <w:bookmarkEnd w:id="920"/>
      <w:bookmarkEnd w:id="921"/>
      <w:bookmarkEnd w:id="922"/>
      <w:r w:rsidR="00515464">
        <w:rPr>
          <w:rFonts w:ascii="Times New Roman" w:hAnsi="Times New Roman"/>
          <w:sz w:val="28"/>
          <w:szCs w:val="28"/>
        </w:rPr>
        <w:t xml:space="preserve"> </w:t>
      </w:r>
    </w:p>
    <w:bookmarkEnd w:id="910"/>
    <w:p w:rsidR="00890CDD" w:rsidRDefault="00890CDD">
      <w:pPr>
        <w:spacing w:after="120"/>
        <w:ind w:left="1247"/>
      </w:pPr>
      <w:proofErr w:type="gramStart"/>
      <w:r w:rsidRPr="00F9232A">
        <w:t>Agency for Toxic Substances and Disease Registry</w:t>
      </w:r>
      <w:r w:rsidR="009E313E">
        <w:t xml:space="preserve"> (United States of America)</w:t>
      </w:r>
      <w:r w:rsidR="00F9172D">
        <w:t>,</w:t>
      </w:r>
      <w:r w:rsidRPr="00F9232A">
        <w:t xml:space="preserve"> Toxicological Profile Information Sheets.</w:t>
      </w:r>
      <w:proofErr w:type="gramEnd"/>
      <w:r w:rsidRPr="00F9232A">
        <w:t xml:space="preserve"> Available </w:t>
      </w:r>
      <w:r w:rsidR="005032DC">
        <w:t>from</w:t>
      </w:r>
      <w:r w:rsidR="00F9172D">
        <w:t>:</w:t>
      </w:r>
      <w:r w:rsidRPr="00F9232A">
        <w:t xml:space="preserve"> </w:t>
      </w:r>
      <w:hyperlink r:id="rId37" w:history="1">
        <w:r w:rsidRPr="00F9232A">
          <w:rPr>
            <w:rStyle w:val="Hyperlink"/>
          </w:rPr>
          <w:t>www.atsdr.cdc.gov</w:t>
        </w:r>
      </w:hyperlink>
      <w:r w:rsidRPr="00F9232A">
        <w:t>.</w:t>
      </w:r>
    </w:p>
    <w:p w:rsidR="00890CDD" w:rsidRDefault="00890CDD">
      <w:pPr>
        <w:spacing w:after="120"/>
        <w:ind w:left="1247"/>
      </w:pPr>
      <w:proofErr w:type="spellStart"/>
      <w:proofErr w:type="gramStart"/>
      <w:r w:rsidRPr="00F9232A">
        <w:t>Ariizumi</w:t>
      </w:r>
      <w:proofErr w:type="spellEnd"/>
      <w:r w:rsidRPr="00F9232A">
        <w:t>, A</w:t>
      </w:r>
      <w:r w:rsidR="00C124FA">
        <w:t xml:space="preserve"> et al</w:t>
      </w:r>
      <w:r w:rsidRPr="00F9232A">
        <w:t>, 1997</w:t>
      </w:r>
      <w:r w:rsidR="00C124FA">
        <w:t>.</w:t>
      </w:r>
      <w:proofErr w:type="gramEnd"/>
      <w:r w:rsidRPr="00F9232A">
        <w:t xml:space="preserve"> </w:t>
      </w:r>
      <w:proofErr w:type="gramStart"/>
      <w:r w:rsidR="00622D6F">
        <w:t>“</w:t>
      </w:r>
      <w:proofErr w:type="spellStart"/>
      <w:r w:rsidR="00405DFE" w:rsidRPr="00405DFE">
        <w:rPr>
          <w:iCs/>
        </w:rPr>
        <w:t>Dechlorination</w:t>
      </w:r>
      <w:proofErr w:type="spellEnd"/>
      <w:r w:rsidR="00405DFE" w:rsidRPr="00405DFE">
        <w:rPr>
          <w:iCs/>
        </w:rPr>
        <w:t xml:space="preserve"> and decomposition behaviour of PCBs by the sodium dispersion process”</w:t>
      </w:r>
      <w:r w:rsidR="00622D6F">
        <w:rPr>
          <w:iCs/>
        </w:rPr>
        <w:t>,</w:t>
      </w:r>
      <w:r w:rsidRPr="00F9232A">
        <w:t xml:space="preserve"> </w:t>
      </w:r>
      <w:r w:rsidR="00405DFE" w:rsidRPr="00405DFE">
        <w:rPr>
          <w:i/>
        </w:rPr>
        <w:t>J. Environ.</w:t>
      </w:r>
      <w:proofErr w:type="gramEnd"/>
      <w:r w:rsidR="00405DFE" w:rsidRPr="00405DFE">
        <w:rPr>
          <w:i/>
        </w:rPr>
        <w:t xml:space="preserve"> Chem.</w:t>
      </w:r>
      <w:r w:rsidRPr="00F9232A">
        <w:t xml:space="preserve">, </w:t>
      </w:r>
      <w:r w:rsidR="00C124FA">
        <w:t xml:space="preserve">vol. </w:t>
      </w:r>
      <w:r w:rsidRPr="00F9232A">
        <w:t xml:space="preserve">7, </w:t>
      </w:r>
      <w:r w:rsidR="00C124FA">
        <w:t xml:space="preserve">pp. </w:t>
      </w:r>
      <w:r w:rsidRPr="00F9232A">
        <w:t>793–799.</w:t>
      </w:r>
    </w:p>
    <w:p w:rsidR="00890CDD" w:rsidRDefault="00890CDD">
      <w:pPr>
        <w:spacing w:after="120"/>
        <w:ind w:left="1247"/>
      </w:pPr>
      <w:proofErr w:type="gramStart"/>
      <w:r w:rsidRPr="00F9232A">
        <w:t>Australia Department of the Environment and Heritage, 2000.</w:t>
      </w:r>
      <w:proofErr w:type="gramEnd"/>
      <w:r w:rsidRPr="00F9232A">
        <w:t xml:space="preserve"> </w:t>
      </w:r>
      <w:proofErr w:type="gramStart"/>
      <w:r w:rsidR="00405DFE" w:rsidRPr="00405DFE">
        <w:rPr>
          <w:i/>
        </w:rPr>
        <w:t>A Case Study of Problem Solving Through Effective Community Consultation</w:t>
      </w:r>
      <w:r w:rsidRPr="00F9232A">
        <w:t>.</w:t>
      </w:r>
      <w:proofErr w:type="gramEnd"/>
      <w:r w:rsidRPr="00F9232A">
        <w:t xml:space="preserve"> </w:t>
      </w:r>
      <w:r>
        <w:t>Available at</w:t>
      </w:r>
      <w:r w:rsidR="005032DC">
        <w:t>:</w:t>
      </w:r>
      <w:r w:rsidRPr="00F9232A">
        <w:t xml:space="preserve"> http://www.ntn.org.au/cchandbook/library/documents/problem%20solving.pdf</w:t>
      </w:r>
      <w:r w:rsidR="00F37F6C">
        <w:t>.</w:t>
      </w:r>
    </w:p>
    <w:p w:rsidR="00397A9E" w:rsidRPr="00885734" w:rsidRDefault="00397A9E" w:rsidP="009B4C51">
      <w:pPr>
        <w:tabs>
          <w:tab w:val="clear" w:pos="1247"/>
          <w:tab w:val="clear" w:pos="1814"/>
          <w:tab w:val="clear" w:pos="2381"/>
          <w:tab w:val="clear" w:pos="2948"/>
          <w:tab w:val="clear" w:pos="3515"/>
        </w:tabs>
        <w:autoSpaceDE w:val="0"/>
        <w:autoSpaceDN w:val="0"/>
        <w:adjustRightInd w:val="0"/>
        <w:spacing w:after="120"/>
        <w:ind w:left="1247"/>
        <w:rPr>
          <w:rFonts w:eastAsia="Calibri"/>
          <w:lang w:val="en-US"/>
        </w:rPr>
      </w:pPr>
      <w:proofErr w:type="gramStart"/>
      <w:r w:rsidRPr="00885734">
        <w:rPr>
          <w:rFonts w:eastAsia="Calibri"/>
          <w:lang w:val="en-US"/>
        </w:rPr>
        <w:t xml:space="preserve">Austrian </w:t>
      </w:r>
      <w:r w:rsidR="00885734" w:rsidRPr="00885734">
        <w:rPr>
          <w:rFonts w:eastAsia="Calibri"/>
          <w:lang w:val="en-US"/>
        </w:rPr>
        <w:t>Federal Ministry of Agriculture, Forestry, Environment and Water Management</w:t>
      </w:r>
      <w:r w:rsidR="00885734">
        <w:rPr>
          <w:rFonts w:eastAsia="Calibri"/>
          <w:lang w:val="en-US"/>
        </w:rPr>
        <w:t>, 2010.</w:t>
      </w:r>
      <w:proofErr w:type="gramEnd"/>
      <w:r w:rsidR="00885734">
        <w:rPr>
          <w:rFonts w:eastAsia="Calibri"/>
          <w:lang w:val="en-US"/>
        </w:rPr>
        <w:t xml:space="preserve"> </w:t>
      </w:r>
      <w:proofErr w:type="gramStart"/>
      <w:r w:rsidR="00405DFE" w:rsidRPr="00405DFE">
        <w:rPr>
          <w:rFonts w:eastAsia="Calibri"/>
          <w:i/>
          <w:lang w:val="en-US"/>
        </w:rPr>
        <w:t>Waste</w:t>
      </w:r>
      <w:r w:rsidR="00622D6F">
        <w:rPr>
          <w:rFonts w:eastAsia="Calibri"/>
          <w:i/>
          <w:lang w:val="en-US"/>
        </w:rPr>
        <w:t>-</w:t>
      </w:r>
      <w:r w:rsidR="00405DFE" w:rsidRPr="00405DFE">
        <w:rPr>
          <w:rFonts w:eastAsia="Calibri"/>
          <w:i/>
          <w:lang w:val="en-US"/>
        </w:rPr>
        <w:t>to</w:t>
      </w:r>
      <w:r w:rsidR="00622D6F">
        <w:rPr>
          <w:rFonts w:eastAsia="Calibri"/>
          <w:i/>
          <w:lang w:val="en-US"/>
        </w:rPr>
        <w:t>-</w:t>
      </w:r>
      <w:r w:rsidR="00405DFE" w:rsidRPr="00405DFE">
        <w:rPr>
          <w:rFonts w:eastAsia="Calibri"/>
          <w:i/>
          <w:lang w:val="en-US"/>
        </w:rPr>
        <w:t>Energy in Austria.</w:t>
      </w:r>
      <w:proofErr w:type="gramEnd"/>
      <w:r w:rsidR="00405DFE" w:rsidRPr="00405DFE">
        <w:rPr>
          <w:rFonts w:eastAsia="Calibri"/>
          <w:i/>
          <w:lang w:val="en-US"/>
        </w:rPr>
        <w:t xml:space="preserve"> </w:t>
      </w:r>
      <w:proofErr w:type="gramStart"/>
      <w:r w:rsidR="00405DFE" w:rsidRPr="00405DFE">
        <w:rPr>
          <w:rFonts w:eastAsia="Calibri"/>
          <w:bCs/>
          <w:i/>
          <w:lang w:val="en-US"/>
        </w:rPr>
        <w:t>White Book – Figures, Data, Facts</w:t>
      </w:r>
      <w:r w:rsidR="00622D6F">
        <w:rPr>
          <w:rFonts w:eastAsia="Calibri"/>
          <w:bCs/>
          <w:i/>
          <w:lang w:val="en-US"/>
        </w:rPr>
        <w:t>,</w:t>
      </w:r>
      <w:r w:rsidR="00405DFE" w:rsidRPr="00405DFE">
        <w:rPr>
          <w:rFonts w:eastAsia="Calibri"/>
          <w:bCs/>
          <w:i/>
          <w:lang w:val="en-US"/>
        </w:rPr>
        <w:t xml:space="preserve"> </w:t>
      </w:r>
      <w:r w:rsidR="00961457" w:rsidRPr="00622D6F">
        <w:rPr>
          <w:rFonts w:eastAsia="Calibri"/>
          <w:bCs/>
          <w:lang w:val="en-US"/>
        </w:rPr>
        <w:t>2nd</w:t>
      </w:r>
      <w:r w:rsidR="00622D6F">
        <w:rPr>
          <w:rFonts w:eastAsia="Calibri"/>
          <w:bCs/>
          <w:lang w:val="en-US"/>
        </w:rPr>
        <w:t xml:space="preserve"> e</w:t>
      </w:r>
      <w:r w:rsidR="00961457" w:rsidRPr="00622D6F">
        <w:rPr>
          <w:rFonts w:eastAsia="Calibri"/>
          <w:bCs/>
          <w:lang w:val="en-US"/>
        </w:rPr>
        <w:t>dition</w:t>
      </w:r>
      <w:r w:rsidR="00961457">
        <w:rPr>
          <w:rFonts w:eastAsia="Calibri"/>
          <w:bCs/>
          <w:lang w:val="en-US"/>
        </w:rPr>
        <w:t>.</w:t>
      </w:r>
      <w:proofErr w:type="gramEnd"/>
      <w:r w:rsidR="00961457">
        <w:rPr>
          <w:rFonts w:eastAsia="Calibri"/>
          <w:bCs/>
          <w:lang w:val="en-US"/>
        </w:rPr>
        <w:t xml:space="preserve"> Available at: </w:t>
      </w:r>
      <w:r w:rsidR="00C124FA" w:rsidRPr="00C124FA">
        <w:rPr>
          <w:rFonts w:eastAsia="Calibri"/>
          <w:bCs/>
          <w:lang w:val="en-US"/>
        </w:rPr>
        <w:t>http://www.uvp.at/publications/whitebook/</w:t>
      </w:r>
      <w:r w:rsidR="00961457">
        <w:rPr>
          <w:rFonts w:eastAsia="Calibri"/>
          <w:bCs/>
          <w:lang w:val="en-US"/>
        </w:rPr>
        <w:t xml:space="preserve"> </w:t>
      </w:r>
    </w:p>
    <w:p w:rsidR="009B4C51" w:rsidRPr="009B4C51" w:rsidRDefault="009B4C51" w:rsidP="009B4C51">
      <w:pPr>
        <w:tabs>
          <w:tab w:val="clear" w:pos="1247"/>
          <w:tab w:val="clear" w:pos="1814"/>
          <w:tab w:val="clear" w:pos="2381"/>
          <w:tab w:val="clear" w:pos="2948"/>
          <w:tab w:val="clear" w:pos="3515"/>
        </w:tabs>
        <w:autoSpaceDE w:val="0"/>
        <w:autoSpaceDN w:val="0"/>
        <w:adjustRightInd w:val="0"/>
        <w:spacing w:after="120"/>
        <w:ind w:left="1247"/>
        <w:rPr>
          <w:rFonts w:eastAsia="Calibri"/>
          <w:lang w:val="en-US"/>
        </w:rPr>
      </w:pPr>
      <w:proofErr w:type="spellStart"/>
      <w:proofErr w:type="gramStart"/>
      <w:r w:rsidRPr="009B4C51">
        <w:rPr>
          <w:rFonts w:eastAsia="Calibri"/>
          <w:lang w:val="en-US"/>
        </w:rPr>
        <w:t>BiPRO</w:t>
      </w:r>
      <w:proofErr w:type="spellEnd"/>
      <w:r w:rsidRPr="009B4C51">
        <w:rPr>
          <w:rFonts w:eastAsia="Calibri"/>
          <w:lang w:val="en-US"/>
        </w:rPr>
        <w:t xml:space="preserve"> GmbH</w:t>
      </w:r>
      <w:r w:rsidR="00622D6F">
        <w:rPr>
          <w:rFonts w:eastAsia="Calibri"/>
          <w:lang w:val="en-US"/>
        </w:rPr>
        <w:t>, 2005.</w:t>
      </w:r>
      <w:proofErr w:type="gramEnd"/>
      <w:r w:rsidRPr="009B4C51">
        <w:rPr>
          <w:rFonts w:eastAsia="Calibri"/>
          <w:lang w:val="en-US"/>
        </w:rPr>
        <w:t xml:space="preserve"> </w:t>
      </w:r>
      <w:r w:rsidR="00622D6F">
        <w:rPr>
          <w:rFonts w:eastAsia="Calibri"/>
          <w:lang w:val="en-US"/>
        </w:rPr>
        <w:t>“</w:t>
      </w:r>
      <w:r w:rsidRPr="009B4C51">
        <w:rPr>
          <w:rFonts w:eastAsia="Calibri"/>
          <w:lang w:val="en-US"/>
        </w:rPr>
        <w:t>Study to facilitate the implementation of certain waste related provisions of the Regulation on</w:t>
      </w:r>
      <w:r>
        <w:rPr>
          <w:rFonts w:eastAsia="Calibri"/>
          <w:lang w:val="en-US"/>
        </w:rPr>
        <w:t xml:space="preserve"> </w:t>
      </w:r>
      <w:r w:rsidRPr="009B4C51">
        <w:rPr>
          <w:rFonts w:eastAsia="Calibri"/>
          <w:lang w:val="en-US"/>
        </w:rPr>
        <w:t>Persistent Organic Pollutants (POPs)</w:t>
      </w:r>
      <w:r w:rsidR="00622D6F">
        <w:rPr>
          <w:rFonts w:eastAsia="Calibri"/>
          <w:lang w:val="en-US"/>
        </w:rPr>
        <w:t>:</w:t>
      </w:r>
      <w:r w:rsidRPr="009B4C51">
        <w:rPr>
          <w:rFonts w:eastAsia="Calibri"/>
          <w:lang w:val="en-US"/>
        </w:rPr>
        <w:t xml:space="preserve"> Final Report for the Europea</w:t>
      </w:r>
      <w:r>
        <w:rPr>
          <w:rFonts w:eastAsia="Calibri"/>
          <w:lang w:val="en-US"/>
        </w:rPr>
        <w:t>n Commission</w:t>
      </w:r>
      <w:r w:rsidR="00622D6F">
        <w:rPr>
          <w:rFonts w:eastAsia="Calibri"/>
          <w:lang w:val="en-US"/>
        </w:rPr>
        <w:t>.”</w:t>
      </w:r>
      <w:r>
        <w:rPr>
          <w:rFonts w:eastAsia="Calibri"/>
          <w:lang w:val="en-US"/>
        </w:rPr>
        <w:t xml:space="preserve"> Brussels</w:t>
      </w:r>
      <w:r w:rsidR="00622D6F">
        <w:rPr>
          <w:rFonts w:eastAsia="Calibri"/>
          <w:lang w:val="en-US"/>
        </w:rPr>
        <w:t>,</w:t>
      </w:r>
      <w:r>
        <w:rPr>
          <w:rFonts w:eastAsia="Calibri"/>
          <w:lang w:val="en-US"/>
        </w:rPr>
        <w:t xml:space="preserve"> Munich</w:t>
      </w:r>
      <w:r w:rsidRPr="009B4C51">
        <w:rPr>
          <w:rFonts w:eastAsia="Calibri"/>
          <w:lang w:val="en-US"/>
        </w:rPr>
        <w:t>.</w:t>
      </w:r>
    </w:p>
    <w:p w:rsidR="002D2C2A" w:rsidRDefault="002D2C2A" w:rsidP="002D2C2A">
      <w:pPr>
        <w:spacing w:after="120"/>
        <w:ind w:left="1247"/>
      </w:pPr>
      <w:proofErr w:type="spellStart"/>
      <w:proofErr w:type="gramStart"/>
      <w:r w:rsidRPr="001B2839">
        <w:t>Brusselaers</w:t>
      </w:r>
      <w:proofErr w:type="spellEnd"/>
      <w:r w:rsidR="00622D6F">
        <w:t xml:space="preserve"> J.</w:t>
      </w:r>
      <w:r w:rsidRPr="001B2839">
        <w:t xml:space="preserve">, </w:t>
      </w:r>
      <w:r w:rsidR="00622D6F">
        <w:t xml:space="preserve">Mark </w:t>
      </w:r>
      <w:r w:rsidRPr="001B2839">
        <w:t xml:space="preserve">F.E. and </w:t>
      </w:r>
      <w:proofErr w:type="spellStart"/>
      <w:r w:rsidRPr="001B2839">
        <w:t>Tange</w:t>
      </w:r>
      <w:proofErr w:type="spellEnd"/>
      <w:r w:rsidR="00622D6F">
        <w:t xml:space="preserve"> L.</w:t>
      </w:r>
      <w:r w:rsidRPr="001B2839">
        <w:t>,</w:t>
      </w:r>
      <w:r>
        <w:t xml:space="preserve"> 2006.</w:t>
      </w:r>
      <w:proofErr w:type="gramEnd"/>
      <w:r w:rsidRPr="001B2839">
        <w:t xml:space="preserve"> </w:t>
      </w:r>
      <w:proofErr w:type="gramStart"/>
      <w:r w:rsidRPr="001B2839">
        <w:t>“</w:t>
      </w:r>
      <w:r w:rsidR="00405DFE" w:rsidRPr="00405DFE">
        <w:t>Using Metal-Rich WEEE Plastics as Feedstock Fuel Substitute for an Integrated Metals Smelter”,</w:t>
      </w:r>
      <w:r w:rsidRPr="001B2839">
        <w:rPr>
          <w:i/>
        </w:rPr>
        <w:t xml:space="preserve"> </w:t>
      </w:r>
      <w:r w:rsidRPr="001B2839">
        <w:t xml:space="preserve">Plastics Europe, </w:t>
      </w:r>
      <w:proofErr w:type="spellStart"/>
      <w:r w:rsidRPr="001B2839">
        <w:t>Umicore</w:t>
      </w:r>
      <w:proofErr w:type="spellEnd"/>
      <w:r w:rsidRPr="001B2839">
        <w:t xml:space="preserve"> and EFRA</w:t>
      </w:r>
      <w:r>
        <w:t>.</w:t>
      </w:r>
      <w:proofErr w:type="gramEnd"/>
    </w:p>
    <w:p w:rsidR="00890CDD" w:rsidRDefault="00890CDD" w:rsidP="006A50EF">
      <w:pPr>
        <w:spacing w:before="120" w:after="120"/>
        <w:ind w:left="1247"/>
      </w:pPr>
      <w:proofErr w:type="gramStart"/>
      <w:r w:rsidRPr="00F9232A">
        <w:t>Canadian Council of Ministers of the Environment, 1997.</w:t>
      </w:r>
      <w:proofErr w:type="gramEnd"/>
      <w:r w:rsidRPr="00F9232A">
        <w:t xml:space="preserve"> </w:t>
      </w:r>
      <w:proofErr w:type="gramStart"/>
      <w:r w:rsidR="00405DFE" w:rsidRPr="00405DFE">
        <w:rPr>
          <w:i/>
        </w:rPr>
        <w:t>Guidance Document on the Management of Contaminated Sites in Canada</w:t>
      </w:r>
      <w:r w:rsidRPr="00F9232A">
        <w:t>.</w:t>
      </w:r>
      <w:proofErr w:type="gramEnd"/>
      <w:r w:rsidRPr="00F9232A">
        <w:t xml:space="preserve"> Available </w:t>
      </w:r>
      <w:r w:rsidR="005032DC">
        <w:t xml:space="preserve">from: </w:t>
      </w:r>
      <w:hyperlink r:id="rId38" w:history="1">
        <w:r w:rsidRPr="00F9232A">
          <w:rPr>
            <w:rStyle w:val="Hyperlink"/>
          </w:rPr>
          <w:t>www.ccme.ca</w:t>
        </w:r>
      </w:hyperlink>
      <w:r w:rsidRPr="00F9232A">
        <w:t>.</w:t>
      </w:r>
    </w:p>
    <w:p w:rsidR="00890CDD" w:rsidRDefault="00890CDD">
      <w:pPr>
        <w:spacing w:after="120"/>
        <w:ind w:left="1247"/>
      </w:pPr>
      <w:proofErr w:type="gramStart"/>
      <w:r w:rsidRPr="00F9232A">
        <w:t>Canadian Council of Ministers of the Environment, 2002.</w:t>
      </w:r>
      <w:proofErr w:type="gramEnd"/>
      <w:r w:rsidRPr="00F9232A">
        <w:t xml:space="preserve"> </w:t>
      </w:r>
      <w:proofErr w:type="gramStart"/>
      <w:r w:rsidR="00405DFE" w:rsidRPr="00405DFE">
        <w:rPr>
          <w:i/>
        </w:rPr>
        <w:t>Canadian Environmental Quality Guidelines</w:t>
      </w:r>
      <w:r w:rsidRPr="00F9232A">
        <w:t>.</w:t>
      </w:r>
      <w:proofErr w:type="gramEnd"/>
      <w:r w:rsidRPr="00F9232A">
        <w:t xml:space="preserve"> Available </w:t>
      </w:r>
      <w:r w:rsidR="005032DC">
        <w:t xml:space="preserve">from: </w:t>
      </w:r>
      <w:hyperlink r:id="rId39" w:history="1">
        <w:r w:rsidRPr="00F9232A">
          <w:rPr>
            <w:rStyle w:val="Hyperlink"/>
          </w:rPr>
          <w:t>www.ccme.ca</w:t>
        </w:r>
      </w:hyperlink>
      <w:r w:rsidRPr="00F9232A">
        <w:t>.</w:t>
      </w:r>
    </w:p>
    <w:p w:rsidR="00890CDD" w:rsidRDefault="00890CDD">
      <w:pPr>
        <w:spacing w:after="120"/>
        <w:ind w:left="1247"/>
      </w:pPr>
      <w:proofErr w:type="gramStart"/>
      <w:r w:rsidRPr="00F9232A">
        <w:t>CMPS&amp;F – Environment Australia, 1997.</w:t>
      </w:r>
      <w:proofErr w:type="gramEnd"/>
      <w:r w:rsidRPr="00F9232A">
        <w:t xml:space="preserve"> </w:t>
      </w:r>
      <w:r w:rsidRPr="00F37F6C">
        <w:rPr>
          <w:i/>
        </w:rPr>
        <w:t>Appropriate Technologie</w:t>
      </w:r>
      <w:r w:rsidR="005032DC" w:rsidRPr="00F37F6C">
        <w:rPr>
          <w:i/>
        </w:rPr>
        <w:t>s</w:t>
      </w:r>
      <w:r w:rsidRPr="00F37F6C">
        <w:rPr>
          <w:i/>
        </w:rPr>
        <w:t xml:space="preserve"> for the Treatment of Scheduled Wastes</w:t>
      </w:r>
      <w:r w:rsidR="00405DFE" w:rsidRPr="00405DFE">
        <w:rPr>
          <w:i/>
        </w:rPr>
        <w:t>:</w:t>
      </w:r>
      <w:r w:rsidRPr="00F37F6C">
        <w:rPr>
          <w:i/>
        </w:rPr>
        <w:t xml:space="preserve"> Review Report Number 4</w:t>
      </w:r>
      <w:r w:rsidRPr="00F9232A">
        <w:rPr>
          <w:i/>
        </w:rPr>
        <w:t>.</w:t>
      </w:r>
      <w:r w:rsidRPr="00F9232A">
        <w:t xml:space="preserve"> </w:t>
      </w:r>
      <w:r>
        <w:t xml:space="preserve">Available </w:t>
      </w:r>
      <w:r w:rsidR="005032DC">
        <w:t xml:space="preserve">from: </w:t>
      </w:r>
      <w:hyperlink r:id="rId40" w:history="1">
        <w:r w:rsidRPr="00F9232A">
          <w:rPr>
            <w:rStyle w:val="Hyperlink"/>
          </w:rPr>
          <w:t>www.deh.gov.au</w:t>
        </w:r>
      </w:hyperlink>
      <w:r w:rsidRPr="00F9232A">
        <w:t>.</w:t>
      </w:r>
    </w:p>
    <w:p w:rsidR="00890CDD" w:rsidRDefault="00890CDD">
      <w:pPr>
        <w:spacing w:after="120"/>
        <w:ind w:left="1247"/>
      </w:pPr>
      <w:proofErr w:type="gramStart"/>
      <w:r w:rsidRPr="006A038A">
        <w:t xml:space="preserve">Costner, P., </w:t>
      </w:r>
      <w:proofErr w:type="spellStart"/>
      <w:r w:rsidRPr="006A038A">
        <w:t>Luscombe</w:t>
      </w:r>
      <w:proofErr w:type="spellEnd"/>
      <w:r w:rsidRPr="006A038A">
        <w:t xml:space="preserve"> </w:t>
      </w:r>
      <w:r w:rsidR="00D24EF5">
        <w:t xml:space="preserve">D. </w:t>
      </w:r>
      <w:r w:rsidRPr="006A038A">
        <w:t>and Simpson</w:t>
      </w:r>
      <w:r w:rsidR="00D24EF5">
        <w:t xml:space="preserve"> M.</w:t>
      </w:r>
      <w:r w:rsidRPr="006A038A">
        <w:t>, 1998.</w:t>
      </w:r>
      <w:proofErr w:type="gramEnd"/>
      <w:r w:rsidRPr="006A038A">
        <w:t xml:space="preserve"> </w:t>
      </w:r>
      <w:proofErr w:type="gramStart"/>
      <w:r w:rsidR="00F37F6C">
        <w:t>“</w:t>
      </w:r>
      <w:r w:rsidRPr="006A038A">
        <w:t>Technical Criteria for the Destruction of Stockpiled Persistent Organic Pollutants</w:t>
      </w:r>
      <w:r w:rsidR="00F37F6C">
        <w:t>”,</w:t>
      </w:r>
      <w:r w:rsidRPr="006A038A">
        <w:t xml:space="preserve"> Greenpeace International Service Unit.</w:t>
      </w:r>
      <w:proofErr w:type="gramEnd"/>
    </w:p>
    <w:p w:rsidR="000E79E2" w:rsidRDefault="00890CDD">
      <w:pPr>
        <w:spacing w:after="120"/>
        <w:ind w:left="1247"/>
        <w:rPr>
          <w:lang w:val="en-US"/>
        </w:rPr>
      </w:pPr>
      <w:proofErr w:type="gramStart"/>
      <w:r w:rsidRPr="00F9232A">
        <w:t>Danish Environmental Protection Agency, 2004.</w:t>
      </w:r>
      <w:proofErr w:type="gramEnd"/>
      <w:r w:rsidRPr="00F9232A">
        <w:t xml:space="preserve"> </w:t>
      </w:r>
      <w:r w:rsidR="00405DFE" w:rsidRPr="00405DFE">
        <w:rPr>
          <w:i/>
        </w:rPr>
        <w:t>Detailed review of selected non-incineration and incineration POPs Elimination Technologies for the CEE Region</w:t>
      </w:r>
      <w:r>
        <w:t xml:space="preserve">. </w:t>
      </w:r>
      <w:r w:rsidRPr="00D12CF3">
        <w:rPr>
          <w:lang w:val="en-US"/>
        </w:rPr>
        <w:t>Availa</w:t>
      </w:r>
      <w:r w:rsidR="00D12CF3">
        <w:rPr>
          <w:lang w:val="en-US"/>
        </w:rPr>
        <w:t xml:space="preserve">ble </w:t>
      </w:r>
      <w:r w:rsidR="005032DC">
        <w:rPr>
          <w:lang w:val="en-US"/>
        </w:rPr>
        <w:t xml:space="preserve">from: </w:t>
      </w:r>
      <w:hyperlink r:id="rId41" w:history="1">
        <w:r w:rsidR="00D12CF3" w:rsidRPr="00441D18">
          <w:rPr>
            <w:rStyle w:val="Hyperlink"/>
            <w:lang w:val="en-US"/>
          </w:rPr>
          <w:t>www.mst.dk/publications/</w:t>
        </w:r>
      </w:hyperlink>
      <w:r w:rsidR="0090016A">
        <w:t>.</w:t>
      </w:r>
    </w:p>
    <w:p w:rsidR="00890CDD" w:rsidRDefault="00890CDD">
      <w:pPr>
        <w:spacing w:after="120"/>
        <w:ind w:left="1247"/>
      </w:pPr>
      <w:proofErr w:type="gramStart"/>
      <w:r w:rsidRPr="00F9232A">
        <w:t>Environment Canada</w:t>
      </w:r>
      <w:r>
        <w:t>,</w:t>
      </w:r>
      <w:r w:rsidRPr="00F9232A">
        <w:t xml:space="preserve"> 2011.</w:t>
      </w:r>
      <w:proofErr w:type="gramEnd"/>
      <w:r w:rsidRPr="00F9232A">
        <w:t xml:space="preserve"> </w:t>
      </w:r>
      <w:r w:rsidR="00405DFE" w:rsidRPr="00405DFE">
        <w:rPr>
          <w:i/>
        </w:rPr>
        <w:t>Environmental monitoring and surveillance in support of the chemical management plan</w:t>
      </w:r>
      <w:r>
        <w:t xml:space="preserve">. Available </w:t>
      </w:r>
      <w:r w:rsidR="005032DC">
        <w:t xml:space="preserve">from: </w:t>
      </w:r>
      <w:r w:rsidRPr="00F9232A">
        <w:t>http://www.ec.gc.ca.</w:t>
      </w:r>
    </w:p>
    <w:p w:rsidR="00890CDD" w:rsidRDefault="00890CDD">
      <w:pPr>
        <w:spacing w:after="120"/>
        <w:ind w:left="1247"/>
      </w:pPr>
      <w:proofErr w:type="gramStart"/>
      <w:r w:rsidRPr="00F9232A">
        <w:t>EPA, 1993.</w:t>
      </w:r>
      <w:proofErr w:type="gramEnd"/>
      <w:r w:rsidRPr="00F9232A">
        <w:t xml:space="preserve"> </w:t>
      </w:r>
      <w:proofErr w:type="gramStart"/>
      <w:r w:rsidR="00405DFE" w:rsidRPr="00405DFE">
        <w:rPr>
          <w:i/>
        </w:rPr>
        <w:t>Technology Alternatives for the Remediation of PCB-Contaminated Soil and Sediment.</w:t>
      </w:r>
      <w:proofErr w:type="gramEnd"/>
      <w:r w:rsidRPr="00F9232A">
        <w:t xml:space="preserve"> </w:t>
      </w:r>
      <w:r>
        <w:t xml:space="preserve">Available </w:t>
      </w:r>
      <w:r w:rsidR="005032DC">
        <w:t xml:space="preserve">from: </w:t>
      </w:r>
      <w:hyperlink r:id="rId42" w:history="1">
        <w:r w:rsidRPr="00F9232A">
          <w:rPr>
            <w:rStyle w:val="Hyperlink"/>
          </w:rPr>
          <w:t>www.epa.gov</w:t>
        </w:r>
      </w:hyperlink>
      <w:r w:rsidRPr="00F9232A">
        <w:t>.</w:t>
      </w:r>
    </w:p>
    <w:p w:rsidR="00890CDD" w:rsidRDefault="00890CDD">
      <w:pPr>
        <w:spacing w:after="120"/>
        <w:ind w:left="1247"/>
      </w:pPr>
      <w:proofErr w:type="gramStart"/>
      <w:r w:rsidRPr="00F2109C">
        <w:t>EPA, 2002.</w:t>
      </w:r>
      <w:proofErr w:type="gramEnd"/>
      <w:r w:rsidRPr="00F2109C">
        <w:t xml:space="preserve"> </w:t>
      </w:r>
      <w:proofErr w:type="gramStart"/>
      <w:r w:rsidR="00405DFE" w:rsidRPr="00405DFE">
        <w:rPr>
          <w:i/>
        </w:rPr>
        <w:t>RCRA Waste Sampling Draft Technical Guidance</w:t>
      </w:r>
      <w:r w:rsidRPr="00F2109C">
        <w:t>.</w:t>
      </w:r>
      <w:proofErr w:type="gramEnd"/>
      <w:r w:rsidRPr="00F2109C">
        <w:t xml:space="preserve"> </w:t>
      </w:r>
      <w:proofErr w:type="gramStart"/>
      <w:r w:rsidRPr="00F2109C">
        <w:t xml:space="preserve">Available at </w:t>
      </w:r>
      <w:hyperlink r:id="rId43" w:history="1">
        <w:r w:rsidRPr="00F2109C">
          <w:rPr>
            <w:rStyle w:val="Hyperlink"/>
          </w:rPr>
          <w:t>www.epa.gov</w:t>
        </w:r>
      </w:hyperlink>
      <w:r w:rsidRPr="00F2109C">
        <w:t>.</w:t>
      </w:r>
      <w:proofErr w:type="gramEnd"/>
    </w:p>
    <w:p w:rsidR="00890CDD" w:rsidRDefault="00890CDD">
      <w:pPr>
        <w:spacing w:after="120"/>
        <w:ind w:left="1247"/>
      </w:pPr>
      <w:proofErr w:type="gramStart"/>
      <w:r w:rsidRPr="00F2109C">
        <w:t>European Commission, 2001a.</w:t>
      </w:r>
      <w:proofErr w:type="gramEnd"/>
      <w:r w:rsidRPr="00F2109C">
        <w:t xml:space="preserve"> </w:t>
      </w:r>
      <w:proofErr w:type="gramStart"/>
      <w:r w:rsidR="00405DFE" w:rsidRPr="00405DFE">
        <w:rPr>
          <w:i/>
        </w:rPr>
        <w:t>Reference Document on Best Available Techniques in the Non Ferrous Metals Industry</w:t>
      </w:r>
      <w:r w:rsidRPr="00F2109C">
        <w:t>.</w:t>
      </w:r>
      <w:proofErr w:type="gramEnd"/>
      <w:r w:rsidRPr="00F2109C">
        <w:t xml:space="preserve"> Available </w:t>
      </w:r>
      <w:r w:rsidR="00D24EF5">
        <w:t>from</w:t>
      </w:r>
      <w:r w:rsidR="005032DC">
        <w:t>:</w:t>
      </w:r>
      <w:r>
        <w:t xml:space="preserve"> </w:t>
      </w:r>
      <w:hyperlink r:id="rId44" w:history="1">
        <w:r w:rsidR="00696217" w:rsidRPr="0004761E">
          <w:rPr>
            <w:rStyle w:val="Hyperlink"/>
          </w:rPr>
          <w:t>http://eippcb.jrc.ec.europa.eu/reference/nfm.html</w:t>
        </w:r>
      </w:hyperlink>
      <w:r w:rsidR="00696217">
        <w:t xml:space="preserve">. </w:t>
      </w:r>
    </w:p>
    <w:p w:rsidR="00890CDD" w:rsidRDefault="00890CDD">
      <w:pPr>
        <w:spacing w:after="120"/>
        <w:ind w:left="1247"/>
      </w:pPr>
      <w:proofErr w:type="gramStart"/>
      <w:r w:rsidRPr="00F2109C">
        <w:t>European Commission, 2001b.</w:t>
      </w:r>
      <w:proofErr w:type="gramEnd"/>
      <w:r w:rsidRPr="00F2109C">
        <w:t xml:space="preserve"> </w:t>
      </w:r>
      <w:proofErr w:type="gramStart"/>
      <w:r w:rsidR="00405DFE" w:rsidRPr="00405DFE">
        <w:rPr>
          <w:i/>
        </w:rPr>
        <w:t>Reference Document on Best Available Techniques on the Production of Iron and Steel</w:t>
      </w:r>
      <w:r w:rsidRPr="00F2109C">
        <w:t>.</w:t>
      </w:r>
      <w:proofErr w:type="gramEnd"/>
      <w:r w:rsidRPr="00F2109C">
        <w:t xml:space="preserve"> Available at</w:t>
      </w:r>
      <w:r w:rsidR="005032DC">
        <w:t>:</w:t>
      </w:r>
      <w:r w:rsidRPr="00F2109C">
        <w:t xml:space="preserve"> </w:t>
      </w:r>
      <w:hyperlink r:id="rId45" w:history="1">
        <w:r w:rsidRPr="00F2109C">
          <w:rPr>
            <w:rStyle w:val="Hyperlink"/>
          </w:rPr>
          <w:t>http://eippcb.jrc.ec.europa.eu/reference/BREF/IS_Adopted_03_2012.pdf</w:t>
        </w:r>
      </w:hyperlink>
      <w:r w:rsidR="00E2260E">
        <w:rPr>
          <w:rStyle w:val="Hyperlink"/>
        </w:rPr>
        <w:t>.</w:t>
      </w:r>
    </w:p>
    <w:p w:rsidR="00890CDD" w:rsidRDefault="00890CDD">
      <w:pPr>
        <w:spacing w:after="120"/>
        <w:ind w:left="1247"/>
      </w:pPr>
      <w:proofErr w:type="gramStart"/>
      <w:r w:rsidRPr="00F2109C">
        <w:t>European Commission, 2003.</w:t>
      </w:r>
      <w:proofErr w:type="gramEnd"/>
      <w:r w:rsidRPr="00F2109C">
        <w:t xml:space="preserve"> </w:t>
      </w:r>
      <w:proofErr w:type="gramStart"/>
      <w:r w:rsidRPr="00F37F6C">
        <w:rPr>
          <w:i/>
        </w:rPr>
        <w:t>Reference Document on the General Principles of Monitoring</w:t>
      </w:r>
      <w:r w:rsidRPr="00F2109C">
        <w:t>.</w:t>
      </w:r>
      <w:proofErr w:type="gramEnd"/>
      <w:r w:rsidRPr="00F2109C">
        <w:t xml:space="preserve"> Available </w:t>
      </w:r>
      <w:r w:rsidR="00D24EF5">
        <w:t>from</w:t>
      </w:r>
      <w:r w:rsidR="005032DC">
        <w:t>:</w:t>
      </w:r>
      <w:r w:rsidRPr="00F2109C">
        <w:t xml:space="preserve"> http://eippcb.jrc.ec.europa.eu/reference/mon.html.</w:t>
      </w:r>
    </w:p>
    <w:p w:rsidR="005065B5" w:rsidRPr="00E2260E" w:rsidRDefault="005065B5" w:rsidP="005065B5">
      <w:pPr>
        <w:spacing w:after="120"/>
        <w:ind w:left="1247"/>
      </w:pPr>
      <w:proofErr w:type="gramStart"/>
      <w:r w:rsidRPr="00E2260E">
        <w:t>European Commission, 2006.</w:t>
      </w:r>
      <w:proofErr w:type="gramEnd"/>
      <w:r w:rsidRPr="00E2260E">
        <w:t xml:space="preserve"> </w:t>
      </w:r>
      <w:proofErr w:type="gramStart"/>
      <w:r w:rsidR="00405DFE" w:rsidRPr="00405DFE">
        <w:rPr>
          <w:i/>
        </w:rPr>
        <w:t>Reference Document</w:t>
      </w:r>
      <w:r w:rsidRPr="00F37F6C">
        <w:rPr>
          <w:i/>
        </w:rPr>
        <w:t xml:space="preserve"> </w:t>
      </w:r>
      <w:r w:rsidR="00405DFE" w:rsidRPr="00405DFE">
        <w:rPr>
          <w:i/>
        </w:rPr>
        <w:t>Best Available Techniques for Waste Incineration</w:t>
      </w:r>
      <w:r w:rsidRPr="00E2260E">
        <w:t>.</w:t>
      </w:r>
      <w:proofErr w:type="gramEnd"/>
      <w:r w:rsidRPr="00E2260E">
        <w:t xml:space="preserve"> Available </w:t>
      </w:r>
      <w:r w:rsidR="00FC7EDA">
        <w:t>from</w:t>
      </w:r>
      <w:r w:rsidR="005032DC">
        <w:t>:</w:t>
      </w:r>
      <w:r w:rsidRPr="00E2260E">
        <w:t xml:space="preserve"> http://eippcb.jrc.ec.europa.eu/reference/wi.html</w:t>
      </w:r>
      <w:r w:rsidR="00E2260E">
        <w:t>.</w:t>
      </w:r>
    </w:p>
    <w:p w:rsidR="00D14268" w:rsidRDefault="00405DFE" w:rsidP="00D14268">
      <w:pPr>
        <w:spacing w:after="120"/>
        <w:ind w:left="1247"/>
      </w:pPr>
      <w:proofErr w:type="gramStart"/>
      <w:r w:rsidRPr="00405DFE">
        <w:rPr>
          <w:lang w:eastAsia="en-GB"/>
        </w:rPr>
        <w:t>European Commission,</w:t>
      </w:r>
      <w:r w:rsidR="00D14268">
        <w:rPr>
          <w:lang w:eastAsia="en-GB"/>
        </w:rPr>
        <w:t xml:space="preserve"> 2011.</w:t>
      </w:r>
      <w:proofErr w:type="gramEnd"/>
      <w:r w:rsidR="00D14268">
        <w:rPr>
          <w:lang w:eastAsia="en-GB"/>
        </w:rPr>
        <w:t xml:space="preserve"> </w:t>
      </w:r>
      <w:r w:rsidRPr="00405DFE">
        <w:rPr>
          <w:i/>
          <w:lang w:eastAsia="en-GB"/>
        </w:rPr>
        <w:t>Study on waste related issues of newly listed POPs and candidate POPs.</w:t>
      </w:r>
      <w:r w:rsidR="00D14268">
        <w:rPr>
          <w:lang w:eastAsia="en-GB"/>
        </w:rPr>
        <w:t xml:space="preserve"> (</w:t>
      </w:r>
      <w:proofErr w:type="gramStart"/>
      <w:r w:rsidR="00D14268">
        <w:rPr>
          <w:lang w:eastAsia="en-GB"/>
        </w:rPr>
        <w:t>prepared</w:t>
      </w:r>
      <w:proofErr w:type="gramEnd"/>
      <w:r w:rsidR="00D14268">
        <w:rPr>
          <w:lang w:eastAsia="en-GB"/>
        </w:rPr>
        <w:t xml:space="preserve"> by the </w:t>
      </w:r>
      <w:r w:rsidR="00925D31">
        <w:rPr>
          <w:sz w:val="18"/>
          <w:szCs w:val="18"/>
        </w:rPr>
        <w:t>Expert Team to Support Waste Implementation</w:t>
      </w:r>
      <w:r w:rsidR="00925D31">
        <w:t xml:space="preserve">, </w:t>
      </w:r>
      <w:r w:rsidR="005032DC">
        <w:rPr>
          <w:lang w:eastAsia="en-GB"/>
        </w:rPr>
        <w:t>ESWI</w:t>
      </w:r>
      <w:r w:rsidR="00D14268">
        <w:rPr>
          <w:lang w:eastAsia="en-GB"/>
        </w:rPr>
        <w:t>).</w:t>
      </w:r>
      <w:r w:rsidR="00925D31">
        <w:rPr>
          <w:lang w:eastAsia="en-GB"/>
        </w:rPr>
        <w:t xml:space="preserve"> </w:t>
      </w:r>
      <w:r w:rsidR="00D14268">
        <w:rPr>
          <w:lang w:eastAsia="en-GB"/>
        </w:rPr>
        <w:t xml:space="preserve">Available at: </w:t>
      </w:r>
      <w:hyperlink r:id="rId46" w:history="1">
        <w:r w:rsidR="00D14268">
          <w:rPr>
            <w:rStyle w:val="Hyperlink"/>
            <w:lang w:eastAsia="en-GB"/>
          </w:rPr>
          <w:t>http://ec.europa.eu/environment/waste/studies/pdf/POP_Waste_2010.pdf</w:t>
        </w:r>
      </w:hyperlink>
      <w:r w:rsidR="005032DC">
        <w:t>.</w:t>
      </w:r>
      <w:r w:rsidR="00D14268">
        <w:rPr>
          <w:rStyle w:val="CommentReference"/>
        </w:rPr>
        <w:t xml:space="preserve"> </w:t>
      </w:r>
    </w:p>
    <w:p w:rsidR="00890CDD" w:rsidRDefault="00890CDD">
      <w:pPr>
        <w:spacing w:after="120"/>
        <w:ind w:left="1247"/>
      </w:pPr>
      <w:proofErr w:type="gramStart"/>
      <w:r w:rsidRPr="00F2109C">
        <w:t>FAO, 1996.</w:t>
      </w:r>
      <w:proofErr w:type="gramEnd"/>
      <w:r w:rsidRPr="00F2109C">
        <w:t xml:space="preserve"> </w:t>
      </w:r>
      <w:proofErr w:type="gramStart"/>
      <w:r w:rsidRPr="00F2109C">
        <w:rPr>
          <w:i/>
        </w:rPr>
        <w:t>Pesticide Storage and Stock Control Manual.</w:t>
      </w:r>
      <w:proofErr w:type="gramEnd"/>
      <w:r w:rsidRPr="00F2109C">
        <w:rPr>
          <w:i/>
        </w:rPr>
        <w:t xml:space="preserve"> </w:t>
      </w:r>
      <w:proofErr w:type="gramStart"/>
      <w:r w:rsidR="00405DFE" w:rsidRPr="00405DFE">
        <w:t>Pesticide Disposal Series No.3</w:t>
      </w:r>
      <w:r w:rsidRPr="00F37F6C">
        <w:t>.</w:t>
      </w:r>
      <w:proofErr w:type="gramEnd"/>
      <w:r w:rsidRPr="00F2109C">
        <w:t xml:space="preserve"> Available </w:t>
      </w:r>
      <w:r w:rsidR="00972862">
        <w:t>from</w:t>
      </w:r>
      <w:r w:rsidR="005032DC">
        <w:t>:</w:t>
      </w:r>
      <w:r w:rsidRPr="00F2109C">
        <w:t xml:space="preserve"> </w:t>
      </w:r>
      <w:r w:rsidR="00EC108E" w:rsidRPr="00EC108E">
        <w:t>http://www.fao.org/agriculture/crops/obsolete-pesticides/resources0/en/</w:t>
      </w:r>
      <w:r w:rsidR="00EC108E">
        <w:t xml:space="preserve">. </w:t>
      </w:r>
    </w:p>
    <w:p w:rsidR="00890CDD" w:rsidRDefault="00890CDD">
      <w:pPr>
        <w:spacing w:after="120"/>
        <w:ind w:left="1247"/>
      </w:pPr>
      <w:proofErr w:type="gramStart"/>
      <w:r w:rsidRPr="00F2109C">
        <w:t>FAO, 2000.</w:t>
      </w:r>
      <w:proofErr w:type="gramEnd"/>
      <w:r w:rsidRPr="00F2109C">
        <w:t xml:space="preserve"> </w:t>
      </w:r>
      <w:proofErr w:type="gramStart"/>
      <w:r w:rsidRPr="00F2109C">
        <w:rPr>
          <w:i/>
        </w:rPr>
        <w:t xml:space="preserve">Assessing Soil Contamination: </w:t>
      </w:r>
      <w:r w:rsidR="00F37F6C">
        <w:rPr>
          <w:i/>
        </w:rPr>
        <w:t>A</w:t>
      </w:r>
      <w:r w:rsidR="00F37F6C" w:rsidRPr="00F2109C">
        <w:rPr>
          <w:i/>
        </w:rPr>
        <w:t xml:space="preserve"> </w:t>
      </w:r>
      <w:r w:rsidRPr="00F2109C">
        <w:rPr>
          <w:i/>
        </w:rPr>
        <w:t>Reference Manual</w:t>
      </w:r>
      <w:r w:rsidR="00F37F6C">
        <w:rPr>
          <w:i/>
        </w:rPr>
        <w:t>.</w:t>
      </w:r>
      <w:proofErr w:type="gramEnd"/>
      <w:r w:rsidRPr="00F2109C">
        <w:rPr>
          <w:i/>
        </w:rPr>
        <w:t xml:space="preserve"> </w:t>
      </w:r>
      <w:proofErr w:type="gramStart"/>
      <w:r w:rsidR="00F37F6C">
        <w:t xml:space="preserve">Pesticide Disposal Series </w:t>
      </w:r>
      <w:r w:rsidR="00405DFE" w:rsidRPr="00405DFE">
        <w:t>No.</w:t>
      </w:r>
      <w:r w:rsidRPr="00F37F6C">
        <w:t xml:space="preserve"> 8</w:t>
      </w:r>
      <w:r w:rsidRPr="00F2109C">
        <w:t>.</w:t>
      </w:r>
      <w:proofErr w:type="gramEnd"/>
      <w:r w:rsidRPr="00F2109C">
        <w:t xml:space="preserve"> Available </w:t>
      </w:r>
      <w:r w:rsidR="00D24EF5">
        <w:t>from:</w:t>
      </w:r>
      <w:r w:rsidRPr="00F2109C">
        <w:t xml:space="preserve"> </w:t>
      </w:r>
      <w:r w:rsidR="004A147A" w:rsidRPr="004A147A">
        <w:t>www.fao.org/agriculture/crops/obsolete-pesticides/resources0/en/</w:t>
      </w:r>
      <w:r w:rsidRPr="00F2109C">
        <w:t>.</w:t>
      </w:r>
    </w:p>
    <w:p w:rsidR="00890CDD" w:rsidDel="00D5610D" w:rsidRDefault="00890CDD">
      <w:pPr>
        <w:spacing w:after="120"/>
        <w:ind w:left="1247"/>
      </w:pPr>
      <w:proofErr w:type="gramStart"/>
      <w:r w:rsidRPr="00F2109C" w:rsidDel="00D5610D">
        <w:t>FAO, 2001.</w:t>
      </w:r>
      <w:proofErr w:type="gramEnd"/>
      <w:r w:rsidRPr="00F2109C" w:rsidDel="00D5610D">
        <w:t xml:space="preserve"> </w:t>
      </w:r>
      <w:proofErr w:type="gramStart"/>
      <w:r w:rsidR="00405DFE" w:rsidRPr="00405DFE">
        <w:rPr>
          <w:i/>
        </w:rPr>
        <w:t xml:space="preserve">Training manual </w:t>
      </w:r>
      <w:r w:rsidR="004A147A">
        <w:rPr>
          <w:i/>
        </w:rPr>
        <w:t>for</w:t>
      </w:r>
      <w:r w:rsidR="00405DFE" w:rsidRPr="00405DFE">
        <w:rPr>
          <w:i/>
        </w:rPr>
        <w:t xml:space="preserve"> inventory taking of obsolete pesticides</w:t>
      </w:r>
      <w:r w:rsidR="00972862">
        <w:t>.</w:t>
      </w:r>
      <w:proofErr w:type="gramEnd"/>
      <w:r w:rsidR="00972862" w:rsidRPr="00F2109C" w:rsidDel="00D5610D">
        <w:t xml:space="preserve"> </w:t>
      </w:r>
      <w:proofErr w:type="gramStart"/>
      <w:r w:rsidR="004A147A">
        <w:t xml:space="preserve">Pesticide Disposal </w:t>
      </w:r>
      <w:r w:rsidRPr="00F2109C" w:rsidDel="00D5610D">
        <w:t>Series No</w:t>
      </w:r>
      <w:r w:rsidR="000C7C9B">
        <w:t>.</w:t>
      </w:r>
      <w:r w:rsidRPr="00F2109C" w:rsidDel="00D5610D">
        <w:t xml:space="preserve"> 10.</w:t>
      </w:r>
      <w:proofErr w:type="gramEnd"/>
      <w:r w:rsidRPr="00F2109C" w:rsidDel="00D5610D">
        <w:t xml:space="preserve"> Available </w:t>
      </w:r>
      <w:r w:rsidR="00424862">
        <w:t>from:</w:t>
      </w:r>
      <w:r w:rsidR="00424862" w:rsidRPr="00F2109C" w:rsidDel="00D5610D">
        <w:t xml:space="preserve"> </w:t>
      </w:r>
      <w:r w:rsidR="004A147A" w:rsidRPr="004A147A">
        <w:t>www.fao.org/agriculture/crops/obsolete-pesticides/resources0/en/</w:t>
      </w:r>
      <w:r w:rsidRPr="00F2109C" w:rsidDel="00D5610D">
        <w:t>.</w:t>
      </w:r>
    </w:p>
    <w:p w:rsidR="00890CDD" w:rsidRDefault="00424862">
      <w:pPr>
        <w:spacing w:after="120"/>
        <w:ind w:left="1247"/>
      </w:pPr>
      <w:proofErr w:type="gramStart"/>
      <w:r>
        <w:t>Federal Remediation Technology</w:t>
      </w:r>
      <w:r w:rsidR="00076C54" w:rsidRPr="005E5BFF">
        <w:t xml:space="preserve"> Roundtable </w:t>
      </w:r>
      <w:r w:rsidR="00076C54">
        <w:t>(</w:t>
      </w:r>
      <w:r w:rsidR="00890CDD" w:rsidRPr="00F2109C">
        <w:t>FRTR</w:t>
      </w:r>
      <w:r w:rsidR="00076C54">
        <w:t>)</w:t>
      </w:r>
      <w:r w:rsidR="00890CDD" w:rsidRPr="00F2109C">
        <w:t>, 2002.</w:t>
      </w:r>
      <w:proofErr w:type="gramEnd"/>
      <w:r w:rsidR="00890CDD" w:rsidRPr="00F2109C">
        <w:t xml:space="preserve"> </w:t>
      </w:r>
      <w:proofErr w:type="gramStart"/>
      <w:r w:rsidR="00405DFE" w:rsidRPr="00405DFE">
        <w:t>Remediation Technologies Screening Matrix and Reference Guide, Version 4.0</w:t>
      </w:r>
      <w:r w:rsidR="00890CDD" w:rsidRPr="00F2109C">
        <w:t>.</w:t>
      </w:r>
      <w:proofErr w:type="gramEnd"/>
      <w:r w:rsidR="00890CDD" w:rsidRPr="00F2109C">
        <w:t xml:space="preserve"> Available at</w:t>
      </w:r>
      <w:r>
        <w:t>:</w:t>
      </w:r>
      <w:r w:rsidR="00890CDD" w:rsidRPr="00F2109C">
        <w:t xml:space="preserve"> </w:t>
      </w:r>
      <w:hyperlink r:id="rId47" w:history="1">
        <w:r w:rsidR="00890CDD" w:rsidRPr="00F2109C">
          <w:rPr>
            <w:rStyle w:val="Hyperlink"/>
          </w:rPr>
          <w:t>www.frtr.gov/matrix2/top_page.html</w:t>
        </w:r>
      </w:hyperlink>
      <w:r>
        <w:t>.</w:t>
      </w:r>
    </w:p>
    <w:p w:rsidR="00B33BE9" w:rsidRDefault="00890CDD" w:rsidP="00A85965">
      <w:pPr>
        <w:pStyle w:val="Paralevel1"/>
        <w:numPr>
          <w:ilvl w:val="0"/>
          <w:numId w:val="0"/>
        </w:numPr>
        <w:ind w:left="1276"/>
      </w:pPr>
      <w:proofErr w:type="gramStart"/>
      <w:r>
        <w:t>German Federal Environment Agency</w:t>
      </w:r>
      <w:r w:rsidR="004A147A">
        <w:t>,</w:t>
      </w:r>
      <w:r w:rsidRPr="00773871">
        <w:t xml:space="preserve"> 201</w:t>
      </w:r>
      <w:r w:rsidR="00696217">
        <w:t>4</w:t>
      </w:r>
      <w:r w:rsidRPr="00773871">
        <w:t>.</w:t>
      </w:r>
      <w:proofErr w:type="gramEnd"/>
      <w:r w:rsidRPr="00773871">
        <w:t xml:space="preserve"> </w:t>
      </w:r>
      <w:r w:rsidRPr="002442F6">
        <w:t>Federation/</w:t>
      </w:r>
      <w:proofErr w:type="spellStart"/>
      <w:r w:rsidRPr="002442F6">
        <w:t>L</w:t>
      </w:r>
      <w:r>
        <w:t>änder</w:t>
      </w:r>
      <w:proofErr w:type="spellEnd"/>
      <w:r>
        <w:t xml:space="preserve"> Dioxin Database</w:t>
      </w:r>
      <w:r w:rsidR="004A147A">
        <w:t xml:space="preserve">, </w:t>
      </w:r>
      <w:proofErr w:type="spellStart"/>
      <w:r w:rsidR="004A147A">
        <w:t>Umweltbundesamt</w:t>
      </w:r>
      <w:proofErr w:type="spellEnd"/>
      <w:r w:rsidR="004A147A">
        <w:t xml:space="preserve"> Dessau-</w:t>
      </w:r>
      <w:proofErr w:type="spellStart"/>
      <w:r w:rsidR="004A147A" w:rsidRPr="00773871">
        <w:t>Roßlau</w:t>
      </w:r>
      <w:proofErr w:type="spellEnd"/>
      <w:r>
        <w:t>. Available at</w:t>
      </w:r>
      <w:r w:rsidR="006E0599">
        <w:t>:</w:t>
      </w:r>
      <w:r>
        <w:t xml:space="preserve"> </w:t>
      </w:r>
      <w:hyperlink r:id="rId48" w:history="1">
        <w:r w:rsidR="0003715A" w:rsidRPr="002437E4">
          <w:rPr>
            <w:rStyle w:val="Hyperlink"/>
          </w:rPr>
          <w:t>http://www.dioxindb.de/index-e.html</w:t>
        </w:r>
      </w:hyperlink>
      <w:r w:rsidRPr="002442F6">
        <w:t>.</w:t>
      </w:r>
      <w:r w:rsidR="004A147A" w:rsidDel="004A147A">
        <w:t xml:space="preserve"> </w:t>
      </w:r>
    </w:p>
    <w:p w:rsidR="0003715A" w:rsidRDefault="0003715A" w:rsidP="00A85965">
      <w:pPr>
        <w:pStyle w:val="Paralevel1"/>
        <w:numPr>
          <w:ilvl w:val="0"/>
          <w:numId w:val="0"/>
        </w:numPr>
        <w:ind w:left="1276"/>
      </w:pPr>
      <w:proofErr w:type="gramStart"/>
      <w:r w:rsidRPr="00410251">
        <w:t>German Federal Environment Agency, 2015.</w:t>
      </w:r>
      <w:proofErr w:type="gramEnd"/>
      <w:r w:rsidRPr="00410251">
        <w:t xml:space="preserve"> </w:t>
      </w:r>
      <w:proofErr w:type="gramStart"/>
      <w:r w:rsidR="00405DFE" w:rsidRPr="00405DFE">
        <w:rPr>
          <w:i/>
        </w:rPr>
        <w:t xml:space="preserve">Identification of potentially POP-containing Wastes and </w:t>
      </w:r>
      <w:proofErr w:type="spellStart"/>
      <w:r w:rsidR="00405DFE" w:rsidRPr="00405DFE">
        <w:rPr>
          <w:i/>
        </w:rPr>
        <w:t>Recyclates</w:t>
      </w:r>
      <w:proofErr w:type="spellEnd"/>
      <w:r w:rsidR="00405DFE" w:rsidRPr="00405DFE">
        <w:rPr>
          <w:i/>
        </w:rPr>
        <w:t xml:space="preserve"> – Derivation of Limit Values</w:t>
      </w:r>
      <w:r w:rsidRPr="00410251">
        <w:t>.</w:t>
      </w:r>
      <w:proofErr w:type="gramEnd"/>
      <w:r w:rsidRPr="00410251">
        <w:t xml:space="preserve"> Available at</w:t>
      </w:r>
      <w:r w:rsidR="006E0599">
        <w:t>:</w:t>
      </w:r>
      <w:r w:rsidRPr="00410251">
        <w:t xml:space="preserve"> </w:t>
      </w:r>
      <w:hyperlink r:id="rId49" w:history="1">
        <w:r w:rsidRPr="00410251">
          <w:rPr>
            <w:rStyle w:val="Hyperlink"/>
            <w:lang w:val="en-GB"/>
          </w:rPr>
          <w:t>http://www.umweltbundesamt.de/publikationen/identification-of-potentially-pop-containing-wastes</w:t>
        </w:r>
      </w:hyperlink>
    </w:p>
    <w:p w:rsidR="00412EAC" w:rsidRDefault="00412EAC">
      <w:pPr>
        <w:spacing w:after="120"/>
        <w:ind w:left="1247"/>
      </w:pPr>
      <w:proofErr w:type="gramStart"/>
      <w:r>
        <w:t>German Federal Ministry for the Environment, 2005.</w:t>
      </w:r>
      <w:proofErr w:type="gramEnd"/>
      <w:r>
        <w:t xml:space="preserve"> </w:t>
      </w:r>
      <w:proofErr w:type="gramStart"/>
      <w:r w:rsidR="00405DFE" w:rsidRPr="00405DFE">
        <w:rPr>
          <w:i/>
        </w:rPr>
        <w:t>Waste Incineration – A Potential Danger?</w:t>
      </w:r>
      <w:proofErr w:type="gramEnd"/>
      <w:r w:rsidR="00405DFE" w:rsidRPr="00405DFE">
        <w:rPr>
          <w:i/>
        </w:rPr>
        <w:t xml:space="preserve"> </w:t>
      </w:r>
      <w:proofErr w:type="gramStart"/>
      <w:r w:rsidR="00405DFE" w:rsidRPr="00405DFE">
        <w:rPr>
          <w:i/>
        </w:rPr>
        <w:t>Bidding Farewell to Dioxin Spouting</w:t>
      </w:r>
      <w:r>
        <w:t>.</w:t>
      </w:r>
      <w:proofErr w:type="gramEnd"/>
      <w:r>
        <w:t xml:space="preserve"> Available at: </w:t>
      </w:r>
      <w:hyperlink r:id="rId50" w:history="1">
        <w:r w:rsidR="00405DFE" w:rsidRPr="00405DFE">
          <w:t>http://www.bmub.bund.de/fileadmin/bmu-import/files/english/pdf/application/pdf/muellverbrennung_dioxin_en.pdf</w:t>
        </w:r>
      </w:hyperlink>
      <w:r w:rsidR="008E2A7C">
        <w:t>.</w:t>
      </w:r>
    </w:p>
    <w:p w:rsidR="000271A7" w:rsidRDefault="000271A7" w:rsidP="000271A7">
      <w:pPr>
        <w:spacing w:after="120"/>
        <w:ind w:left="1247"/>
      </w:pPr>
      <w:r w:rsidRPr="006F5EF0">
        <w:t>Global Programme of Action for the Protection of the Marine Environment from Land-based Activities</w:t>
      </w:r>
      <w:r w:rsidR="00D10D41">
        <w:t>.</w:t>
      </w:r>
      <w:r w:rsidR="005032DC" w:rsidRPr="006F5EF0">
        <w:t xml:space="preserve"> </w:t>
      </w:r>
      <w:proofErr w:type="gramStart"/>
      <w:r w:rsidRPr="006F5EF0">
        <w:t>GPA clearing-house mechanism.</w:t>
      </w:r>
      <w:proofErr w:type="gramEnd"/>
      <w:r w:rsidRPr="006F5EF0">
        <w:t xml:space="preserve"> Available </w:t>
      </w:r>
      <w:r w:rsidR="005032DC">
        <w:t>from:</w:t>
      </w:r>
      <w:r w:rsidRPr="006F5EF0">
        <w:t xml:space="preserve"> </w:t>
      </w:r>
      <w:hyperlink r:id="rId51" w:history="1">
        <w:r w:rsidRPr="006F5EF0">
          <w:rPr>
            <w:rStyle w:val="Hyperlink"/>
          </w:rPr>
          <w:t>http://pops.g</w:t>
        </w:r>
        <w:bookmarkStart w:id="923" w:name="_Hlt79461019"/>
        <w:bookmarkStart w:id="924" w:name="_Hlt79461020"/>
        <w:r w:rsidRPr="006F5EF0">
          <w:rPr>
            <w:rStyle w:val="Hyperlink"/>
          </w:rPr>
          <w:t>p</w:t>
        </w:r>
        <w:bookmarkEnd w:id="923"/>
        <w:bookmarkEnd w:id="924"/>
        <w:r w:rsidRPr="006F5EF0">
          <w:rPr>
            <w:rStyle w:val="Hyperlink"/>
          </w:rPr>
          <w:t>a.unep.org</w:t>
        </w:r>
      </w:hyperlink>
      <w:r w:rsidRPr="006F5EF0">
        <w:t>.</w:t>
      </w:r>
    </w:p>
    <w:p w:rsidR="000271A7" w:rsidRDefault="000271A7" w:rsidP="000271A7">
      <w:pPr>
        <w:spacing w:after="120"/>
        <w:ind w:left="1247"/>
      </w:pPr>
      <w:proofErr w:type="gramStart"/>
      <w:r w:rsidRPr="005D4B7E">
        <w:t>Globally Harmonized System of Classification and Labelling of Chemicals</w:t>
      </w:r>
      <w:r w:rsidDel="005D4B7E">
        <w:t xml:space="preserve"> </w:t>
      </w:r>
      <w:r w:rsidR="00FC7EDA">
        <w:t>(</w:t>
      </w:r>
      <w:r>
        <w:t>GHS</w:t>
      </w:r>
      <w:r w:rsidR="00FC7EDA">
        <w:t>).</w:t>
      </w:r>
      <w:proofErr w:type="gramEnd"/>
      <w:r w:rsidR="005032DC">
        <w:t xml:space="preserve"> Available from:</w:t>
      </w:r>
      <w:r>
        <w:t xml:space="preserve"> </w:t>
      </w:r>
      <w:hyperlink r:id="rId52" w:history="1">
        <w:r w:rsidRPr="001C3EC0">
          <w:rPr>
            <w:rStyle w:val="Hyperlink"/>
          </w:rPr>
          <w:t>http://www.unece.org/trans/danger/publi/ghs/ghs_welcome_e.html</w:t>
        </w:r>
      </w:hyperlink>
    </w:p>
    <w:p w:rsidR="00BF108E" w:rsidRDefault="00BF108E" w:rsidP="00BF108E">
      <w:pPr>
        <w:spacing w:after="120"/>
        <w:ind w:left="1247"/>
      </w:pPr>
      <w:proofErr w:type="gramStart"/>
      <w:r w:rsidRPr="006F5EF0">
        <w:t>Government of Canada, 2011</w:t>
      </w:r>
      <w:r w:rsidR="00D24EF5">
        <w:t>.</w:t>
      </w:r>
      <w:proofErr w:type="gramEnd"/>
      <w:r w:rsidRPr="006F5EF0">
        <w:t xml:space="preserve"> </w:t>
      </w:r>
      <w:proofErr w:type="gramStart"/>
      <w:r w:rsidR="00405DFE" w:rsidRPr="00405DFE">
        <w:rPr>
          <w:i/>
        </w:rPr>
        <w:t>Document on monitoring and research under the chemical management plan</w:t>
      </w:r>
      <w:r w:rsidRPr="006F5EF0">
        <w:t>.</w:t>
      </w:r>
      <w:proofErr w:type="gramEnd"/>
      <w:r w:rsidRPr="006F5EF0">
        <w:t xml:space="preserve"> </w:t>
      </w:r>
      <w:r w:rsidR="00AA01F5">
        <w:t xml:space="preserve"> </w:t>
      </w:r>
      <w:r w:rsidRPr="006F5EF0">
        <w:t xml:space="preserve">Available </w:t>
      </w:r>
      <w:r w:rsidR="005032DC">
        <w:t xml:space="preserve">from: </w:t>
      </w:r>
      <w:r w:rsidRPr="006F5EF0">
        <w:t>http://www.chemicalsubstanceschimiques.gc.ca.</w:t>
      </w:r>
    </w:p>
    <w:p w:rsidR="00890CDD" w:rsidRDefault="00890CDD">
      <w:pPr>
        <w:spacing w:after="120"/>
        <w:ind w:left="1247"/>
      </w:pPr>
      <w:proofErr w:type="gramStart"/>
      <w:r w:rsidRPr="006F5EF0">
        <w:t>IATA.</w:t>
      </w:r>
      <w:proofErr w:type="gramEnd"/>
      <w:r w:rsidRPr="006F5EF0">
        <w:t xml:space="preserve"> </w:t>
      </w:r>
      <w:proofErr w:type="gramStart"/>
      <w:r w:rsidR="00405DFE" w:rsidRPr="00405DFE">
        <w:rPr>
          <w:i/>
        </w:rPr>
        <w:t>Dangerous Goods Regulations (DGR)</w:t>
      </w:r>
      <w:r w:rsidRPr="006F5EF0">
        <w:t>.</w:t>
      </w:r>
      <w:proofErr w:type="gramEnd"/>
      <w:r w:rsidRPr="006F5EF0">
        <w:t xml:space="preserve"> Available </w:t>
      </w:r>
      <w:r w:rsidR="00A00945">
        <w:t xml:space="preserve">from: </w:t>
      </w:r>
      <w:r w:rsidRPr="006F5EF0">
        <w:t>http://www.iata.org/publications/dgr/Pages/index.aspx</w:t>
      </w:r>
      <w:r>
        <w:t>.</w:t>
      </w:r>
    </w:p>
    <w:p w:rsidR="00890CDD" w:rsidRDefault="00890CDD">
      <w:pPr>
        <w:spacing w:after="120"/>
        <w:ind w:left="1247"/>
      </w:pPr>
      <w:proofErr w:type="gramStart"/>
      <w:r w:rsidRPr="006F5EF0">
        <w:t>ICAO, 2013.</w:t>
      </w:r>
      <w:proofErr w:type="gramEnd"/>
      <w:r w:rsidRPr="006F5EF0">
        <w:t xml:space="preserve"> </w:t>
      </w:r>
      <w:r w:rsidR="00405DFE" w:rsidRPr="00405DFE">
        <w:rPr>
          <w:i/>
        </w:rPr>
        <w:t xml:space="preserve">Technical Instructions </w:t>
      </w:r>
      <w:proofErr w:type="gramStart"/>
      <w:r w:rsidR="00405DFE" w:rsidRPr="00405DFE">
        <w:rPr>
          <w:i/>
        </w:rPr>
        <w:t>For</w:t>
      </w:r>
      <w:proofErr w:type="gramEnd"/>
      <w:r w:rsidR="00405DFE" w:rsidRPr="00405DFE">
        <w:rPr>
          <w:i/>
        </w:rPr>
        <w:t xml:space="preserve"> The Safe Transport of Dangerous Goods by Air (Doc 9284)</w:t>
      </w:r>
      <w:r w:rsidRPr="006F5EF0">
        <w:t>. Available at</w:t>
      </w:r>
      <w:r w:rsidR="005032DC">
        <w:t>:</w:t>
      </w:r>
      <w:r w:rsidRPr="006F5EF0">
        <w:t xml:space="preserve"> http://www.icao.int/safety/DangerousGoods/Pages/technical-instructions.aspx</w:t>
      </w:r>
      <w:r>
        <w:t>.</w:t>
      </w:r>
    </w:p>
    <w:p w:rsidR="00890CDD" w:rsidRDefault="00890CDD">
      <w:pPr>
        <w:spacing w:after="120"/>
        <w:ind w:left="1247"/>
      </w:pPr>
      <w:proofErr w:type="gramStart"/>
      <w:r w:rsidRPr="006F5EF0">
        <w:t>ILO, 1999a.</w:t>
      </w:r>
      <w:proofErr w:type="gramEnd"/>
      <w:r w:rsidRPr="006F5EF0">
        <w:t xml:space="preserve"> </w:t>
      </w:r>
      <w:proofErr w:type="gramStart"/>
      <w:r w:rsidR="00405DFE" w:rsidRPr="00405DFE">
        <w:rPr>
          <w:i/>
        </w:rPr>
        <w:t>Basics of Chemical Safety</w:t>
      </w:r>
      <w:r w:rsidRPr="006F5EF0">
        <w:t>.</w:t>
      </w:r>
      <w:proofErr w:type="gramEnd"/>
      <w:r w:rsidRPr="006F5EF0">
        <w:t xml:space="preserve"> Available </w:t>
      </w:r>
      <w:r w:rsidR="00A00945">
        <w:t>from:</w:t>
      </w:r>
      <w:r w:rsidR="00A00945" w:rsidRPr="006F5EF0">
        <w:t xml:space="preserve"> </w:t>
      </w:r>
      <w:hyperlink r:id="rId53" w:history="1">
        <w:r w:rsidRPr="006F5EF0">
          <w:rPr>
            <w:rStyle w:val="Hyperlink"/>
          </w:rPr>
          <w:t>www.ilo.org</w:t>
        </w:r>
      </w:hyperlink>
      <w:r w:rsidRPr="006F5EF0">
        <w:t>.</w:t>
      </w:r>
    </w:p>
    <w:p w:rsidR="00890CDD" w:rsidRDefault="00890CDD">
      <w:pPr>
        <w:spacing w:after="120"/>
        <w:ind w:left="1247"/>
      </w:pPr>
      <w:proofErr w:type="gramStart"/>
      <w:r w:rsidRPr="006F5EF0">
        <w:t>ILO, 1999b.</w:t>
      </w:r>
      <w:proofErr w:type="gramEnd"/>
      <w:r w:rsidRPr="006F5EF0">
        <w:t xml:space="preserve"> </w:t>
      </w:r>
      <w:r w:rsidR="00405DFE" w:rsidRPr="00405DFE">
        <w:rPr>
          <w:i/>
        </w:rPr>
        <w:t>Safety in the use of chemicals at work: Code of Practice</w:t>
      </w:r>
      <w:r w:rsidRPr="006F5EF0">
        <w:t xml:space="preserve">. Available </w:t>
      </w:r>
      <w:r w:rsidR="00A00945">
        <w:t xml:space="preserve">from: </w:t>
      </w:r>
      <w:hyperlink r:id="rId54" w:history="1">
        <w:r w:rsidRPr="006F5EF0">
          <w:rPr>
            <w:rStyle w:val="Hyperlink"/>
          </w:rPr>
          <w:t>www.ilo.org</w:t>
        </w:r>
      </w:hyperlink>
      <w:r w:rsidRPr="006F5EF0">
        <w:t>.</w:t>
      </w:r>
    </w:p>
    <w:p w:rsidR="00890CDD" w:rsidRDefault="00890CDD">
      <w:pPr>
        <w:spacing w:after="120"/>
        <w:ind w:left="1247"/>
      </w:pPr>
      <w:proofErr w:type="gramStart"/>
      <w:r w:rsidRPr="006F5EF0">
        <w:t>IMO, 2002.</w:t>
      </w:r>
      <w:proofErr w:type="gramEnd"/>
      <w:r w:rsidRPr="006F5EF0">
        <w:t xml:space="preserve"> </w:t>
      </w:r>
      <w:proofErr w:type="gramStart"/>
      <w:r w:rsidR="00405DFE" w:rsidRPr="00405DFE">
        <w:rPr>
          <w:i/>
        </w:rPr>
        <w:t>International Maritime Dangerous Goods Code</w:t>
      </w:r>
      <w:r w:rsidRPr="006F5EF0">
        <w:t>.</w:t>
      </w:r>
      <w:proofErr w:type="gramEnd"/>
      <w:r w:rsidRPr="006F5EF0">
        <w:t xml:space="preserve"> Available </w:t>
      </w:r>
      <w:r w:rsidR="00A00945">
        <w:t xml:space="preserve">from: </w:t>
      </w:r>
      <w:r w:rsidRPr="006F5EF0">
        <w:t>www.imo.org.</w:t>
      </w:r>
    </w:p>
    <w:p w:rsidR="00E81805" w:rsidRDefault="00890CDD" w:rsidP="0088229A">
      <w:pPr>
        <w:spacing w:after="120"/>
        <w:ind w:left="1247"/>
      </w:pPr>
      <w:r w:rsidRPr="006F5EF0">
        <w:t xml:space="preserve">IPCS INCHEM, </w:t>
      </w:r>
      <w:r w:rsidR="00E81805">
        <w:t>various</w:t>
      </w:r>
      <w:r w:rsidR="00A67D29">
        <w:t xml:space="preserve"> dates</w:t>
      </w:r>
      <w:r w:rsidRPr="006F5EF0">
        <w:t xml:space="preserve">. </w:t>
      </w:r>
      <w:r w:rsidR="00405DFE" w:rsidRPr="00405DFE">
        <w:rPr>
          <w:i/>
        </w:rPr>
        <w:t>Health and Safety Guides</w:t>
      </w:r>
      <w:r w:rsidRPr="006F5EF0">
        <w:t xml:space="preserve"> (HGSs). Available </w:t>
      </w:r>
      <w:r w:rsidR="00A00945">
        <w:t>from:</w:t>
      </w:r>
      <w:r w:rsidR="00405DFE" w:rsidRPr="00405DFE">
        <w:t xml:space="preserve"> </w:t>
      </w:r>
      <w:hyperlink r:id="rId55" w:history="1">
        <w:r w:rsidR="00405DFE" w:rsidRPr="00405DFE">
          <w:rPr>
            <w:rStyle w:val="Hyperlink"/>
          </w:rPr>
          <w:t>http://www.inchem.org/pages/hsg.html</w:t>
        </w:r>
      </w:hyperlink>
      <w:r w:rsidR="005A426A">
        <w:rPr>
          <w:rStyle w:val="Hyperlink"/>
        </w:rPr>
        <w:t>.</w:t>
      </w:r>
      <w:r w:rsidR="005A426A" w:rsidDel="00A67D29">
        <w:t xml:space="preserve"> </w:t>
      </w:r>
    </w:p>
    <w:p w:rsidR="00482273" w:rsidRDefault="008B18BC" w:rsidP="00482273">
      <w:pPr>
        <w:spacing w:after="120"/>
        <w:ind w:left="1247"/>
        <w:rPr>
          <w:lang w:eastAsia="ja-JP"/>
        </w:rPr>
      </w:pPr>
      <w:proofErr w:type="gramStart"/>
      <w:r>
        <w:rPr>
          <w:rFonts w:hint="eastAsia"/>
          <w:lang w:eastAsia="ja-JP"/>
        </w:rPr>
        <w:t>JESCO</w:t>
      </w:r>
      <w:r w:rsidR="00F71E89">
        <w:rPr>
          <w:lang w:eastAsia="ja-JP"/>
        </w:rPr>
        <w:t xml:space="preserve"> (Japan Environmental Safety Corporation)</w:t>
      </w:r>
      <w:r>
        <w:rPr>
          <w:rFonts w:hint="eastAsia"/>
          <w:lang w:eastAsia="ja-JP"/>
        </w:rPr>
        <w:t>, 2009a</w:t>
      </w:r>
      <w:r w:rsidR="00D24EF5">
        <w:rPr>
          <w:lang w:eastAsia="ja-JP"/>
        </w:rPr>
        <w:t>.</w:t>
      </w:r>
      <w:proofErr w:type="gramEnd"/>
      <w:r w:rsidR="00482273">
        <w:rPr>
          <w:lang w:eastAsia="ja-JP"/>
        </w:rPr>
        <w:t xml:space="preserve"> </w:t>
      </w:r>
      <w:r w:rsidR="00482273" w:rsidRPr="00A530A5">
        <w:rPr>
          <w:lang w:eastAsia="ja-JP"/>
        </w:rPr>
        <w:t>Kitakyushu PCB Waste Treatment Facility</w:t>
      </w:r>
      <w:r w:rsidR="00482273">
        <w:rPr>
          <w:rFonts w:hint="eastAsia"/>
          <w:lang w:eastAsia="ja-JP"/>
        </w:rPr>
        <w:t>, Available at</w:t>
      </w:r>
      <w:r w:rsidR="00A00945">
        <w:rPr>
          <w:lang w:eastAsia="ja-JP"/>
        </w:rPr>
        <w:t>:</w:t>
      </w:r>
      <w:r w:rsidR="00482273">
        <w:rPr>
          <w:lang w:eastAsia="ja-JP"/>
        </w:rPr>
        <w:t xml:space="preserve"> </w:t>
      </w:r>
      <w:hyperlink r:id="rId56" w:history="1">
        <w:r w:rsidR="00482273" w:rsidRPr="00EE645D">
          <w:rPr>
            <w:rStyle w:val="Hyperlink"/>
            <w:lang w:eastAsia="ja-JP"/>
          </w:rPr>
          <w:t>www.jesconet.co.jp/eg/facility/kitakyushu.html</w:t>
        </w:r>
      </w:hyperlink>
      <w:r w:rsidR="00482273">
        <w:rPr>
          <w:rFonts w:hint="eastAsia"/>
          <w:lang w:eastAsia="ja-JP"/>
        </w:rPr>
        <w:t>.</w:t>
      </w:r>
      <w:r w:rsidR="00F71E89" w:rsidRPr="00F71E89">
        <w:t xml:space="preserve"> </w:t>
      </w:r>
    </w:p>
    <w:p w:rsidR="008B18BC" w:rsidRDefault="008B18BC" w:rsidP="008B18BC">
      <w:pPr>
        <w:spacing w:after="120"/>
        <w:ind w:left="1247"/>
        <w:rPr>
          <w:lang w:eastAsia="ja-JP"/>
        </w:rPr>
      </w:pPr>
      <w:proofErr w:type="gramStart"/>
      <w:r>
        <w:rPr>
          <w:rFonts w:hint="eastAsia"/>
          <w:lang w:eastAsia="ja-JP"/>
        </w:rPr>
        <w:t>JESCO, 2009b</w:t>
      </w:r>
      <w:r w:rsidR="00D24EF5">
        <w:rPr>
          <w:lang w:eastAsia="ja-JP"/>
        </w:rPr>
        <w:t>.</w:t>
      </w:r>
      <w:proofErr w:type="gramEnd"/>
      <w:r>
        <w:rPr>
          <w:lang w:eastAsia="ja-JP"/>
        </w:rPr>
        <w:t xml:space="preserve"> </w:t>
      </w:r>
      <w:proofErr w:type="gramStart"/>
      <w:r>
        <w:rPr>
          <w:rFonts w:hint="eastAsia"/>
          <w:lang w:eastAsia="ja-JP"/>
        </w:rPr>
        <w:t>Toyota</w:t>
      </w:r>
      <w:r w:rsidRPr="00A530A5">
        <w:rPr>
          <w:lang w:eastAsia="ja-JP"/>
        </w:rPr>
        <w:t xml:space="preserve"> PCB Waste Treatment Facility</w:t>
      </w:r>
      <w:r w:rsidR="0009023E">
        <w:rPr>
          <w:lang w:eastAsia="ja-JP"/>
        </w:rPr>
        <w:t>.</w:t>
      </w:r>
      <w:proofErr w:type="gramEnd"/>
      <w:r>
        <w:rPr>
          <w:rFonts w:hint="eastAsia"/>
          <w:lang w:eastAsia="ja-JP"/>
        </w:rPr>
        <w:t xml:space="preserve"> Available at</w:t>
      </w:r>
      <w:r w:rsidR="00A00945">
        <w:rPr>
          <w:lang w:eastAsia="ja-JP"/>
        </w:rPr>
        <w:t>:</w:t>
      </w:r>
      <w:r>
        <w:rPr>
          <w:rFonts w:hint="eastAsia"/>
          <w:lang w:eastAsia="ja-JP"/>
        </w:rPr>
        <w:t xml:space="preserve"> </w:t>
      </w:r>
      <w:hyperlink r:id="rId57" w:history="1">
        <w:r w:rsidR="00E66FD1" w:rsidRPr="00E66FD1">
          <w:rPr>
            <w:rStyle w:val="Hyperlink"/>
            <w:lang w:eastAsia="ja-JP"/>
          </w:rPr>
          <w:t>www.jesconet.co.jp/eg/facility/toyota</w:t>
        </w:r>
        <w:r w:rsidR="00E66FD1" w:rsidRPr="007460E3">
          <w:rPr>
            <w:rStyle w:val="Hyperlink"/>
            <w:lang w:eastAsia="ja-JP"/>
          </w:rPr>
          <w:t>.html</w:t>
        </w:r>
      </w:hyperlink>
      <w:r>
        <w:rPr>
          <w:rFonts w:hint="eastAsia"/>
          <w:lang w:eastAsia="ja-JP"/>
        </w:rPr>
        <w:t>.</w:t>
      </w:r>
    </w:p>
    <w:p w:rsidR="008B18BC" w:rsidRDefault="008B18BC" w:rsidP="008B18BC">
      <w:pPr>
        <w:spacing w:after="120"/>
        <w:ind w:left="1247"/>
        <w:rPr>
          <w:lang w:eastAsia="ja-JP"/>
        </w:rPr>
      </w:pPr>
      <w:proofErr w:type="gramStart"/>
      <w:r>
        <w:rPr>
          <w:rFonts w:hint="eastAsia"/>
          <w:lang w:eastAsia="ja-JP"/>
        </w:rPr>
        <w:t>JESCO, 2009c</w:t>
      </w:r>
      <w:r w:rsidR="00D24EF5">
        <w:rPr>
          <w:lang w:eastAsia="ja-JP"/>
        </w:rPr>
        <w:t>.</w:t>
      </w:r>
      <w:proofErr w:type="gramEnd"/>
      <w:r>
        <w:rPr>
          <w:lang w:eastAsia="ja-JP"/>
        </w:rPr>
        <w:t xml:space="preserve"> </w:t>
      </w:r>
      <w:proofErr w:type="gramStart"/>
      <w:r>
        <w:rPr>
          <w:rFonts w:hint="eastAsia"/>
          <w:lang w:eastAsia="ja-JP"/>
        </w:rPr>
        <w:t>Osaka</w:t>
      </w:r>
      <w:r w:rsidRPr="00A530A5">
        <w:rPr>
          <w:lang w:eastAsia="ja-JP"/>
        </w:rPr>
        <w:t xml:space="preserve"> PCB Waste Treatment Facility</w:t>
      </w:r>
      <w:r w:rsidR="0009023E">
        <w:rPr>
          <w:lang w:eastAsia="ja-JP"/>
        </w:rPr>
        <w:t>.</w:t>
      </w:r>
      <w:proofErr w:type="gramEnd"/>
      <w:r>
        <w:rPr>
          <w:rFonts w:hint="eastAsia"/>
          <w:lang w:eastAsia="ja-JP"/>
        </w:rPr>
        <w:t xml:space="preserve"> Available at</w:t>
      </w:r>
      <w:r w:rsidR="00A00945">
        <w:rPr>
          <w:lang w:eastAsia="ja-JP"/>
        </w:rPr>
        <w:t>:</w:t>
      </w:r>
      <w:r>
        <w:rPr>
          <w:rFonts w:hint="eastAsia"/>
          <w:lang w:eastAsia="ja-JP"/>
        </w:rPr>
        <w:t xml:space="preserve"> </w:t>
      </w:r>
      <w:hyperlink r:id="rId58" w:history="1">
        <w:r w:rsidRPr="00EE645D">
          <w:rPr>
            <w:rStyle w:val="Hyperlink"/>
            <w:lang w:eastAsia="ja-JP"/>
          </w:rPr>
          <w:t>www.jesconet.co.jp/eg/facility/</w:t>
        </w:r>
        <w:r w:rsidRPr="00EE645D">
          <w:rPr>
            <w:rStyle w:val="Hyperlink"/>
            <w:rFonts w:hint="eastAsia"/>
            <w:lang w:eastAsia="ja-JP"/>
          </w:rPr>
          <w:t>osaka</w:t>
        </w:r>
        <w:r w:rsidRPr="00EE645D">
          <w:rPr>
            <w:rStyle w:val="Hyperlink"/>
            <w:lang w:eastAsia="ja-JP"/>
          </w:rPr>
          <w:t>.html</w:t>
        </w:r>
      </w:hyperlink>
      <w:r>
        <w:rPr>
          <w:rFonts w:hint="eastAsia"/>
          <w:lang w:eastAsia="ja-JP"/>
        </w:rPr>
        <w:t>.</w:t>
      </w:r>
    </w:p>
    <w:p w:rsidR="00206E9E" w:rsidRDefault="00206E9E" w:rsidP="00206E9E">
      <w:pPr>
        <w:spacing w:after="120"/>
        <w:ind w:left="1247"/>
        <w:rPr>
          <w:lang w:eastAsia="ja-JP"/>
        </w:rPr>
      </w:pPr>
      <w:proofErr w:type="gramStart"/>
      <w:r w:rsidRPr="00E66FD1">
        <w:rPr>
          <w:rFonts w:hint="eastAsia"/>
          <w:lang w:eastAsia="ja-JP"/>
        </w:rPr>
        <w:t>JESCO, 2009d</w:t>
      </w:r>
      <w:r w:rsidR="00D24EF5">
        <w:rPr>
          <w:lang w:eastAsia="ja-JP"/>
        </w:rPr>
        <w:t>.</w:t>
      </w:r>
      <w:proofErr w:type="gramEnd"/>
      <w:r w:rsidRPr="00E66FD1">
        <w:rPr>
          <w:lang w:eastAsia="ja-JP"/>
        </w:rPr>
        <w:t xml:space="preserve"> </w:t>
      </w:r>
      <w:proofErr w:type="gramStart"/>
      <w:r w:rsidRPr="00E66FD1">
        <w:rPr>
          <w:rFonts w:hint="eastAsia"/>
          <w:lang w:eastAsia="ja-JP"/>
        </w:rPr>
        <w:t>Tokyo</w:t>
      </w:r>
      <w:r w:rsidRPr="00E66FD1">
        <w:rPr>
          <w:lang w:eastAsia="ja-JP"/>
        </w:rPr>
        <w:t xml:space="preserve"> PCB Waste Treatment Facility</w:t>
      </w:r>
      <w:r w:rsidR="0009023E">
        <w:rPr>
          <w:lang w:eastAsia="ja-JP"/>
        </w:rPr>
        <w:t>.</w:t>
      </w:r>
      <w:proofErr w:type="gramEnd"/>
      <w:r w:rsidRPr="00E66FD1">
        <w:rPr>
          <w:rFonts w:hint="eastAsia"/>
          <w:lang w:eastAsia="ja-JP"/>
        </w:rPr>
        <w:t xml:space="preserve"> Available at</w:t>
      </w:r>
      <w:r w:rsidR="00A00945">
        <w:rPr>
          <w:lang w:eastAsia="ja-JP"/>
        </w:rPr>
        <w:t>:</w:t>
      </w:r>
      <w:r w:rsidRPr="00E66FD1">
        <w:rPr>
          <w:rFonts w:hint="eastAsia"/>
          <w:lang w:eastAsia="ja-JP"/>
        </w:rPr>
        <w:t xml:space="preserve"> </w:t>
      </w:r>
      <w:hyperlink r:id="rId59" w:history="1">
        <w:r w:rsidR="00E66FD1" w:rsidRPr="00E66FD1">
          <w:rPr>
            <w:rStyle w:val="Hyperlink"/>
            <w:lang w:eastAsia="ja-JP"/>
          </w:rPr>
          <w:t>www.jesconet.co.jp/eg/facility/to</w:t>
        </w:r>
        <w:r w:rsidR="00E66FD1" w:rsidRPr="00E66FD1">
          <w:rPr>
            <w:rStyle w:val="Hyperlink"/>
            <w:rFonts w:hint="eastAsia"/>
            <w:lang w:eastAsia="ja-JP"/>
          </w:rPr>
          <w:t>kyo</w:t>
        </w:r>
        <w:r w:rsidR="00E66FD1" w:rsidRPr="00E66FD1">
          <w:rPr>
            <w:rStyle w:val="Hyperlink"/>
            <w:lang w:eastAsia="ja-JP"/>
          </w:rPr>
          <w:t>.html</w:t>
        </w:r>
      </w:hyperlink>
      <w:r w:rsidR="00E66FD1">
        <w:rPr>
          <w:lang w:eastAsia="ja-JP"/>
        </w:rPr>
        <w:t>.</w:t>
      </w:r>
    </w:p>
    <w:p w:rsidR="00B46833" w:rsidRPr="00EE214C" w:rsidRDefault="00B46833" w:rsidP="00B46833">
      <w:pPr>
        <w:spacing w:after="120"/>
        <w:ind w:left="1247"/>
        <w:rPr>
          <w:lang w:eastAsia="ja-JP"/>
        </w:rPr>
      </w:pPr>
      <w:proofErr w:type="gramStart"/>
      <w:r w:rsidRPr="00B46833">
        <w:rPr>
          <w:rFonts w:hint="eastAsia"/>
          <w:lang w:eastAsia="ja-JP"/>
        </w:rPr>
        <w:t>JESCO, 2013</w:t>
      </w:r>
      <w:r w:rsidR="00D24EF5">
        <w:rPr>
          <w:lang w:eastAsia="ja-JP"/>
        </w:rPr>
        <w:t>.</w:t>
      </w:r>
      <w:proofErr w:type="gramEnd"/>
      <w:r w:rsidR="00E66FD1">
        <w:rPr>
          <w:lang w:eastAsia="ja-JP"/>
        </w:rPr>
        <w:t xml:space="preserve"> </w:t>
      </w:r>
      <w:proofErr w:type="gramStart"/>
      <w:r w:rsidRPr="00B46833">
        <w:rPr>
          <w:rFonts w:hint="eastAsia"/>
          <w:lang w:eastAsia="ja-JP"/>
        </w:rPr>
        <w:t>Hokkaido</w:t>
      </w:r>
      <w:r w:rsidRPr="00B46833">
        <w:rPr>
          <w:lang w:eastAsia="ja-JP"/>
        </w:rPr>
        <w:t xml:space="preserve"> PCB Waste Treatment Facility</w:t>
      </w:r>
      <w:r w:rsidR="0009023E">
        <w:rPr>
          <w:lang w:eastAsia="ja-JP"/>
        </w:rPr>
        <w:t>.</w:t>
      </w:r>
      <w:proofErr w:type="gramEnd"/>
      <w:r w:rsidRPr="00B46833">
        <w:rPr>
          <w:rFonts w:hint="eastAsia"/>
          <w:lang w:eastAsia="ja-JP"/>
        </w:rPr>
        <w:t xml:space="preserve"> Available at</w:t>
      </w:r>
      <w:r w:rsidR="00A00945">
        <w:rPr>
          <w:lang w:eastAsia="ja-JP"/>
        </w:rPr>
        <w:t>:</w:t>
      </w:r>
      <w:r w:rsidRPr="00B46833">
        <w:rPr>
          <w:rFonts w:hint="eastAsia"/>
          <w:lang w:eastAsia="ja-JP"/>
        </w:rPr>
        <w:t xml:space="preserve"> </w:t>
      </w:r>
      <w:hyperlink r:id="rId60" w:history="1">
        <w:r w:rsidR="00E66FD1" w:rsidRPr="00E66FD1">
          <w:rPr>
            <w:rStyle w:val="Hyperlink"/>
            <w:lang w:eastAsia="ja-JP"/>
          </w:rPr>
          <w:t>www.jesconet.co.jp/eg/facility/</w:t>
        </w:r>
        <w:r w:rsidR="00E66FD1" w:rsidRPr="00E66FD1">
          <w:rPr>
            <w:rStyle w:val="Hyperlink"/>
            <w:rFonts w:hint="eastAsia"/>
            <w:lang w:eastAsia="ja-JP"/>
          </w:rPr>
          <w:t>hokkaido</w:t>
        </w:r>
        <w:r w:rsidR="00E66FD1" w:rsidRPr="00E66FD1">
          <w:rPr>
            <w:rStyle w:val="Hyperlink"/>
            <w:lang w:eastAsia="ja-JP"/>
          </w:rPr>
          <w:t>.html</w:t>
        </w:r>
      </w:hyperlink>
      <w:r w:rsidR="007460E3">
        <w:rPr>
          <w:lang w:eastAsia="ja-JP"/>
        </w:rPr>
        <w:t>.</w:t>
      </w:r>
    </w:p>
    <w:p w:rsidR="00890CDD" w:rsidRPr="009E7C50" w:rsidRDefault="00890CDD" w:rsidP="0088229A">
      <w:pPr>
        <w:spacing w:after="120"/>
        <w:ind w:left="1247"/>
        <w:rPr>
          <w:lang w:val="en-US"/>
        </w:rPr>
      </w:pPr>
      <w:proofErr w:type="spellStart"/>
      <w:r>
        <w:t>Karstensen</w:t>
      </w:r>
      <w:proofErr w:type="spellEnd"/>
      <w:r>
        <w:t>, K.H.</w:t>
      </w:r>
      <w:r w:rsidRPr="006A038A">
        <w:t xml:space="preserve">, 2001. </w:t>
      </w:r>
      <w:r w:rsidR="00D24EF5">
        <w:t>“</w:t>
      </w:r>
      <w:r w:rsidRPr="006A038A">
        <w:t>Disposal of obsolete pesticides in cement kilns in developing countries. Lessons learned – How to proceed</w:t>
      </w:r>
      <w:r w:rsidR="00D24EF5">
        <w:t>”,</w:t>
      </w:r>
      <w:r w:rsidRPr="006A038A">
        <w:t xml:space="preserve"> </w:t>
      </w:r>
      <w:r w:rsidRPr="006A038A">
        <w:rPr>
          <w:i/>
        </w:rPr>
        <w:t>6</w:t>
      </w:r>
      <w:r w:rsidRPr="006A038A">
        <w:rPr>
          <w:i/>
          <w:vertAlign w:val="superscript"/>
        </w:rPr>
        <w:t>th</w:t>
      </w:r>
      <w:r w:rsidRPr="006A038A">
        <w:rPr>
          <w:i/>
        </w:rPr>
        <w:t xml:space="preserve"> International HCH &amp; Pesticides Forum Book</w:t>
      </w:r>
      <w:r w:rsidRPr="006A038A">
        <w:t xml:space="preserve">, </w:t>
      </w:r>
      <w:r w:rsidR="00855D5A">
        <w:t>pp. 291-301</w:t>
      </w:r>
      <w:r w:rsidRPr="00D058F7">
        <w:t>.</w:t>
      </w:r>
      <w:r w:rsidR="00695776">
        <w:t xml:space="preserve"> </w:t>
      </w:r>
      <w:r w:rsidR="00605389" w:rsidRPr="009E7C50">
        <w:rPr>
          <w:lang w:val="en-US"/>
        </w:rPr>
        <w:t>Available from: http://www.hchforum.com/6th/forum_book/.</w:t>
      </w:r>
    </w:p>
    <w:p w:rsidR="00890CDD" w:rsidRDefault="00890CDD">
      <w:pPr>
        <w:spacing w:after="120"/>
        <w:ind w:left="1247"/>
      </w:pPr>
      <w:r w:rsidRPr="00B81773">
        <w:rPr>
          <w:lang w:val="de-CH"/>
        </w:rPr>
        <w:t>Karstensen, K.H. et al.</w:t>
      </w:r>
      <w:r w:rsidR="007D6E1B">
        <w:rPr>
          <w:lang w:val="de-CH"/>
        </w:rPr>
        <w:t xml:space="preserve">, </w:t>
      </w:r>
      <w:r w:rsidRPr="00B81773">
        <w:rPr>
          <w:lang w:val="de-CH"/>
        </w:rPr>
        <w:t xml:space="preserve">2006. </w:t>
      </w:r>
      <w:proofErr w:type="gramStart"/>
      <w:r w:rsidR="000A166E">
        <w:t>“</w:t>
      </w:r>
      <w:r w:rsidRPr="00D058F7">
        <w:t>Environmentally sound destruction of obsolete pesticides in developing countries using cement kilns</w:t>
      </w:r>
      <w:r w:rsidR="000A166E">
        <w:t>”</w:t>
      </w:r>
      <w:r w:rsidR="00F96664">
        <w:t>,</w:t>
      </w:r>
      <w:r w:rsidRPr="00D058F7">
        <w:t xml:space="preserve"> </w:t>
      </w:r>
      <w:r w:rsidR="00FA42EF" w:rsidRPr="00FA42EF">
        <w:rPr>
          <w:i/>
        </w:rPr>
        <w:t>Environmental Science &amp; Policy</w:t>
      </w:r>
      <w:r w:rsidRPr="00D058F7">
        <w:t xml:space="preserve">, </w:t>
      </w:r>
      <w:r w:rsidR="00A5795A">
        <w:t>v</w:t>
      </w:r>
      <w:r w:rsidRPr="00D058F7">
        <w:t>ol</w:t>
      </w:r>
      <w:r w:rsidR="00281063">
        <w:t>.</w:t>
      </w:r>
      <w:r w:rsidR="003447AB" w:rsidRPr="00D058F7">
        <w:t xml:space="preserve"> </w:t>
      </w:r>
      <w:r w:rsidRPr="00D058F7">
        <w:t>9</w:t>
      </w:r>
      <w:r w:rsidR="003447AB">
        <w:t xml:space="preserve"> No. </w:t>
      </w:r>
      <w:r w:rsidRPr="00D058F7">
        <w:t>6</w:t>
      </w:r>
      <w:r w:rsidR="00E855F6">
        <w:t xml:space="preserve">, </w:t>
      </w:r>
      <w:r w:rsidR="00D24EF5">
        <w:t xml:space="preserve">pp. </w:t>
      </w:r>
      <w:r w:rsidRPr="00D058F7">
        <w:t>577–586</w:t>
      </w:r>
      <w:r w:rsidR="00A00945">
        <w:t>.</w:t>
      </w:r>
      <w:proofErr w:type="gramEnd"/>
    </w:p>
    <w:p w:rsidR="00890CDD" w:rsidRPr="00E34AE1" w:rsidRDefault="00890CDD" w:rsidP="0088229A">
      <w:pPr>
        <w:spacing w:after="120"/>
        <w:ind w:left="1276"/>
        <w:rPr>
          <w:rFonts w:cs="Mangal"/>
        </w:rPr>
      </w:pPr>
      <w:proofErr w:type="spellStart"/>
      <w:r w:rsidRPr="00E34AE1">
        <w:rPr>
          <w:rFonts w:cs="Mangal"/>
        </w:rPr>
        <w:t>Karstensen</w:t>
      </w:r>
      <w:proofErr w:type="spellEnd"/>
      <w:r w:rsidRPr="00E34AE1">
        <w:rPr>
          <w:rFonts w:cs="Mangal"/>
        </w:rPr>
        <w:t xml:space="preserve">, K.H., 2008b. </w:t>
      </w:r>
      <w:r w:rsidR="00405DFE" w:rsidRPr="00405DFE">
        <w:rPr>
          <w:rFonts w:cs="Mangal"/>
          <w:i/>
        </w:rPr>
        <w:t>Guidelines for treatment of hazardous wastes and co-processing of AFRs in cement kilns</w:t>
      </w:r>
      <w:r w:rsidRPr="00E34AE1">
        <w:rPr>
          <w:rFonts w:cs="Mangal"/>
        </w:rPr>
        <w:t xml:space="preserve">. </w:t>
      </w:r>
      <w:proofErr w:type="gramStart"/>
      <w:r w:rsidR="00281063">
        <w:rPr>
          <w:rFonts w:cs="Mangal"/>
        </w:rPr>
        <w:t xml:space="preserve">Prepared for the </w:t>
      </w:r>
      <w:r w:rsidRPr="00E34AE1">
        <w:rPr>
          <w:rFonts w:cs="Mangal"/>
        </w:rPr>
        <w:t>Department for Environmental Affairs and Tourism, Republic of South Africa.</w:t>
      </w:r>
      <w:proofErr w:type="gramEnd"/>
      <w:r w:rsidR="00281063">
        <w:rPr>
          <w:rFonts w:cs="Mangal"/>
        </w:rPr>
        <w:t xml:space="preserve"> Available at: </w:t>
      </w:r>
      <w:hyperlink r:id="rId61" w:history="1">
        <w:r w:rsidR="00281063" w:rsidRPr="00801DD9">
          <w:rPr>
            <w:rStyle w:val="Hyperlink"/>
            <w:rFonts w:cs="Mangal"/>
          </w:rPr>
          <w:t>http://sawic.environment.gov.za/documents/461.pdf</w:t>
        </w:r>
      </w:hyperlink>
      <w:r w:rsidR="00281063">
        <w:rPr>
          <w:rFonts w:cs="Mangal"/>
        </w:rPr>
        <w:t xml:space="preserve">. </w:t>
      </w:r>
    </w:p>
    <w:p w:rsidR="00B014A6" w:rsidRPr="00B014A6" w:rsidRDefault="00B014A6" w:rsidP="00EF105B">
      <w:pPr>
        <w:tabs>
          <w:tab w:val="clear" w:pos="1247"/>
          <w:tab w:val="clear" w:pos="1814"/>
          <w:tab w:val="clear" w:pos="2381"/>
          <w:tab w:val="clear" w:pos="2948"/>
          <w:tab w:val="clear" w:pos="3515"/>
        </w:tabs>
        <w:autoSpaceDE w:val="0"/>
        <w:autoSpaceDN w:val="0"/>
        <w:adjustRightInd w:val="0"/>
        <w:spacing w:after="120"/>
        <w:ind w:left="1276"/>
      </w:pPr>
      <w:proofErr w:type="spellStart"/>
      <w:r w:rsidRPr="00B014A6">
        <w:t>Karstensen</w:t>
      </w:r>
      <w:proofErr w:type="spellEnd"/>
      <w:r w:rsidRPr="00B014A6">
        <w:t xml:space="preserve">, K.H. et al. 2009. </w:t>
      </w:r>
      <w:proofErr w:type="gramStart"/>
      <w:r w:rsidR="00710CD1">
        <w:t>“</w:t>
      </w:r>
      <w:r w:rsidRPr="00B014A6">
        <w:rPr>
          <w:rFonts w:eastAsia="Calibri"/>
          <w:lang w:val="en-US"/>
        </w:rPr>
        <w:t>Test burn with PCB–oil in a local cement kiln in Sri Lanka</w:t>
      </w:r>
      <w:r w:rsidR="00710CD1">
        <w:t>”,</w:t>
      </w:r>
      <w:r w:rsidRPr="00B014A6">
        <w:t xml:space="preserve"> </w:t>
      </w:r>
      <w:r w:rsidR="00405DFE" w:rsidRPr="00405DFE">
        <w:rPr>
          <w:i/>
        </w:rPr>
        <w:t>Chemosphere</w:t>
      </w:r>
      <w:r w:rsidR="00E855F6">
        <w:t xml:space="preserve">, </w:t>
      </w:r>
      <w:r w:rsidR="006219AF">
        <w:t xml:space="preserve">vol. </w:t>
      </w:r>
      <w:r w:rsidR="00710CD1">
        <w:t>78</w:t>
      </w:r>
      <w:r w:rsidR="006219AF">
        <w:t xml:space="preserve"> No. </w:t>
      </w:r>
      <w:r w:rsidR="00710CD1">
        <w:t>6, pp. 717-723.</w:t>
      </w:r>
      <w:proofErr w:type="gramEnd"/>
    </w:p>
    <w:p w:rsidR="00F63726" w:rsidRDefault="00890CDD">
      <w:pPr>
        <w:spacing w:after="120"/>
        <w:ind w:left="1247"/>
      </w:pPr>
      <w:proofErr w:type="spellStart"/>
      <w:r w:rsidRPr="00D058F7">
        <w:t>Kümmling</w:t>
      </w:r>
      <w:proofErr w:type="spellEnd"/>
      <w:r w:rsidRPr="00D058F7">
        <w:t>, K.</w:t>
      </w:r>
      <w:r w:rsidR="00B9689E">
        <w:t xml:space="preserve"> et al</w:t>
      </w:r>
      <w:r w:rsidRPr="00D058F7">
        <w:t>, 2001</w:t>
      </w:r>
      <w:r w:rsidR="006E0599">
        <w:t>.</w:t>
      </w:r>
      <w:r w:rsidRPr="00D058F7">
        <w:t xml:space="preserve"> </w:t>
      </w:r>
      <w:r w:rsidR="00B9689E">
        <w:t>“</w:t>
      </w:r>
      <w:r w:rsidRPr="00D058F7">
        <w:t xml:space="preserve">Gas-phase chemical reduction of </w:t>
      </w:r>
      <w:proofErr w:type="spellStart"/>
      <w:r w:rsidRPr="00D058F7">
        <w:t>hexachlorobenzene</w:t>
      </w:r>
      <w:proofErr w:type="spellEnd"/>
      <w:r w:rsidRPr="00D058F7">
        <w:t xml:space="preserve"> and other chlorinated compounds: Waste treatment experience and applications</w:t>
      </w:r>
      <w:r w:rsidR="00695776">
        <w:t>”</w:t>
      </w:r>
      <w:r w:rsidR="00047F4D">
        <w:t>,</w:t>
      </w:r>
      <w:r w:rsidR="00695776" w:rsidRPr="00D058F7">
        <w:t xml:space="preserve"> </w:t>
      </w:r>
      <w:r w:rsidRPr="00D058F7">
        <w:rPr>
          <w:i/>
        </w:rPr>
        <w:t>6</w:t>
      </w:r>
      <w:r w:rsidRPr="00D058F7">
        <w:rPr>
          <w:i/>
          <w:vertAlign w:val="superscript"/>
        </w:rPr>
        <w:t>th</w:t>
      </w:r>
      <w:r w:rsidRPr="00D058F7">
        <w:rPr>
          <w:i/>
        </w:rPr>
        <w:t> International HCH &amp; Pesticides Forum Book</w:t>
      </w:r>
      <w:r w:rsidRPr="00D058F7">
        <w:t xml:space="preserve">, </w:t>
      </w:r>
      <w:r w:rsidR="00855D5A">
        <w:t>pp. 271-275</w:t>
      </w:r>
      <w:r w:rsidRPr="00D058F7">
        <w:t>.</w:t>
      </w:r>
      <w:r w:rsidR="00695776">
        <w:t xml:space="preserve"> Available from: </w:t>
      </w:r>
      <w:hyperlink r:id="rId62" w:history="1">
        <w:r w:rsidR="00F63726" w:rsidRPr="00801DD9">
          <w:rPr>
            <w:rStyle w:val="Hyperlink"/>
          </w:rPr>
          <w:t>http://www.hchforum.com/6th/forum_book/</w:t>
        </w:r>
      </w:hyperlink>
      <w:r w:rsidR="00F63726">
        <w:t>.</w:t>
      </w:r>
    </w:p>
    <w:p w:rsidR="000E79E2" w:rsidRDefault="00890CDD">
      <w:pPr>
        <w:spacing w:after="120"/>
        <w:ind w:left="1247"/>
      </w:pPr>
      <w:proofErr w:type="gramStart"/>
      <w:r w:rsidRPr="00D058F7">
        <w:t>Ministry of the Environment of Japan, 2004.</w:t>
      </w:r>
      <w:proofErr w:type="gramEnd"/>
      <w:r w:rsidRPr="00D058F7">
        <w:t xml:space="preserve"> </w:t>
      </w:r>
      <w:r w:rsidR="00405DFE" w:rsidRPr="00405DFE">
        <w:rPr>
          <w:i/>
        </w:rPr>
        <w:t>Report on study of the treatment standards for POPs waste in fiscal year 2003</w:t>
      </w:r>
      <w:r w:rsidRPr="00D058F7">
        <w:t>.</w:t>
      </w:r>
    </w:p>
    <w:p w:rsidR="001A1011" w:rsidRPr="001A1011" w:rsidRDefault="00890CDD" w:rsidP="001A1011">
      <w:pPr>
        <w:spacing w:after="120"/>
        <w:ind w:left="1247"/>
      </w:pPr>
      <w:proofErr w:type="gramStart"/>
      <w:r w:rsidRPr="00D058F7">
        <w:t>Ministry of the Environment of Japan</w:t>
      </w:r>
      <w:r w:rsidR="00E855F6">
        <w:t xml:space="preserve">, </w:t>
      </w:r>
      <w:r w:rsidRPr="00D058F7">
        <w:t>2013</w:t>
      </w:r>
      <w:r w:rsidR="009F2A71">
        <w:t>a</w:t>
      </w:r>
      <w:r w:rsidRPr="00D058F7">
        <w:t>.</w:t>
      </w:r>
      <w:proofErr w:type="gramEnd"/>
      <w:r w:rsidRPr="00D058F7">
        <w:t xml:space="preserve"> </w:t>
      </w:r>
      <w:proofErr w:type="gramStart"/>
      <w:r w:rsidR="00405DFE" w:rsidRPr="00405DFE">
        <w:rPr>
          <w:i/>
        </w:rPr>
        <w:t>Environmental Monitoring of Persistent Organic Pollutants in East Asian Countries</w:t>
      </w:r>
      <w:r w:rsidRPr="00D058F7">
        <w:t>.</w:t>
      </w:r>
      <w:proofErr w:type="gramEnd"/>
      <w:r w:rsidRPr="00D058F7">
        <w:t xml:space="preserve"> Available at</w:t>
      </w:r>
      <w:r w:rsidR="00A00945">
        <w:t>:</w:t>
      </w:r>
      <w:r w:rsidRPr="00D058F7">
        <w:t xml:space="preserve"> </w:t>
      </w:r>
      <w:hyperlink r:id="rId63" w:history="1">
        <w:r w:rsidR="00405DFE" w:rsidRPr="00405DFE">
          <w:t>www.env.go.jp/en/chemi/pops/eaws.html</w:t>
        </w:r>
      </w:hyperlink>
      <w:r w:rsidRPr="00D058F7">
        <w:t xml:space="preserve">, </w:t>
      </w:r>
      <w:hyperlink r:id="rId64" w:history="1">
        <w:r w:rsidR="00405DFE" w:rsidRPr="00405DFE">
          <w:t>http://www.env.go.jp/chemi/pops/3rd/mat02.pdf</w:t>
        </w:r>
      </w:hyperlink>
    </w:p>
    <w:p w:rsidR="001A1011" w:rsidRDefault="009F2A71" w:rsidP="001A1011">
      <w:pPr>
        <w:spacing w:after="120"/>
        <w:ind w:left="1247"/>
        <w:rPr>
          <w:rFonts w:eastAsia="MS Mincho"/>
          <w:lang w:eastAsia="ja-JP"/>
        </w:rPr>
      </w:pPr>
      <w:proofErr w:type="gramStart"/>
      <w:r>
        <w:t>Ministry of the Environment of Japan, 2013</w:t>
      </w:r>
      <w:r w:rsidR="00405DFE" w:rsidRPr="00405DFE">
        <w:t>b</w:t>
      </w:r>
      <w:r>
        <w:t>.</w:t>
      </w:r>
      <w:proofErr w:type="gramEnd"/>
      <w:r>
        <w:t xml:space="preserve"> </w:t>
      </w:r>
      <w:r w:rsidR="00405DFE" w:rsidRPr="00405DFE">
        <w:t xml:space="preserve"> </w:t>
      </w:r>
      <w:r w:rsidR="00405DFE" w:rsidRPr="00405DFE">
        <w:rPr>
          <w:i/>
        </w:rPr>
        <w:t>Summary of the Guideline on the Treatment of Wastes Containing</w:t>
      </w:r>
      <w:r w:rsidR="00405DFE" w:rsidRPr="00405DFE">
        <w:rPr>
          <w:rFonts w:eastAsia="Calibri"/>
          <w:bCs/>
          <w:i/>
        </w:rPr>
        <w:t xml:space="preserve"> </w:t>
      </w:r>
      <w:proofErr w:type="spellStart"/>
      <w:r w:rsidR="00405DFE" w:rsidRPr="00405DFE">
        <w:rPr>
          <w:rFonts w:eastAsia="Calibri"/>
          <w:bCs/>
          <w:i/>
        </w:rPr>
        <w:t>Perfluorooctane</w:t>
      </w:r>
      <w:proofErr w:type="spellEnd"/>
      <w:r w:rsidR="00405DFE" w:rsidRPr="00405DFE">
        <w:rPr>
          <w:rFonts w:eastAsia="Calibri"/>
          <w:bCs/>
          <w:i/>
        </w:rPr>
        <w:t xml:space="preserve"> </w:t>
      </w:r>
      <w:proofErr w:type="spellStart"/>
      <w:r w:rsidR="00405DFE" w:rsidRPr="00405DFE">
        <w:rPr>
          <w:rFonts w:eastAsia="Calibri"/>
          <w:bCs/>
          <w:i/>
        </w:rPr>
        <w:t>Sulfonic</w:t>
      </w:r>
      <w:proofErr w:type="spellEnd"/>
      <w:r w:rsidR="00405DFE" w:rsidRPr="00405DFE">
        <w:rPr>
          <w:rFonts w:eastAsia="Calibri"/>
          <w:bCs/>
          <w:i/>
        </w:rPr>
        <w:t xml:space="preserve"> Acid (PFOS)</w:t>
      </w:r>
      <w:r w:rsidR="00E855F6">
        <w:rPr>
          <w:rFonts w:eastAsia="Calibri"/>
          <w:bCs/>
          <w:i/>
        </w:rPr>
        <w:t xml:space="preserve">, </w:t>
      </w:r>
      <w:r w:rsidR="00405DFE" w:rsidRPr="00405DFE">
        <w:rPr>
          <w:rFonts w:eastAsia="Calibri"/>
          <w:bCs/>
          <w:i/>
        </w:rPr>
        <w:t xml:space="preserve">and Its </w:t>
      </w:r>
      <w:proofErr w:type="gramStart"/>
      <w:r w:rsidR="00405DFE" w:rsidRPr="00405DFE">
        <w:rPr>
          <w:rFonts w:eastAsia="Calibri"/>
          <w:bCs/>
          <w:i/>
        </w:rPr>
        <w:t>Salts[</w:t>
      </w:r>
      <w:proofErr w:type="gramEnd"/>
      <w:r w:rsidR="00405DFE" w:rsidRPr="00405DFE">
        <w:rPr>
          <w:rFonts w:eastAsia="Calibri"/>
          <w:bCs/>
          <w:i/>
        </w:rPr>
        <w:t>,] in Japan</w:t>
      </w:r>
      <w:r>
        <w:rPr>
          <w:rFonts w:eastAsia="Calibri"/>
          <w:bCs/>
        </w:rPr>
        <w:t>.</w:t>
      </w:r>
      <w:r>
        <w:rPr>
          <w:rFonts w:eastAsia="MS Mincho"/>
          <w:bCs/>
          <w:lang w:eastAsia="ja-JP"/>
        </w:rPr>
        <w:t xml:space="preserve"> Available at</w:t>
      </w:r>
      <w:r w:rsidR="00F073E9">
        <w:rPr>
          <w:rFonts w:eastAsia="MS Mincho"/>
          <w:bCs/>
          <w:lang w:eastAsia="ja-JP"/>
        </w:rPr>
        <w:t>:</w:t>
      </w:r>
      <w:r>
        <w:rPr>
          <w:rFonts w:eastAsia="MS Mincho"/>
          <w:bCs/>
          <w:lang w:eastAsia="ja-JP"/>
        </w:rPr>
        <w:t xml:space="preserve"> </w:t>
      </w:r>
      <w:hyperlink r:id="rId65" w:history="1">
        <w:r w:rsidR="007460E3" w:rsidRPr="007460E3">
          <w:rPr>
            <w:rStyle w:val="Hyperlink"/>
            <w:rFonts w:eastAsia="Calibri"/>
            <w:bCs/>
          </w:rPr>
          <w:t>www.env.go.jp/en/focus/docs/files/201304-89.pdf</w:t>
        </w:r>
      </w:hyperlink>
      <w:r w:rsidR="007460E3">
        <w:rPr>
          <w:rFonts w:eastAsia="Calibri"/>
          <w:bCs/>
        </w:rPr>
        <w:t>.</w:t>
      </w:r>
    </w:p>
    <w:p w:rsidR="0045416D" w:rsidRDefault="00890CDD">
      <w:pPr>
        <w:spacing w:after="120"/>
        <w:ind w:left="1276"/>
      </w:pPr>
      <w:proofErr w:type="spellStart"/>
      <w:r w:rsidRPr="00BB0F24">
        <w:t>Marrone</w:t>
      </w:r>
      <w:proofErr w:type="spellEnd"/>
      <w:r w:rsidR="0045416D">
        <w:t>,</w:t>
      </w:r>
      <w:r w:rsidRPr="00BB0F24">
        <w:t xml:space="preserve"> </w:t>
      </w:r>
      <w:r w:rsidR="0045416D">
        <w:t xml:space="preserve">P.A. and </w:t>
      </w:r>
      <w:r w:rsidRPr="00BB0F24">
        <w:t>Hong</w:t>
      </w:r>
      <w:r w:rsidR="007D6E1B">
        <w:t>,</w:t>
      </w:r>
      <w:r>
        <w:t xml:space="preserve"> </w:t>
      </w:r>
      <w:r w:rsidR="0045416D">
        <w:t xml:space="preserve">J.T., </w:t>
      </w:r>
      <w:r>
        <w:t>2007.</w:t>
      </w:r>
      <w:r w:rsidRPr="00BB0F24">
        <w:t xml:space="preserve"> </w:t>
      </w:r>
      <w:proofErr w:type="gramStart"/>
      <w:r w:rsidR="0045416D">
        <w:t>“</w:t>
      </w:r>
      <w:r w:rsidRPr="00BB0F24">
        <w:t>Supercritic</w:t>
      </w:r>
      <w:r>
        <w:t>al Water</w:t>
      </w:r>
      <w:r w:rsidR="0045416D">
        <w:t xml:space="preserve"> </w:t>
      </w:r>
      <w:r>
        <w:t>Oxidation</w:t>
      </w:r>
      <w:r w:rsidR="0045416D">
        <w:t>”</w:t>
      </w:r>
      <w:r w:rsidRPr="00BB0F24">
        <w:t xml:space="preserve">, </w:t>
      </w:r>
      <w:r w:rsidR="0045416D">
        <w:t xml:space="preserve">in </w:t>
      </w:r>
      <w:r w:rsidR="00405DFE" w:rsidRPr="00405DFE">
        <w:rPr>
          <w:i/>
        </w:rPr>
        <w:t>Environmentally Conscious Materials and Chemicals Processing</w:t>
      </w:r>
      <w:r w:rsidRPr="00BB0F24">
        <w:t>,</w:t>
      </w:r>
      <w:r w:rsidR="002D4A71">
        <w:t xml:space="preserve">” </w:t>
      </w:r>
      <w:r w:rsidR="0045416D">
        <w:t xml:space="preserve">Myer </w:t>
      </w:r>
      <w:proofErr w:type="spellStart"/>
      <w:r w:rsidR="0045416D">
        <w:t>Kutz</w:t>
      </w:r>
      <w:proofErr w:type="spellEnd"/>
      <w:r w:rsidR="0045416D">
        <w:t xml:space="preserve">, ed., </w:t>
      </w:r>
      <w:r w:rsidRPr="00BB0F24">
        <w:t xml:space="preserve">John </w:t>
      </w:r>
      <w:proofErr w:type="spellStart"/>
      <w:r w:rsidRPr="00BB0F24">
        <w:t>Whiley</w:t>
      </w:r>
      <w:proofErr w:type="spellEnd"/>
      <w:r w:rsidRPr="00BB0F24">
        <w:t xml:space="preserve"> &amp; Sons, Inc.</w:t>
      </w:r>
      <w:r w:rsidR="0045416D">
        <w:t>, pp. 385-453.,</w:t>
      </w:r>
      <w:proofErr w:type="gramEnd"/>
      <w:r w:rsidR="0045416D">
        <w:t xml:space="preserve"> </w:t>
      </w:r>
    </w:p>
    <w:p w:rsidR="006C2BF1" w:rsidRPr="00E44BAA" w:rsidRDefault="00605389" w:rsidP="00D921B0">
      <w:pPr>
        <w:spacing w:after="120"/>
        <w:ind w:left="1276"/>
      </w:pPr>
      <w:r w:rsidRPr="00605389">
        <w:rPr>
          <w:lang w:val="fr-CH"/>
        </w:rPr>
        <w:t xml:space="preserve">Mark, F.E. et al, 2015. </w:t>
      </w:r>
      <w:proofErr w:type="gramStart"/>
      <w:r w:rsidR="00E44BAA">
        <w:t>“</w:t>
      </w:r>
      <w:r w:rsidR="006C2BF1" w:rsidRPr="00D921B0">
        <w:t xml:space="preserve">Destruction of the flame retardant </w:t>
      </w:r>
      <w:proofErr w:type="spellStart"/>
      <w:r w:rsidR="006C2BF1" w:rsidRPr="00D921B0">
        <w:t>hexabromocyclododecane</w:t>
      </w:r>
      <w:proofErr w:type="spellEnd"/>
      <w:r w:rsidR="006C2BF1" w:rsidRPr="00D921B0">
        <w:t xml:space="preserve"> in a full-scale municipal solid waste incinerator</w:t>
      </w:r>
      <w:r w:rsidR="00E44BAA">
        <w:t>”,</w:t>
      </w:r>
      <w:r w:rsidR="00405DFE" w:rsidRPr="00405DFE">
        <w:t xml:space="preserve"> </w:t>
      </w:r>
      <w:r w:rsidR="000353CD" w:rsidRPr="00E44BAA">
        <w:rPr>
          <w:i/>
        </w:rPr>
        <w:t>Waste</w:t>
      </w:r>
      <w:r w:rsidR="000353CD" w:rsidRPr="00E44BAA">
        <w:rPr>
          <w:i/>
          <w:iCs/>
        </w:rPr>
        <w:t xml:space="preserve"> </w:t>
      </w:r>
      <w:r w:rsidR="000353CD">
        <w:rPr>
          <w:i/>
          <w:iCs/>
        </w:rPr>
        <w:t>Management &amp; Research</w:t>
      </w:r>
      <w:r w:rsidR="00E44BAA">
        <w:rPr>
          <w:i/>
          <w:iCs/>
        </w:rPr>
        <w:t xml:space="preserve">, </w:t>
      </w:r>
      <w:r w:rsidR="00405DFE" w:rsidRPr="00405DFE">
        <w:rPr>
          <w:iCs/>
        </w:rPr>
        <w:t xml:space="preserve">vol. 33 No. 2, </w:t>
      </w:r>
      <w:r w:rsidR="00E44BAA">
        <w:rPr>
          <w:iCs/>
        </w:rPr>
        <w:t xml:space="preserve">pp. </w:t>
      </w:r>
      <w:r w:rsidR="00405DFE" w:rsidRPr="00405DFE">
        <w:rPr>
          <w:iCs/>
        </w:rPr>
        <w:t>165–174.</w:t>
      </w:r>
      <w:proofErr w:type="gramEnd"/>
    </w:p>
    <w:p w:rsidR="00890CDD" w:rsidRDefault="00605389" w:rsidP="007460E3">
      <w:pPr>
        <w:spacing w:after="120"/>
        <w:ind w:left="1276"/>
      </w:pPr>
      <w:r w:rsidRPr="00605389">
        <w:rPr>
          <w:lang w:val="es-ES"/>
        </w:rPr>
        <w:t xml:space="preserve">Noma Y., </w:t>
      </w:r>
      <w:proofErr w:type="spellStart"/>
      <w:r w:rsidRPr="00605389">
        <w:rPr>
          <w:lang w:val="es-ES"/>
        </w:rPr>
        <w:t>Sakai</w:t>
      </w:r>
      <w:proofErr w:type="spellEnd"/>
      <w:r w:rsidRPr="00605389">
        <w:rPr>
          <w:lang w:val="es-ES"/>
        </w:rPr>
        <w:t xml:space="preserve">. S., </w:t>
      </w:r>
      <w:proofErr w:type="spellStart"/>
      <w:r w:rsidRPr="00605389">
        <w:rPr>
          <w:lang w:val="es-ES"/>
        </w:rPr>
        <w:t>Oono</w:t>
      </w:r>
      <w:proofErr w:type="spellEnd"/>
      <w:r w:rsidRPr="00605389">
        <w:rPr>
          <w:lang w:val="es-ES"/>
        </w:rPr>
        <w:t xml:space="preserve"> M., 2002. </w:t>
      </w:r>
      <w:proofErr w:type="gramStart"/>
      <w:r w:rsidR="00DF749F">
        <w:t>“</w:t>
      </w:r>
      <w:proofErr w:type="spellStart"/>
      <w:r w:rsidR="00405DFE" w:rsidRPr="00405DFE">
        <w:rPr>
          <w:iCs/>
        </w:rPr>
        <w:t>Dechlorination</w:t>
      </w:r>
      <w:proofErr w:type="spellEnd"/>
      <w:r w:rsidR="00405DFE" w:rsidRPr="00405DFE">
        <w:rPr>
          <w:iCs/>
        </w:rPr>
        <w:t xml:space="preserve"> pathways of PCBs by photochemical reaction and catalytic hydro-</w:t>
      </w:r>
      <w:proofErr w:type="spellStart"/>
      <w:r w:rsidR="00405DFE" w:rsidRPr="00405DFE">
        <w:rPr>
          <w:iCs/>
        </w:rPr>
        <w:t>dechlorination</w:t>
      </w:r>
      <w:proofErr w:type="spellEnd"/>
      <w:r w:rsidR="00DF749F">
        <w:t>”,</w:t>
      </w:r>
      <w:r w:rsidR="00890CDD" w:rsidRPr="00D058F7">
        <w:t xml:space="preserve"> </w:t>
      </w:r>
      <w:proofErr w:type="spellStart"/>
      <w:r w:rsidR="00405DFE" w:rsidRPr="00405DFE">
        <w:rPr>
          <w:i/>
        </w:rPr>
        <w:t>Organohalogen</w:t>
      </w:r>
      <w:proofErr w:type="spellEnd"/>
      <w:r w:rsidR="00405DFE" w:rsidRPr="00405DFE">
        <w:rPr>
          <w:i/>
        </w:rPr>
        <w:t xml:space="preserve"> Comp</w:t>
      </w:r>
      <w:r w:rsidR="00DF749F">
        <w:rPr>
          <w:i/>
        </w:rPr>
        <w:t>oun</w:t>
      </w:r>
      <w:r w:rsidR="00405DFE" w:rsidRPr="00405DFE">
        <w:rPr>
          <w:i/>
        </w:rPr>
        <w:t>d</w:t>
      </w:r>
      <w:r w:rsidR="00DF749F">
        <w:rPr>
          <w:i/>
        </w:rPr>
        <w:t>s</w:t>
      </w:r>
      <w:r w:rsidR="00DF749F">
        <w:t>, vol.</w:t>
      </w:r>
      <w:r w:rsidR="00890CDD" w:rsidRPr="00D058F7">
        <w:t xml:space="preserve"> 56, </w:t>
      </w:r>
      <w:r w:rsidR="00DF749F" w:rsidRPr="00D058F7">
        <w:t>p</w:t>
      </w:r>
      <w:r w:rsidR="00DF749F">
        <w:t>p.</w:t>
      </w:r>
      <w:r w:rsidR="00DF749F" w:rsidRPr="00D058F7">
        <w:t xml:space="preserve"> </w:t>
      </w:r>
      <w:r w:rsidR="00890CDD" w:rsidRPr="00D058F7">
        <w:t>413–416.</w:t>
      </w:r>
      <w:proofErr w:type="gramEnd"/>
    </w:p>
    <w:p w:rsidR="00890CDD" w:rsidRDefault="00605389">
      <w:pPr>
        <w:spacing w:after="120"/>
        <w:ind w:left="1247"/>
      </w:pPr>
      <w:r w:rsidRPr="00605389">
        <w:rPr>
          <w:lang w:val="es-ES"/>
        </w:rPr>
        <w:t xml:space="preserve">Noma Y., </w:t>
      </w:r>
      <w:proofErr w:type="spellStart"/>
      <w:r w:rsidRPr="00605389">
        <w:rPr>
          <w:lang w:val="es-ES"/>
        </w:rPr>
        <w:t>Sakai</w:t>
      </w:r>
      <w:proofErr w:type="spellEnd"/>
      <w:r w:rsidRPr="00605389">
        <w:rPr>
          <w:lang w:val="es-ES"/>
        </w:rPr>
        <w:t xml:space="preserve">. S., </w:t>
      </w:r>
      <w:proofErr w:type="spellStart"/>
      <w:r w:rsidRPr="00605389">
        <w:rPr>
          <w:lang w:val="es-ES"/>
        </w:rPr>
        <w:t>Oono</w:t>
      </w:r>
      <w:proofErr w:type="spellEnd"/>
      <w:r w:rsidRPr="00605389">
        <w:rPr>
          <w:lang w:val="es-ES"/>
        </w:rPr>
        <w:t xml:space="preserve"> M., 2003a. </w:t>
      </w:r>
      <w:r w:rsidR="00DF749F">
        <w:t>“</w:t>
      </w:r>
      <w:proofErr w:type="spellStart"/>
      <w:r w:rsidR="00405DFE" w:rsidRPr="00405DFE">
        <w:rPr>
          <w:iCs/>
        </w:rPr>
        <w:t>Dechlorination</w:t>
      </w:r>
      <w:proofErr w:type="spellEnd"/>
      <w:r w:rsidR="00405DFE" w:rsidRPr="00405DFE">
        <w:rPr>
          <w:iCs/>
        </w:rPr>
        <w:t xml:space="preserve"> pathways and kinetics in photochemical reaction and catalytic hydro-</w:t>
      </w:r>
      <w:proofErr w:type="spellStart"/>
      <w:r w:rsidR="00405DFE" w:rsidRPr="00405DFE">
        <w:rPr>
          <w:iCs/>
        </w:rPr>
        <w:t>dechlorination</w:t>
      </w:r>
      <w:proofErr w:type="spellEnd"/>
      <w:r w:rsidR="00DF749F">
        <w:t>”,</w:t>
      </w:r>
      <w:r w:rsidR="00DF749F" w:rsidRPr="00D058F7">
        <w:t xml:space="preserve"> </w:t>
      </w:r>
      <w:proofErr w:type="spellStart"/>
      <w:r w:rsidR="00405DFE" w:rsidRPr="00405DFE">
        <w:rPr>
          <w:i/>
        </w:rPr>
        <w:t>Organohalogen</w:t>
      </w:r>
      <w:proofErr w:type="spellEnd"/>
      <w:r w:rsidR="00405DFE" w:rsidRPr="00405DFE">
        <w:rPr>
          <w:i/>
        </w:rPr>
        <w:t xml:space="preserve"> Comp</w:t>
      </w:r>
      <w:r w:rsidR="00DF749F">
        <w:rPr>
          <w:i/>
        </w:rPr>
        <w:t>oun</w:t>
      </w:r>
      <w:r w:rsidR="00405DFE" w:rsidRPr="00405DFE">
        <w:rPr>
          <w:i/>
        </w:rPr>
        <w:t>d</w:t>
      </w:r>
      <w:r w:rsidR="00DF749F">
        <w:rPr>
          <w:i/>
        </w:rPr>
        <w:t>s</w:t>
      </w:r>
      <w:r w:rsidR="00DF749F">
        <w:t>,</w:t>
      </w:r>
      <w:r w:rsidR="00405DFE" w:rsidRPr="00405DFE">
        <w:t xml:space="preserve"> vol.</w:t>
      </w:r>
      <w:r w:rsidR="00890CDD" w:rsidRPr="00DF749F">
        <w:t xml:space="preserve"> </w:t>
      </w:r>
      <w:r w:rsidR="00890CDD" w:rsidRPr="00D058F7">
        <w:t xml:space="preserve">63, </w:t>
      </w:r>
      <w:r w:rsidR="00DF749F">
        <w:t xml:space="preserve">pp. </w:t>
      </w:r>
      <w:proofErr w:type="gramStart"/>
      <w:r w:rsidR="00890CDD" w:rsidRPr="00D058F7">
        <w:t>276–279.</w:t>
      </w:r>
      <w:proofErr w:type="gramEnd"/>
    </w:p>
    <w:p w:rsidR="00890CDD" w:rsidRDefault="00605389">
      <w:pPr>
        <w:spacing w:after="120"/>
        <w:ind w:left="1247"/>
      </w:pPr>
      <w:r w:rsidRPr="00605389">
        <w:rPr>
          <w:lang w:val="es-ES"/>
        </w:rPr>
        <w:t xml:space="preserve">Noma Y., </w:t>
      </w:r>
      <w:proofErr w:type="spellStart"/>
      <w:r w:rsidRPr="00605389">
        <w:rPr>
          <w:lang w:val="es-ES"/>
        </w:rPr>
        <w:t>Sakai</w:t>
      </w:r>
      <w:proofErr w:type="spellEnd"/>
      <w:r w:rsidRPr="00605389">
        <w:rPr>
          <w:lang w:val="es-ES"/>
        </w:rPr>
        <w:t xml:space="preserve">. S., </w:t>
      </w:r>
      <w:proofErr w:type="spellStart"/>
      <w:r w:rsidRPr="00605389">
        <w:rPr>
          <w:lang w:val="es-ES"/>
        </w:rPr>
        <w:t>Oono</w:t>
      </w:r>
      <w:proofErr w:type="spellEnd"/>
      <w:r w:rsidRPr="00605389">
        <w:rPr>
          <w:lang w:val="es-ES"/>
        </w:rPr>
        <w:t xml:space="preserve"> M., 2003b. </w:t>
      </w:r>
      <w:proofErr w:type="gramStart"/>
      <w:r w:rsidR="0091524B">
        <w:t>“</w:t>
      </w:r>
      <w:r w:rsidR="00405DFE" w:rsidRPr="00405DFE">
        <w:rPr>
          <w:iCs/>
        </w:rPr>
        <w:t xml:space="preserve">Pathways for the degradation of PCBs by palladium-catalyzed </w:t>
      </w:r>
      <w:proofErr w:type="spellStart"/>
      <w:r w:rsidR="00405DFE" w:rsidRPr="00405DFE">
        <w:rPr>
          <w:iCs/>
        </w:rPr>
        <w:t>dechlorination</w:t>
      </w:r>
      <w:proofErr w:type="spellEnd"/>
      <w:r w:rsidR="00405DFE" w:rsidRPr="00405DFE">
        <w:rPr>
          <w:iCs/>
        </w:rPr>
        <w:t>”</w:t>
      </w:r>
      <w:r w:rsidR="0091524B">
        <w:rPr>
          <w:iCs/>
        </w:rPr>
        <w:t>,</w:t>
      </w:r>
      <w:r w:rsidR="00890CDD" w:rsidRPr="00D058F7">
        <w:rPr>
          <w:i/>
          <w:iCs/>
        </w:rPr>
        <w:t xml:space="preserve"> Fresenius Environ</w:t>
      </w:r>
      <w:r w:rsidR="0091524B">
        <w:rPr>
          <w:i/>
          <w:iCs/>
        </w:rPr>
        <w:t>mental</w:t>
      </w:r>
      <w:r w:rsidR="0091524B" w:rsidRPr="00D058F7">
        <w:rPr>
          <w:i/>
          <w:iCs/>
        </w:rPr>
        <w:t xml:space="preserve"> </w:t>
      </w:r>
      <w:r w:rsidR="00890CDD" w:rsidRPr="00D058F7">
        <w:rPr>
          <w:i/>
          <w:iCs/>
        </w:rPr>
        <w:t>Bull</w:t>
      </w:r>
      <w:r w:rsidR="0091524B">
        <w:rPr>
          <w:i/>
          <w:iCs/>
        </w:rPr>
        <w:t>etin</w:t>
      </w:r>
      <w:r w:rsidR="00890CDD" w:rsidRPr="00D058F7">
        <w:rPr>
          <w:i/>
          <w:iCs/>
        </w:rPr>
        <w:t xml:space="preserve">, </w:t>
      </w:r>
      <w:r w:rsidR="0091524B">
        <w:rPr>
          <w:iCs/>
        </w:rPr>
        <w:t xml:space="preserve">vol. </w:t>
      </w:r>
      <w:r w:rsidR="00890CDD" w:rsidRPr="00D058F7">
        <w:t>12</w:t>
      </w:r>
      <w:r w:rsidR="0091524B">
        <w:t xml:space="preserve"> No.</w:t>
      </w:r>
      <w:r w:rsidR="0091524B" w:rsidRPr="00D058F7">
        <w:t xml:space="preserve"> </w:t>
      </w:r>
      <w:r w:rsidR="00890CDD" w:rsidRPr="00D058F7">
        <w:t xml:space="preserve">3, </w:t>
      </w:r>
      <w:r w:rsidR="0091524B" w:rsidRPr="00D058F7">
        <w:t>p</w:t>
      </w:r>
      <w:r w:rsidR="0091524B">
        <w:t>p.</w:t>
      </w:r>
      <w:r w:rsidR="0091524B" w:rsidRPr="00D058F7">
        <w:t xml:space="preserve"> </w:t>
      </w:r>
      <w:r w:rsidR="00890CDD" w:rsidRPr="00D058F7">
        <w:t>302–308.</w:t>
      </w:r>
      <w:proofErr w:type="gramEnd"/>
    </w:p>
    <w:p w:rsidR="002D2C2A" w:rsidRPr="007657AF" w:rsidRDefault="00B014A6" w:rsidP="002D2C2A">
      <w:pPr>
        <w:spacing w:before="120" w:after="120"/>
        <w:ind w:left="1247"/>
      </w:pPr>
      <w:proofErr w:type="gramStart"/>
      <w:r w:rsidRPr="007657AF">
        <w:t xml:space="preserve">Nordic </w:t>
      </w:r>
      <w:r w:rsidR="002D2C2A" w:rsidRPr="007657AF">
        <w:t>Council of Ministers, 2005.</w:t>
      </w:r>
      <w:proofErr w:type="gramEnd"/>
      <w:r w:rsidR="002D2C2A" w:rsidRPr="007657AF">
        <w:t xml:space="preserve"> </w:t>
      </w:r>
      <w:r w:rsidR="002D2C2A" w:rsidRPr="007657AF">
        <w:rPr>
          <w:rStyle w:val="Emphasis"/>
        </w:rPr>
        <w:t xml:space="preserve">Emission Measurements </w:t>
      </w:r>
      <w:proofErr w:type="gramStart"/>
      <w:r w:rsidR="002D2C2A" w:rsidRPr="007657AF">
        <w:rPr>
          <w:rStyle w:val="Emphasis"/>
        </w:rPr>
        <w:t>During</w:t>
      </w:r>
      <w:proofErr w:type="gramEnd"/>
      <w:r w:rsidR="002D2C2A" w:rsidRPr="007657AF">
        <w:rPr>
          <w:rStyle w:val="Emphasis"/>
        </w:rPr>
        <w:t xml:space="preserve"> Incineration of Waste Containing Bromine.</w:t>
      </w:r>
      <w:r w:rsidR="002D2C2A" w:rsidRPr="007657AF">
        <w:t xml:space="preserve"> Available </w:t>
      </w:r>
      <w:r w:rsidR="00A00945">
        <w:t>from:</w:t>
      </w:r>
      <w:r w:rsidR="002D2C2A" w:rsidRPr="007657AF">
        <w:t xml:space="preserve"> </w:t>
      </w:r>
      <w:hyperlink r:id="rId66" w:history="1">
        <w:r w:rsidR="002D2C2A" w:rsidRPr="007657AF">
          <w:rPr>
            <w:rStyle w:val="Hyperlink"/>
            <w:color w:val="auto"/>
          </w:rPr>
          <w:t>http://www.norden.org/en/publications/order</w:t>
        </w:r>
      </w:hyperlink>
      <w:r w:rsidR="0091524B">
        <w:t>.</w:t>
      </w:r>
    </w:p>
    <w:p w:rsidR="001B11D0" w:rsidRDefault="00890CDD" w:rsidP="001B11D0">
      <w:pPr>
        <w:spacing w:after="120"/>
        <w:ind w:left="1247"/>
      </w:pPr>
      <w:proofErr w:type="gramStart"/>
      <w:r w:rsidRPr="00D058F7">
        <w:t xml:space="preserve">OECD, </w:t>
      </w:r>
      <w:r w:rsidR="0091524B">
        <w:t>multiple</w:t>
      </w:r>
      <w:r w:rsidR="0091524B" w:rsidRPr="00D058F7">
        <w:t xml:space="preserve"> </w:t>
      </w:r>
      <w:r w:rsidRPr="00D058F7">
        <w:t>years.</w:t>
      </w:r>
      <w:proofErr w:type="gramEnd"/>
      <w:r w:rsidRPr="00D058F7">
        <w:t xml:space="preserve"> </w:t>
      </w:r>
      <w:proofErr w:type="gramStart"/>
      <w:r w:rsidR="00405DFE" w:rsidRPr="00405DFE">
        <w:rPr>
          <w:i/>
        </w:rPr>
        <w:t xml:space="preserve">OECD Series on Principles of Good Laboratory Practice and Compliance Monitoring </w:t>
      </w:r>
      <w:r w:rsidRPr="006A038A">
        <w:t>(</w:t>
      </w:r>
      <w:r w:rsidR="00A5795A">
        <w:t>multiple</w:t>
      </w:r>
      <w:r w:rsidR="00A5795A" w:rsidRPr="006A038A">
        <w:t xml:space="preserve"> </w:t>
      </w:r>
      <w:r w:rsidR="00A5795A">
        <w:t>vol</w:t>
      </w:r>
      <w:r w:rsidRPr="006A038A">
        <w:t>umes</w:t>
      </w:r>
      <w:r w:rsidR="0090016A" w:rsidRPr="006A038A">
        <w:t>)</w:t>
      </w:r>
      <w:r w:rsidR="001B11D0">
        <w:t>.</w:t>
      </w:r>
      <w:proofErr w:type="gramEnd"/>
      <w:r w:rsidR="001B11D0">
        <w:t xml:space="preserve"> Available from: </w:t>
      </w:r>
      <w:hyperlink r:id="rId67" w:history="1">
        <w:r w:rsidR="001B11D0" w:rsidRPr="00773B7D">
          <w:rPr>
            <w:rStyle w:val="Hyperlink"/>
          </w:rPr>
          <w:t>www.oecd.org</w:t>
        </w:r>
      </w:hyperlink>
      <w:r w:rsidR="001B11D0" w:rsidRPr="00773B7D">
        <w:t>.</w:t>
      </w:r>
    </w:p>
    <w:p w:rsidR="000E79E2" w:rsidRDefault="0090016A">
      <w:pPr>
        <w:spacing w:after="120"/>
        <w:ind w:left="1247"/>
      </w:pPr>
      <w:proofErr w:type="gramStart"/>
      <w:r>
        <w:t>OECD, 1997.</w:t>
      </w:r>
      <w:proofErr w:type="gramEnd"/>
      <w:r>
        <w:t xml:space="preserve"> </w:t>
      </w:r>
      <w:proofErr w:type="gramStart"/>
      <w:r w:rsidR="00405DFE" w:rsidRPr="00405DFE">
        <w:rPr>
          <w:i/>
        </w:rPr>
        <w:t xml:space="preserve">Principles on Good Laboratory Practice </w:t>
      </w:r>
      <w:r w:rsidR="00890CDD" w:rsidRPr="006A038A">
        <w:t xml:space="preserve">(as revised </w:t>
      </w:r>
      <w:r>
        <w:t xml:space="preserve">in </w:t>
      </w:r>
      <w:r w:rsidR="00890CDD" w:rsidRPr="006A038A">
        <w:t>1997).</w:t>
      </w:r>
      <w:proofErr w:type="gramEnd"/>
      <w:r w:rsidR="00890CDD" w:rsidRPr="006A038A">
        <w:t xml:space="preserve"> Available </w:t>
      </w:r>
      <w:r w:rsidR="00A00945">
        <w:t>from:</w:t>
      </w:r>
      <w:r w:rsidR="00A00945" w:rsidRPr="006A038A">
        <w:t xml:space="preserve"> </w:t>
      </w:r>
      <w:r w:rsidR="00890CDD" w:rsidRPr="006A038A">
        <w:t>www.oecd.org/.</w:t>
      </w:r>
    </w:p>
    <w:p w:rsidR="00890CDD" w:rsidRDefault="00890CDD">
      <w:pPr>
        <w:spacing w:after="120"/>
        <w:ind w:left="1247"/>
      </w:pPr>
      <w:proofErr w:type="gramStart"/>
      <w:r w:rsidRPr="00773B7D">
        <w:t>OECD, 2003.</w:t>
      </w:r>
      <w:proofErr w:type="gramEnd"/>
      <w:r w:rsidRPr="00773B7D">
        <w:t xml:space="preserve"> </w:t>
      </w:r>
      <w:proofErr w:type="gramStart"/>
      <w:r w:rsidRPr="00773B7D">
        <w:rPr>
          <w:i/>
        </w:rPr>
        <w:t xml:space="preserve">Guiding Principles for Chemical Accident Prevention, Preparedness and Response, </w:t>
      </w:r>
      <w:r w:rsidR="001B11D0">
        <w:rPr>
          <w:i/>
        </w:rPr>
        <w:t>s</w:t>
      </w:r>
      <w:r w:rsidRPr="00773B7D">
        <w:rPr>
          <w:i/>
        </w:rPr>
        <w:t xml:space="preserve">econd </w:t>
      </w:r>
      <w:r w:rsidR="001B11D0">
        <w:rPr>
          <w:i/>
        </w:rPr>
        <w:t>e</w:t>
      </w:r>
      <w:r w:rsidRPr="00773B7D">
        <w:rPr>
          <w:i/>
        </w:rPr>
        <w:t>dition</w:t>
      </w:r>
      <w:r w:rsidRPr="00773B7D">
        <w:t>.</w:t>
      </w:r>
      <w:proofErr w:type="gramEnd"/>
      <w:r w:rsidRPr="00773B7D">
        <w:t xml:space="preserve"> Available </w:t>
      </w:r>
      <w:r w:rsidR="009721DB">
        <w:t>from</w:t>
      </w:r>
      <w:r w:rsidR="00A00945">
        <w:t>:</w:t>
      </w:r>
      <w:r w:rsidR="009721DB">
        <w:t xml:space="preserve"> </w:t>
      </w:r>
      <w:hyperlink r:id="rId68" w:history="1">
        <w:r w:rsidRPr="00773B7D">
          <w:rPr>
            <w:rStyle w:val="Hyperlink"/>
          </w:rPr>
          <w:t>www.oecd.org</w:t>
        </w:r>
      </w:hyperlink>
      <w:r w:rsidRPr="00773B7D">
        <w:t>.</w:t>
      </w:r>
    </w:p>
    <w:p w:rsidR="00890CDD" w:rsidRDefault="00890CDD">
      <w:pPr>
        <w:spacing w:after="120"/>
        <w:ind w:left="1247"/>
      </w:pPr>
      <w:proofErr w:type="gramStart"/>
      <w:r w:rsidRPr="00773B7D">
        <w:t>OECD, 2004.</w:t>
      </w:r>
      <w:proofErr w:type="gramEnd"/>
      <w:r w:rsidRPr="00773B7D">
        <w:t xml:space="preserve"> </w:t>
      </w:r>
      <w:r w:rsidR="00405DFE" w:rsidRPr="00405DFE">
        <w:rPr>
          <w:i/>
        </w:rPr>
        <w:t xml:space="preserve">Recommendation of the Council on the Environmentally Sound Management (ESM) of Waste </w:t>
      </w:r>
      <w:proofErr w:type="gramStart"/>
      <w:r w:rsidR="00405DFE" w:rsidRPr="00405DFE">
        <w:rPr>
          <w:i/>
        </w:rPr>
        <w:t>C(</w:t>
      </w:r>
      <w:proofErr w:type="gramEnd"/>
      <w:r w:rsidR="00405DFE" w:rsidRPr="00405DFE">
        <w:rPr>
          <w:i/>
        </w:rPr>
        <w:t>2004)100</w:t>
      </w:r>
      <w:r w:rsidRPr="00773B7D">
        <w:t xml:space="preserve">. </w:t>
      </w:r>
      <w:proofErr w:type="gramStart"/>
      <w:r w:rsidRPr="00773B7D">
        <w:t xml:space="preserve">Adopted </w:t>
      </w:r>
      <w:r w:rsidR="001B11D0">
        <w:t xml:space="preserve">9 </w:t>
      </w:r>
      <w:r w:rsidRPr="00773B7D">
        <w:t>June 2004.</w:t>
      </w:r>
      <w:proofErr w:type="gramEnd"/>
      <w:r w:rsidRPr="00773B7D">
        <w:t xml:space="preserve"> Available </w:t>
      </w:r>
      <w:r w:rsidR="009721DB">
        <w:t>from</w:t>
      </w:r>
      <w:r w:rsidR="00A00945">
        <w:t>:</w:t>
      </w:r>
      <w:r w:rsidR="009721DB">
        <w:t xml:space="preserve"> </w:t>
      </w:r>
      <w:hyperlink r:id="rId69" w:history="1">
        <w:r w:rsidRPr="00773B7D">
          <w:rPr>
            <w:rStyle w:val="Hyperlink"/>
          </w:rPr>
          <w:t>www.oecd.org</w:t>
        </w:r>
      </w:hyperlink>
      <w:r w:rsidRPr="00773B7D">
        <w:t>.</w:t>
      </w:r>
    </w:p>
    <w:p w:rsidR="00890CDD" w:rsidRDefault="00890CDD">
      <w:pPr>
        <w:spacing w:after="120"/>
        <w:ind w:left="1247"/>
      </w:pPr>
      <w:proofErr w:type="spellStart"/>
      <w:r w:rsidRPr="00773B7D">
        <w:t>Piersol</w:t>
      </w:r>
      <w:proofErr w:type="spellEnd"/>
      <w:r w:rsidRPr="00773B7D">
        <w:t xml:space="preserve">, P. 1989. </w:t>
      </w:r>
      <w:proofErr w:type="gramStart"/>
      <w:r w:rsidRPr="00773B7D">
        <w:rPr>
          <w:i/>
        </w:rPr>
        <w:t>The Evaluation of Mobile and Stationary Facilities for the Destruction of PCBs</w:t>
      </w:r>
      <w:r w:rsidRPr="00773B7D">
        <w:t>. Environment Canada Report EPS 3/HA/5, May 1989.</w:t>
      </w:r>
      <w:proofErr w:type="gramEnd"/>
    </w:p>
    <w:p w:rsidR="00890CDD" w:rsidRDefault="00093BCE">
      <w:pPr>
        <w:spacing w:after="120"/>
        <w:ind w:left="1247"/>
      </w:pPr>
      <w:proofErr w:type="spellStart"/>
      <w:r w:rsidRPr="00B82233">
        <w:rPr>
          <w:lang w:val="fr-CH"/>
        </w:rPr>
        <w:t>Rahuman</w:t>
      </w:r>
      <w:proofErr w:type="spellEnd"/>
      <w:r w:rsidRPr="00B82233">
        <w:rPr>
          <w:lang w:val="fr-CH"/>
        </w:rPr>
        <w:t xml:space="preserve">, M.S.M. et al, 2000. </w:t>
      </w:r>
      <w:proofErr w:type="gramStart"/>
      <w:r w:rsidR="00586335">
        <w:t>“</w:t>
      </w:r>
      <w:r w:rsidR="00890CDD" w:rsidRPr="00773B7D">
        <w:t>Destruction Technologies for Polychlorinated Biphenyls (PCBs)</w:t>
      </w:r>
      <w:r w:rsidR="00586335">
        <w:t>”</w:t>
      </w:r>
      <w:r w:rsidR="00B06012">
        <w:t>,</w:t>
      </w:r>
      <w:r w:rsidR="005A6177">
        <w:t xml:space="preserve"> ICS-UNIDO.</w:t>
      </w:r>
      <w:proofErr w:type="gramEnd"/>
      <w:r w:rsidR="005A6177">
        <w:t xml:space="preserve"> </w:t>
      </w:r>
      <w:r w:rsidR="00890CDD" w:rsidRPr="00773B7D">
        <w:t xml:space="preserve">Available </w:t>
      </w:r>
      <w:r w:rsidR="009721DB">
        <w:t>from</w:t>
      </w:r>
      <w:r w:rsidR="00A00945">
        <w:t>:</w:t>
      </w:r>
      <w:r w:rsidR="009721DB">
        <w:t xml:space="preserve"> </w:t>
      </w:r>
      <w:r w:rsidR="00CD1CB4" w:rsidRPr="00CD1CB4">
        <w:t>https://clu-in.org/download/remed/destruct_tech.pdf</w:t>
      </w:r>
    </w:p>
    <w:p w:rsidR="00890CDD" w:rsidRDefault="00890CDD">
      <w:pPr>
        <w:spacing w:after="120"/>
        <w:ind w:left="1247"/>
      </w:pPr>
      <w:r w:rsidRPr="00773B7D">
        <w:t>Ray, I</w:t>
      </w:r>
      <w:r w:rsidR="00B8589B">
        <w:t>an</w:t>
      </w:r>
      <w:r w:rsidR="00B8589B" w:rsidRPr="00773B7D">
        <w:t xml:space="preserve"> </w:t>
      </w:r>
      <w:r w:rsidRPr="00773B7D">
        <w:t xml:space="preserve">D., 2001. </w:t>
      </w:r>
      <w:proofErr w:type="gramStart"/>
      <w:r w:rsidR="00EB0959">
        <w:t>“</w:t>
      </w:r>
      <w:r w:rsidRPr="00773B7D">
        <w:t>Management of chlorinated wastes in Australia</w:t>
      </w:r>
      <w:r w:rsidR="00EB0959">
        <w:t>”,</w:t>
      </w:r>
      <w:r w:rsidR="00EB0959" w:rsidRPr="00773B7D">
        <w:t xml:space="preserve"> </w:t>
      </w:r>
      <w:r w:rsidRPr="00773B7D">
        <w:rPr>
          <w:i/>
        </w:rPr>
        <w:t>6</w:t>
      </w:r>
      <w:r w:rsidRPr="00773B7D">
        <w:rPr>
          <w:i/>
          <w:vertAlign w:val="superscript"/>
        </w:rPr>
        <w:t>th</w:t>
      </w:r>
      <w:r w:rsidRPr="00773B7D">
        <w:rPr>
          <w:i/>
        </w:rPr>
        <w:t xml:space="preserve"> International HCH &amp; Pesticides Forum Book</w:t>
      </w:r>
      <w:r w:rsidRPr="00773B7D">
        <w:t xml:space="preserve">, </w:t>
      </w:r>
      <w:r w:rsidR="00B90410">
        <w:t xml:space="preserve">pp. </w:t>
      </w:r>
      <w:r w:rsidR="00B8589B">
        <w:t>523-526</w:t>
      </w:r>
      <w:r w:rsidRPr="00773B7D">
        <w:t>.</w:t>
      </w:r>
      <w:proofErr w:type="gramEnd"/>
      <w:r w:rsidR="0044085E">
        <w:t xml:space="preserve"> Available from: </w:t>
      </w:r>
      <w:r w:rsidR="00F63726" w:rsidRPr="00F63726">
        <w:t>http://www.hchforum.com/6th/forum_book/</w:t>
      </w:r>
      <w:r w:rsidR="00F63726">
        <w:t>.</w:t>
      </w:r>
    </w:p>
    <w:p w:rsidR="00890CDD" w:rsidRDefault="00890CDD">
      <w:pPr>
        <w:spacing w:after="120"/>
        <w:ind w:left="1247"/>
        <w:rPr>
          <w:lang w:val="en-US"/>
        </w:rPr>
      </w:pPr>
      <w:r w:rsidRPr="00773B7D">
        <w:t>Sakai S., Peter. A. B.</w:t>
      </w:r>
      <w:r w:rsidR="00EE453C">
        <w:t xml:space="preserve"> and</w:t>
      </w:r>
      <w:r w:rsidRPr="00773B7D">
        <w:t xml:space="preserve"> </w:t>
      </w:r>
      <w:proofErr w:type="spellStart"/>
      <w:r w:rsidRPr="00773B7D">
        <w:t>Oono</w:t>
      </w:r>
      <w:proofErr w:type="spellEnd"/>
      <w:r w:rsidRPr="00773B7D">
        <w:t xml:space="preserve"> M.</w:t>
      </w:r>
      <w:r w:rsidR="00EE453C">
        <w:t>,</w:t>
      </w:r>
      <w:r w:rsidRPr="00773B7D">
        <w:t xml:space="preserve"> 2001. </w:t>
      </w:r>
      <w:proofErr w:type="gramStart"/>
      <w:r w:rsidR="00EE453C">
        <w:t>“</w:t>
      </w:r>
      <w:r w:rsidR="00405DFE" w:rsidRPr="00405DFE">
        <w:rPr>
          <w:iCs/>
        </w:rPr>
        <w:t xml:space="preserve">PCB destruction by catalytic </w:t>
      </w:r>
      <w:proofErr w:type="spellStart"/>
      <w:r w:rsidR="00405DFE" w:rsidRPr="00405DFE">
        <w:rPr>
          <w:iCs/>
        </w:rPr>
        <w:t>hydrodechlorination</w:t>
      </w:r>
      <w:proofErr w:type="spellEnd"/>
      <w:r w:rsidR="00405DFE" w:rsidRPr="00405DFE">
        <w:rPr>
          <w:iCs/>
        </w:rPr>
        <w:t xml:space="preserve"> (CHD) and t</w:t>
      </w:r>
      <w:r w:rsidR="00405DFE" w:rsidRPr="00405DFE">
        <w:rPr>
          <w:iCs/>
        </w:rPr>
        <w:noBreakHyphen/>
      </w:r>
      <w:proofErr w:type="spellStart"/>
      <w:r w:rsidR="00405DFE" w:rsidRPr="00405DFE">
        <w:rPr>
          <w:iCs/>
        </w:rPr>
        <w:t>BuOK</w:t>
      </w:r>
      <w:proofErr w:type="spellEnd"/>
      <w:r w:rsidR="00405DFE" w:rsidRPr="00405DFE">
        <w:rPr>
          <w:iCs/>
        </w:rPr>
        <w:t xml:space="preserve"> method: Combinatorial bio/chemical analysis</w:t>
      </w:r>
      <w:r w:rsidR="00EE453C">
        <w:t>”,</w:t>
      </w:r>
      <w:r w:rsidR="00EE453C" w:rsidRPr="00773B7D">
        <w:t xml:space="preserve"> </w:t>
      </w:r>
      <w:proofErr w:type="spellStart"/>
      <w:r w:rsidR="00405DFE" w:rsidRPr="00405DFE">
        <w:rPr>
          <w:i/>
          <w:lang w:val="en-US"/>
        </w:rPr>
        <w:t>Organohalogen</w:t>
      </w:r>
      <w:proofErr w:type="spellEnd"/>
      <w:r w:rsidR="00405DFE" w:rsidRPr="00405DFE">
        <w:rPr>
          <w:i/>
          <w:lang w:val="en-US"/>
        </w:rPr>
        <w:t xml:space="preserve"> Compounds</w:t>
      </w:r>
      <w:r w:rsidR="00EE453C">
        <w:rPr>
          <w:lang w:val="en-US"/>
        </w:rPr>
        <w:t>, vol.</w:t>
      </w:r>
      <w:proofErr w:type="gramEnd"/>
      <w:r w:rsidR="00EE453C">
        <w:rPr>
          <w:lang w:val="en-US"/>
        </w:rPr>
        <w:t xml:space="preserve"> </w:t>
      </w:r>
      <w:r w:rsidRPr="005E5BFF">
        <w:rPr>
          <w:lang w:val="en-US"/>
        </w:rPr>
        <w:t xml:space="preserve"> 54, </w:t>
      </w:r>
      <w:r w:rsidR="009721DB" w:rsidRPr="005E5BFF">
        <w:rPr>
          <w:lang w:val="en-US"/>
        </w:rPr>
        <w:t>p</w:t>
      </w:r>
      <w:r w:rsidR="009721DB">
        <w:rPr>
          <w:lang w:val="en-US"/>
        </w:rPr>
        <w:t>p.</w:t>
      </w:r>
      <w:r w:rsidR="009721DB" w:rsidRPr="005E5BFF">
        <w:rPr>
          <w:lang w:val="en-US"/>
        </w:rPr>
        <w:t xml:space="preserve"> </w:t>
      </w:r>
      <w:r w:rsidRPr="005E5BFF">
        <w:rPr>
          <w:lang w:val="en-US"/>
        </w:rPr>
        <w:t>293–296.</w:t>
      </w:r>
      <w:r w:rsidR="00D67131">
        <w:rPr>
          <w:lang w:val="en-US"/>
        </w:rPr>
        <w:t xml:space="preserve"> </w:t>
      </w:r>
    </w:p>
    <w:p w:rsidR="00890CDD" w:rsidRDefault="00890CDD">
      <w:pPr>
        <w:spacing w:after="120"/>
        <w:ind w:left="1247"/>
      </w:pPr>
      <w:proofErr w:type="gramStart"/>
      <w:r w:rsidRPr="00773B7D">
        <w:t>STAP</w:t>
      </w:r>
      <w:r w:rsidR="007D6E1B">
        <w:t xml:space="preserve"> (</w:t>
      </w:r>
      <w:r w:rsidRPr="00773B7D">
        <w:t>Scientific and Technical Advisory Panel of the Global Environment Facility</w:t>
      </w:r>
      <w:r w:rsidR="006F170C" w:rsidRPr="00773B7D">
        <w:t>)</w:t>
      </w:r>
      <w:r w:rsidR="006F170C">
        <w:t>,</w:t>
      </w:r>
      <w:r w:rsidR="006F170C" w:rsidRPr="00773B7D">
        <w:t xml:space="preserve"> </w:t>
      </w:r>
      <w:r w:rsidRPr="00773B7D">
        <w:t>2011.</w:t>
      </w:r>
      <w:proofErr w:type="gramEnd"/>
      <w:r w:rsidRPr="00773B7D">
        <w:t xml:space="preserve"> </w:t>
      </w:r>
      <w:r w:rsidR="00405DFE" w:rsidRPr="00405DFE">
        <w:rPr>
          <w:i/>
        </w:rPr>
        <w:t xml:space="preserve">Selection of Persistent Organic Pollutant Disposal Technology for the Global Environment Facility: A STAP Advisory Document. </w:t>
      </w:r>
      <w:proofErr w:type="gramStart"/>
      <w:r w:rsidRPr="00987B0E">
        <w:t>Global Environment Facility, Washington, D</w:t>
      </w:r>
      <w:r w:rsidR="00987B0E">
        <w:t>.</w:t>
      </w:r>
      <w:r w:rsidRPr="00987B0E">
        <w:t>C.</w:t>
      </w:r>
      <w:proofErr w:type="gramEnd"/>
    </w:p>
    <w:p w:rsidR="001A1011" w:rsidRDefault="00890CDD" w:rsidP="001A1011">
      <w:pPr>
        <w:spacing w:after="120"/>
        <w:ind w:left="1247"/>
      </w:pPr>
      <w:proofErr w:type="spellStart"/>
      <w:proofErr w:type="gramStart"/>
      <w:r w:rsidRPr="00773B7D">
        <w:t>Stobiecki</w:t>
      </w:r>
      <w:proofErr w:type="spellEnd"/>
      <w:r w:rsidRPr="00773B7D">
        <w:t>, S</w:t>
      </w:r>
      <w:r w:rsidR="00987B0E" w:rsidRPr="00773B7D">
        <w:t>.</w:t>
      </w:r>
      <w:r w:rsidR="00987B0E">
        <w:t xml:space="preserve"> et al, 2001</w:t>
      </w:r>
      <w:r w:rsidRPr="00773B7D">
        <w:t>.</w:t>
      </w:r>
      <w:proofErr w:type="gramEnd"/>
      <w:r w:rsidRPr="00773B7D">
        <w:t xml:space="preserve"> Disposal of pesticides as an alternative fuel in cement kiln: project outline. </w:t>
      </w:r>
      <w:r w:rsidRPr="00773B7D">
        <w:rPr>
          <w:i/>
        </w:rPr>
        <w:t>6</w:t>
      </w:r>
      <w:r w:rsidRPr="00773B7D">
        <w:rPr>
          <w:i/>
          <w:vertAlign w:val="superscript"/>
        </w:rPr>
        <w:t>th</w:t>
      </w:r>
      <w:r w:rsidRPr="00773B7D">
        <w:rPr>
          <w:i/>
        </w:rPr>
        <w:t xml:space="preserve"> International HCH &amp; Pesticides Forum Book</w:t>
      </w:r>
      <w:r w:rsidR="00987B0E">
        <w:t>,</w:t>
      </w:r>
      <w:r w:rsidR="00987B0E" w:rsidRPr="00773B7D">
        <w:t xml:space="preserve"> </w:t>
      </w:r>
      <w:r w:rsidR="00987B0E">
        <w:t>pp. 285-289</w:t>
      </w:r>
      <w:r w:rsidR="00987B0E" w:rsidRPr="00D058F7">
        <w:t>.</w:t>
      </w:r>
      <w:r w:rsidR="00987B0E">
        <w:t xml:space="preserve"> Available from: </w:t>
      </w:r>
      <w:hyperlink r:id="rId70" w:history="1">
        <w:r w:rsidR="00987B0E" w:rsidRPr="00801DD9">
          <w:rPr>
            <w:rStyle w:val="Hyperlink"/>
          </w:rPr>
          <w:t>http://www.hchforum.com/6th/forum_book/</w:t>
        </w:r>
      </w:hyperlink>
      <w:r w:rsidR="00987B0E">
        <w:t>.</w:t>
      </w:r>
      <w:r w:rsidRPr="00773B7D">
        <w:t xml:space="preserve"> </w:t>
      </w:r>
    </w:p>
    <w:p w:rsidR="00890CDD" w:rsidRDefault="00605389">
      <w:pPr>
        <w:spacing w:after="120"/>
        <w:ind w:left="1247"/>
      </w:pPr>
      <w:proofErr w:type="spellStart"/>
      <w:proofErr w:type="gramStart"/>
      <w:r w:rsidRPr="00605389">
        <w:rPr>
          <w:lang w:val="en-US"/>
        </w:rPr>
        <w:t>Tagashira</w:t>
      </w:r>
      <w:proofErr w:type="spellEnd"/>
      <w:r w:rsidRPr="00605389">
        <w:rPr>
          <w:lang w:val="en-US"/>
        </w:rPr>
        <w:t>, S. et al, 2006.</w:t>
      </w:r>
      <w:proofErr w:type="gramEnd"/>
      <w:r w:rsidRPr="00605389">
        <w:rPr>
          <w:lang w:val="en-US"/>
        </w:rPr>
        <w:t xml:space="preserve"> “</w:t>
      </w:r>
      <w:r w:rsidR="00405DFE" w:rsidRPr="00405DFE">
        <w:t>Plasma Melting Technology of PCB-contaminated Wastes”</w:t>
      </w:r>
      <w:r w:rsidR="007045DA">
        <w:t>,</w:t>
      </w:r>
      <w:r w:rsidR="007045DA" w:rsidRPr="00773B7D">
        <w:t xml:space="preserve"> </w:t>
      </w:r>
      <w:r w:rsidR="00890CDD" w:rsidRPr="00773B7D">
        <w:t>Proceedings of the 4</w:t>
      </w:r>
      <w:r w:rsidR="00890CDD" w:rsidRPr="00773B7D">
        <w:rPr>
          <w:vertAlign w:val="superscript"/>
        </w:rPr>
        <w:t>th</w:t>
      </w:r>
      <w:r w:rsidR="00890CDD" w:rsidRPr="00773B7D">
        <w:t xml:space="preserve"> International Conference on Combustion Incineration/</w:t>
      </w:r>
      <w:proofErr w:type="spellStart"/>
      <w:r w:rsidR="00890CDD" w:rsidRPr="00773B7D">
        <w:t>Pyrolysis</w:t>
      </w:r>
      <w:proofErr w:type="spellEnd"/>
      <w:r w:rsidR="00890CDD" w:rsidRPr="00773B7D">
        <w:t xml:space="preserve"> and Emission Control, September 26-29, 2006, Kyoto, Japan, </w:t>
      </w:r>
      <w:r w:rsidR="007045DA">
        <w:t xml:space="preserve">pp. </w:t>
      </w:r>
      <w:r w:rsidR="00890CDD" w:rsidRPr="00773B7D">
        <w:t>519-522.</w:t>
      </w:r>
    </w:p>
    <w:p w:rsidR="00890CDD" w:rsidRDefault="00890CDD">
      <w:pPr>
        <w:spacing w:after="120"/>
        <w:ind w:left="1247"/>
      </w:pPr>
      <w:proofErr w:type="spellStart"/>
      <w:r w:rsidRPr="005E5BFF">
        <w:rPr>
          <w:lang w:val="es-ES"/>
        </w:rPr>
        <w:t>Tagashira</w:t>
      </w:r>
      <w:proofErr w:type="spellEnd"/>
      <w:r w:rsidRPr="005E5BFF">
        <w:rPr>
          <w:lang w:val="es-ES"/>
        </w:rPr>
        <w:t xml:space="preserve"> S., </w:t>
      </w:r>
      <w:proofErr w:type="spellStart"/>
      <w:r w:rsidRPr="005E5BFF">
        <w:rPr>
          <w:lang w:val="es-ES"/>
        </w:rPr>
        <w:t>Takahashi</w:t>
      </w:r>
      <w:proofErr w:type="spellEnd"/>
      <w:r w:rsidRPr="005E5BFF">
        <w:rPr>
          <w:lang w:val="es-ES"/>
        </w:rPr>
        <w:t xml:space="preserve"> M., </w:t>
      </w:r>
      <w:proofErr w:type="spellStart"/>
      <w:r w:rsidRPr="005E5BFF">
        <w:rPr>
          <w:lang w:val="es-ES"/>
        </w:rPr>
        <w:t>Shimizu</w:t>
      </w:r>
      <w:proofErr w:type="spellEnd"/>
      <w:r w:rsidRPr="005E5BFF">
        <w:rPr>
          <w:lang w:val="es-ES"/>
        </w:rPr>
        <w:t xml:space="preserve"> Y., Osada M., </w:t>
      </w:r>
      <w:proofErr w:type="spellStart"/>
      <w:r w:rsidRPr="005E5BFF">
        <w:rPr>
          <w:lang w:val="es-ES"/>
        </w:rPr>
        <w:t>Mikata</w:t>
      </w:r>
      <w:proofErr w:type="spellEnd"/>
      <w:r w:rsidRPr="005E5BFF">
        <w:rPr>
          <w:lang w:val="es-ES"/>
        </w:rPr>
        <w:t xml:space="preserve"> N., </w:t>
      </w:r>
      <w:proofErr w:type="spellStart"/>
      <w:r w:rsidRPr="005E5BFF">
        <w:rPr>
          <w:lang w:val="es-ES"/>
        </w:rPr>
        <w:t>Yamazaki</w:t>
      </w:r>
      <w:proofErr w:type="spellEnd"/>
      <w:r w:rsidRPr="005E5BFF">
        <w:rPr>
          <w:lang w:val="es-ES"/>
        </w:rPr>
        <w:t xml:space="preserve"> R.</w:t>
      </w:r>
      <w:r w:rsidR="007D6E1B">
        <w:rPr>
          <w:lang w:val="es-ES"/>
        </w:rPr>
        <w:t>,</w:t>
      </w:r>
      <w:r w:rsidRPr="005E5BFF">
        <w:rPr>
          <w:lang w:val="es-ES"/>
        </w:rPr>
        <w:t xml:space="preserve"> 2007. </w:t>
      </w:r>
      <w:proofErr w:type="gramStart"/>
      <w:r w:rsidR="00605389" w:rsidRPr="00605389">
        <w:rPr>
          <w:lang w:val="en-US"/>
        </w:rPr>
        <w:t>“</w:t>
      </w:r>
      <w:r w:rsidR="00405DFE" w:rsidRPr="00405DFE">
        <w:t>Plasma Melting technology of PCB-contaminated Wastes</w:t>
      </w:r>
      <w:r w:rsidR="007045DA">
        <w:rPr>
          <w:i/>
        </w:rPr>
        <w:t>”,</w:t>
      </w:r>
      <w:r w:rsidR="007045DA" w:rsidRPr="00773B7D">
        <w:rPr>
          <w:i/>
        </w:rPr>
        <w:t xml:space="preserve"> </w:t>
      </w:r>
      <w:proofErr w:type="spellStart"/>
      <w:r w:rsidR="00405DFE" w:rsidRPr="00405DFE">
        <w:rPr>
          <w:i/>
        </w:rPr>
        <w:t>Organohalogen</w:t>
      </w:r>
      <w:proofErr w:type="spellEnd"/>
      <w:r w:rsidR="00405DFE" w:rsidRPr="00405DFE">
        <w:rPr>
          <w:i/>
        </w:rPr>
        <w:t xml:space="preserve"> Compounds</w:t>
      </w:r>
      <w:r w:rsidRPr="00773B7D">
        <w:t xml:space="preserve">, </w:t>
      </w:r>
      <w:r w:rsidR="007045DA">
        <w:t xml:space="preserve">vol. </w:t>
      </w:r>
      <w:r w:rsidRPr="00773B7D">
        <w:t xml:space="preserve">69, </w:t>
      </w:r>
      <w:r w:rsidR="007045DA">
        <w:t xml:space="preserve">pp. </w:t>
      </w:r>
      <w:r w:rsidRPr="00773B7D">
        <w:t>662-665.</w:t>
      </w:r>
      <w:proofErr w:type="gramEnd"/>
    </w:p>
    <w:p w:rsidR="00890CDD" w:rsidRDefault="00890CDD">
      <w:pPr>
        <w:autoSpaceDE w:val="0"/>
        <w:autoSpaceDN w:val="0"/>
        <w:adjustRightInd w:val="0"/>
        <w:spacing w:after="120"/>
        <w:ind w:left="1247"/>
      </w:pPr>
      <w:proofErr w:type="gramStart"/>
      <w:r w:rsidRPr="006A038A">
        <w:t>UNECE, 1998.</w:t>
      </w:r>
      <w:proofErr w:type="gramEnd"/>
      <w:r w:rsidRPr="006A038A">
        <w:t xml:space="preserve"> </w:t>
      </w:r>
      <w:proofErr w:type="gramStart"/>
      <w:r w:rsidR="00405DFE" w:rsidRPr="00405DFE">
        <w:rPr>
          <w:i/>
        </w:rPr>
        <w:t>Convention on Access to Information, Public Participation in Decision-Making and Access to Justice in Environmental Matters</w:t>
      </w:r>
      <w:r w:rsidR="006E1455">
        <w:rPr>
          <w:i/>
        </w:rPr>
        <w:t xml:space="preserve"> (Aarhus Convention)</w:t>
      </w:r>
      <w:r w:rsidRPr="006A038A">
        <w:t>.</w:t>
      </w:r>
      <w:proofErr w:type="gramEnd"/>
      <w:r w:rsidRPr="006A038A">
        <w:t xml:space="preserve"> </w:t>
      </w:r>
      <w:r>
        <w:t xml:space="preserve">Available </w:t>
      </w:r>
      <w:r w:rsidR="006E1455">
        <w:t>from</w:t>
      </w:r>
      <w:r w:rsidR="009721DB">
        <w:t>:</w:t>
      </w:r>
      <w:r w:rsidRPr="006A038A">
        <w:t xml:space="preserve"> </w:t>
      </w:r>
      <w:hyperlink r:id="rId71" w:history="1">
        <w:r w:rsidRPr="00594DC8">
          <w:rPr>
            <w:rStyle w:val="Hyperlink"/>
          </w:rPr>
          <w:t>http://www.unece.org/env/pp/treatytext.html</w:t>
        </w:r>
      </w:hyperlink>
    </w:p>
    <w:p w:rsidR="00890CDD" w:rsidRDefault="00890CDD">
      <w:pPr>
        <w:spacing w:after="120"/>
        <w:ind w:left="1247"/>
      </w:pPr>
      <w:proofErr w:type="gramStart"/>
      <w:r w:rsidRPr="00594DC8">
        <w:t>UNECE, 2003a.</w:t>
      </w:r>
      <w:proofErr w:type="gramEnd"/>
      <w:r w:rsidRPr="00594DC8">
        <w:t xml:space="preserve"> </w:t>
      </w:r>
      <w:proofErr w:type="gramStart"/>
      <w:r w:rsidR="00405DFE" w:rsidRPr="00405DFE">
        <w:rPr>
          <w:i/>
        </w:rPr>
        <w:t>Recommendations on the Transport of Dangerous Goods (Model Regulations)</w:t>
      </w:r>
      <w:r w:rsidRPr="00594DC8">
        <w:t>.</w:t>
      </w:r>
      <w:proofErr w:type="gramEnd"/>
      <w:r w:rsidRPr="00594DC8">
        <w:t xml:space="preserve"> Available </w:t>
      </w:r>
      <w:r w:rsidR="009721DB">
        <w:t xml:space="preserve">from: </w:t>
      </w:r>
      <w:hyperlink r:id="rId72" w:history="1">
        <w:r w:rsidRPr="00594DC8">
          <w:rPr>
            <w:rStyle w:val="Hyperlink"/>
          </w:rPr>
          <w:t>www.unece.org</w:t>
        </w:r>
      </w:hyperlink>
      <w:r w:rsidRPr="00594DC8">
        <w:t>.</w:t>
      </w:r>
      <w:r w:rsidR="00204C5C">
        <w:t xml:space="preserve"> </w:t>
      </w:r>
    </w:p>
    <w:p w:rsidR="00890CDD" w:rsidRDefault="00890CDD">
      <w:pPr>
        <w:spacing w:after="120"/>
        <w:ind w:left="1247"/>
      </w:pPr>
      <w:proofErr w:type="gramStart"/>
      <w:r w:rsidRPr="006A038A">
        <w:t>UNECE, 2003b.</w:t>
      </w:r>
      <w:proofErr w:type="gramEnd"/>
      <w:r w:rsidRPr="006A038A">
        <w:t xml:space="preserve"> </w:t>
      </w:r>
      <w:proofErr w:type="gramStart"/>
      <w:r w:rsidR="00405DFE" w:rsidRPr="00405DFE">
        <w:rPr>
          <w:i/>
        </w:rPr>
        <w:t>Protocol on Pollutant Release and Transfer Registers</w:t>
      </w:r>
      <w:r w:rsidR="00A32785">
        <w:rPr>
          <w:i/>
        </w:rPr>
        <w:t xml:space="preserve"> </w:t>
      </w:r>
      <w:r w:rsidR="00405DFE" w:rsidRPr="00405DFE">
        <w:t>(to the Aarhus Convention)</w:t>
      </w:r>
      <w:r w:rsidR="00405DFE" w:rsidRPr="00405DFE">
        <w:rPr>
          <w:i/>
        </w:rPr>
        <w:t>.</w:t>
      </w:r>
      <w:proofErr w:type="gramEnd"/>
      <w:r w:rsidRPr="006A038A">
        <w:t xml:space="preserve"> </w:t>
      </w:r>
      <w:r>
        <w:t>Available at</w:t>
      </w:r>
      <w:r w:rsidR="00A00945">
        <w:t>:</w:t>
      </w:r>
      <w:r w:rsidRPr="006A038A">
        <w:t xml:space="preserve"> http://www.unece.org/env/pp/prtr/docs/prtrtext.html</w:t>
      </w:r>
      <w:r>
        <w:t>.</w:t>
      </w:r>
    </w:p>
    <w:p w:rsidR="00890CDD" w:rsidRDefault="00890CDD">
      <w:pPr>
        <w:spacing w:after="120"/>
        <w:ind w:left="1247"/>
      </w:pPr>
      <w:proofErr w:type="gramStart"/>
      <w:r w:rsidRPr="00812D4B">
        <w:t>UNEP, 1993.</w:t>
      </w:r>
      <w:proofErr w:type="gramEnd"/>
      <w:r w:rsidRPr="00812D4B">
        <w:t xml:space="preserve"> </w:t>
      </w:r>
      <w:r w:rsidR="00405DFE" w:rsidRPr="00405DFE">
        <w:rPr>
          <w:i/>
        </w:rPr>
        <w:t>Storage of Hazardous Materials: A Technical Guide for Safe Warehousing of Hazardous Materials</w:t>
      </w:r>
      <w:r w:rsidRPr="00812D4B">
        <w:t>. Available at</w:t>
      </w:r>
      <w:r w:rsidR="009721DB">
        <w:t>:</w:t>
      </w:r>
      <w:r w:rsidRPr="00812D4B">
        <w:t xml:space="preserve"> http://www.unep.fr/shared/publications/pdf/WEBx0063xPA-SafeWarehousing.PDF.</w:t>
      </w:r>
    </w:p>
    <w:p w:rsidR="00890CDD" w:rsidRDefault="00890CDD">
      <w:pPr>
        <w:spacing w:after="120"/>
        <w:ind w:left="1247"/>
      </w:pPr>
      <w:proofErr w:type="gramStart"/>
      <w:r w:rsidRPr="00812D4B">
        <w:t>UNEP, 1995a.</w:t>
      </w:r>
      <w:proofErr w:type="gramEnd"/>
      <w:r w:rsidRPr="00812D4B">
        <w:t xml:space="preserve"> </w:t>
      </w:r>
      <w:r w:rsidR="00405DFE" w:rsidRPr="00405DFE">
        <w:rPr>
          <w:i/>
        </w:rPr>
        <w:t xml:space="preserve">Model National Legislation on the Management of Hazardous Wastes and Other Wastes as well as on the Control of </w:t>
      </w:r>
      <w:proofErr w:type="spellStart"/>
      <w:r w:rsidR="00405DFE" w:rsidRPr="00405DFE">
        <w:rPr>
          <w:i/>
        </w:rPr>
        <w:t>Transboundary</w:t>
      </w:r>
      <w:proofErr w:type="spellEnd"/>
      <w:r w:rsidR="00405DFE" w:rsidRPr="00405DFE">
        <w:rPr>
          <w:i/>
        </w:rPr>
        <w:t xml:space="preserve"> Movements of Hazardous Wastes and Other Wastes and their Disposal</w:t>
      </w:r>
      <w:r w:rsidRPr="00812D4B">
        <w:t xml:space="preserve">. Available </w:t>
      </w:r>
      <w:r w:rsidR="009721DB">
        <w:t xml:space="preserve">from: </w:t>
      </w:r>
      <w:hyperlink r:id="rId73" w:history="1">
        <w:r w:rsidRPr="00812D4B">
          <w:rPr>
            <w:rStyle w:val="Hyperlink"/>
          </w:rPr>
          <w:t>www.basel.int</w:t>
        </w:r>
      </w:hyperlink>
      <w:r w:rsidRPr="00812D4B">
        <w:t>.</w:t>
      </w:r>
    </w:p>
    <w:p w:rsidR="00890CDD" w:rsidRDefault="00890CDD">
      <w:pPr>
        <w:spacing w:after="120"/>
        <w:ind w:left="1247"/>
      </w:pPr>
      <w:proofErr w:type="gramStart"/>
      <w:r w:rsidRPr="00812D4B">
        <w:t>UNEP, 1995</w:t>
      </w:r>
      <w:r w:rsidR="004F7E71">
        <w:t>b</w:t>
      </w:r>
      <w:r w:rsidRPr="00812D4B">
        <w:t>.</w:t>
      </w:r>
      <w:proofErr w:type="gramEnd"/>
      <w:r w:rsidRPr="00812D4B">
        <w:t xml:space="preserve"> </w:t>
      </w:r>
      <w:proofErr w:type="gramStart"/>
      <w:r w:rsidR="00405DFE" w:rsidRPr="00405DFE">
        <w:rPr>
          <w:i/>
        </w:rPr>
        <w:t>Technical Guidelines on Incineration on Land (D10)</w:t>
      </w:r>
      <w:r w:rsidRPr="00812D4B">
        <w:t>.</w:t>
      </w:r>
      <w:proofErr w:type="gramEnd"/>
      <w:r w:rsidRPr="00812D4B">
        <w:t xml:space="preserve"> Available </w:t>
      </w:r>
      <w:r w:rsidR="009721DB">
        <w:t>from:</w:t>
      </w:r>
      <w:r w:rsidR="009721DB" w:rsidRPr="00812D4B">
        <w:t xml:space="preserve"> </w:t>
      </w:r>
      <w:hyperlink r:id="rId74" w:history="1">
        <w:r w:rsidRPr="00812D4B">
          <w:rPr>
            <w:rStyle w:val="Hyperlink"/>
          </w:rPr>
          <w:t>www.basel.int</w:t>
        </w:r>
      </w:hyperlink>
      <w:r w:rsidRPr="00812D4B">
        <w:t>.</w:t>
      </w:r>
    </w:p>
    <w:p w:rsidR="00890CDD" w:rsidRDefault="00890CDD">
      <w:pPr>
        <w:spacing w:after="120"/>
        <w:ind w:left="1247"/>
      </w:pPr>
      <w:proofErr w:type="gramStart"/>
      <w:r w:rsidRPr="00812D4B">
        <w:t>UNEP, 1995</w:t>
      </w:r>
      <w:r w:rsidR="0053371B">
        <w:t>c</w:t>
      </w:r>
      <w:r w:rsidRPr="00812D4B">
        <w:t>.</w:t>
      </w:r>
      <w:proofErr w:type="gramEnd"/>
      <w:r w:rsidRPr="00812D4B">
        <w:t xml:space="preserve"> </w:t>
      </w:r>
      <w:proofErr w:type="gramStart"/>
      <w:r w:rsidR="00405DFE" w:rsidRPr="00405DFE">
        <w:rPr>
          <w:i/>
        </w:rPr>
        <w:t>Technical Guidelines on Specially Engineered Landfill (D5)</w:t>
      </w:r>
      <w:r w:rsidRPr="00812D4B">
        <w:t>.</w:t>
      </w:r>
      <w:proofErr w:type="gramEnd"/>
      <w:r w:rsidRPr="00812D4B">
        <w:t xml:space="preserve"> Available </w:t>
      </w:r>
      <w:r w:rsidR="009721DB">
        <w:t xml:space="preserve">from: </w:t>
      </w:r>
      <w:hyperlink r:id="rId75" w:history="1">
        <w:r w:rsidRPr="00812D4B">
          <w:rPr>
            <w:rStyle w:val="Hyperlink"/>
          </w:rPr>
          <w:t>www.basel.int</w:t>
        </w:r>
      </w:hyperlink>
      <w:r w:rsidRPr="00812D4B">
        <w:t>.</w:t>
      </w:r>
    </w:p>
    <w:p w:rsidR="00890CDD" w:rsidRDefault="00890CDD">
      <w:pPr>
        <w:spacing w:after="120"/>
        <w:ind w:left="1247"/>
      </w:pPr>
      <w:proofErr w:type="gramStart"/>
      <w:r w:rsidRPr="00812D4B">
        <w:t>UNEP, 1998b.</w:t>
      </w:r>
      <w:proofErr w:type="gramEnd"/>
      <w:r w:rsidRPr="00812D4B">
        <w:t xml:space="preserve"> </w:t>
      </w:r>
      <w:proofErr w:type="gramStart"/>
      <w:r w:rsidR="00405DFE" w:rsidRPr="00405DFE">
        <w:rPr>
          <w:i/>
        </w:rPr>
        <w:t>Inventory of Worldwide PCB Destruction Capacity</w:t>
      </w:r>
      <w:r w:rsidRPr="00812D4B">
        <w:t>.</w:t>
      </w:r>
      <w:proofErr w:type="gramEnd"/>
      <w:r w:rsidRPr="00812D4B">
        <w:t xml:space="preserve"> Available </w:t>
      </w:r>
      <w:r w:rsidR="009721DB">
        <w:t xml:space="preserve">from: </w:t>
      </w:r>
      <w:hyperlink r:id="rId76" w:history="1">
        <w:r w:rsidRPr="00812D4B">
          <w:rPr>
            <w:rStyle w:val="Hyperlink"/>
          </w:rPr>
          <w:t>www.chem.unep.ch</w:t>
        </w:r>
      </w:hyperlink>
      <w:r w:rsidRPr="00812D4B">
        <w:t>.</w:t>
      </w:r>
    </w:p>
    <w:p w:rsidR="00890CDD" w:rsidRDefault="00890CDD">
      <w:pPr>
        <w:spacing w:after="120"/>
        <w:ind w:left="1247"/>
      </w:pPr>
      <w:proofErr w:type="gramStart"/>
      <w:r w:rsidRPr="00812D4B">
        <w:t>UNEP, 2000.</w:t>
      </w:r>
      <w:proofErr w:type="gramEnd"/>
      <w:r w:rsidRPr="00812D4B">
        <w:t xml:space="preserve"> </w:t>
      </w:r>
      <w:proofErr w:type="gramStart"/>
      <w:r w:rsidR="00405DFE" w:rsidRPr="00405DFE">
        <w:rPr>
          <w:i/>
        </w:rPr>
        <w:t>Survey of Currently Available Non-Incineration PCB Destruction Technologies.</w:t>
      </w:r>
      <w:proofErr w:type="gramEnd"/>
      <w:r w:rsidRPr="00812D4B">
        <w:t xml:space="preserve"> Available </w:t>
      </w:r>
      <w:r w:rsidR="009721DB">
        <w:t>from:</w:t>
      </w:r>
      <w:r w:rsidR="009721DB" w:rsidRPr="00812D4B">
        <w:t xml:space="preserve"> </w:t>
      </w:r>
      <w:hyperlink r:id="rId77" w:history="1">
        <w:r w:rsidRPr="00812D4B">
          <w:rPr>
            <w:rStyle w:val="Hyperlink"/>
          </w:rPr>
          <w:t>www.chem.unep.ch</w:t>
        </w:r>
      </w:hyperlink>
      <w:r w:rsidRPr="00812D4B">
        <w:t>.</w:t>
      </w:r>
    </w:p>
    <w:p w:rsidR="00890CDD" w:rsidRDefault="00890CDD">
      <w:pPr>
        <w:spacing w:after="120"/>
        <w:ind w:left="1247"/>
      </w:pPr>
      <w:proofErr w:type="gramStart"/>
      <w:r w:rsidRPr="00812D4B">
        <w:t>UNEP, 2001.</w:t>
      </w:r>
      <w:proofErr w:type="gramEnd"/>
      <w:r w:rsidRPr="00812D4B">
        <w:t xml:space="preserve"> </w:t>
      </w:r>
      <w:r w:rsidR="00405DFE" w:rsidRPr="00405DFE">
        <w:rPr>
          <w:i/>
        </w:rPr>
        <w:t xml:space="preserve">Destruction and Decontamination Technologies for PCB and Other POP waste Part III. </w:t>
      </w:r>
      <w:proofErr w:type="gramStart"/>
      <w:r w:rsidR="00405DFE" w:rsidRPr="00405DFE">
        <w:rPr>
          <w:i/>
        </w:rPr>
        <w:t>Technology Selection Process</w:t>
      </w:r>
      <w:r w:rsidRPr="00812D4B">
        <w:t>.</w:t>
      </w:r>
      <w:proofErr w:type="gramEnd"/>
      <w:r w:rsidRPr="00812D4B">
        <w:t xml:space="preserve"> Available </w:t>
      </w:r>
      <w:r w:rsidR="009721DB">
        <w:t>from:</w:t>
      </w:r>
      <w:r w:rsidR="009721DB" w:rsidRPr="00812D4B">
        <w:t xml:space="preserve"> </w:t>
      </w:r>
      <w:r w:rsidRPr="00812D4B">
        <w:t>http://archive.basel.int/meetings/sbc/workdoc/techdocs.html.</w:t>
      </w:r>
    </w:p>
    <w:p w:rsidR="00890CDD" w:rsidRDefault="00890CDD">
      <w:pPr>
        <w:spacing w:after="120"/>
        <w:ind w:left="1247"/>
      </w:pPr>
      <w:proofErr w:type="gramStart"/>
      <w:r w:rsidRPr="00EA1127">
        <w:t>UNEP, 2002</w:t>
      </w:r>
      <w:r w:rsidR="00397A9E">
        <w:t>a</w:t>
      </w:r>
      <w:r w:rsidRPr="00EA1127">
        <w:t>.</w:t>
      </w:r>
      <w:proofErr w:type="gramEnd"/>
      <w:r w:rsidRPr="00EA1127">
        <w:t xml:space="preserve"> </w:t>
      </w:r>
      <w:r w:rsidR="00405DFE" w:rsidRPr="00405DFE">
        <w:rPr>
          <w:i/>
        </w:rPr>
        <w:t>Destruction and decontamination technologies for PCBs and other POP waste under the Basel Convention: A training manual for hazardous waste project managers</w:t>
      </w:r>
      <w:r w:rsidRPr="00EA1127">
        <w:t xml:space="preserve">. Available </w:t>
      </w:r>
      <w:r w:rsidR="009721DB">
        <w:t>from:</w:t>
      </w:r>
      <w:r w:rsidR="009721DB" w:rsidRPr="00EA1127">
        <w:t xml:space="preserve"> </w:t>
      </w:r>
      <w:hyperlink r:id="rId78" w:history="1">
        <w:r w:rsidRPr="00EA1127">
          <w:rPr>
            <w:rStyle w:val="Hyperlink"/>
          </w:rPr>
          <w:t>http://chm.pops.int/Implementation/PCBs/DocumentsPublications/tabid/665/Default.aspx</w:t>
        </w:r>
      </w:hyperlink>
      <w:r>
        <w:t>.</w:t>
      </w:r>
    </w:p>
    <w:p w:rsidR="00397A9E" w:rsidRDefault="00397A9E">
      <w:pPr>
        <w:spacing w:after="120"/>
        <w:ind w:left="1247"/>
      </w:pPr>
      <w:proofErr w:type="gramStart"/>
      <w:r>
        <w:t>UNEP, 2002b</w:t>
      </w:r>
      <w:r w:rsidR="00D921B0">
        <w:t>.</w:t>
      </w:r>
      <w:proofErr w:type="gramEnd"/>
      <w:r>
        <w:t xml:space="preserve"> </w:t>
      </w:r>
      <w:r w:rsidR="00405DFE" w:rsidRPr="00405DFE">
        <w:rPr>
          <w:i/>
          <w:lang w:eastAsia="en-CA"/>
        </w:rPr>
        <w:t>Report of the Technology and Economic Assessment Panel</w:t>
      </w:r>
      <w:r w:rsidR="002D3EAD">
        <w:rPr>
          <w:i/>
          <w:lang w:eastAsia="en-CA"/>
        </w:rPr>
        <w:t xml:space="preserve"> </w:t>
      </w:r>
      <w:r w:rsidR="00A32785">
        <w:rPr>
          <w:i/>
          <w:lang w:eastAsia="en-CA"/>
        </w:rPr>
        <w:t>[</w:t>
      </w:r>
      <w:r w:rsidR="00405DFE" w:rsidRPr="00405DFE">
        <w:rPr>
          <w:rFonts w:eastAsia="PMingLiU"/>
          <w:bCs/>
          <w:i/>
          <w:color w:val="575757"/>
          <w:lang w:val="en-US" w:eastAsia="zh-TW"/>
        </w:rPr>
        <w:t>of</w:t>
      </w:r>
      <w:r w:rsidR="00405DFE" w:rsidRPr="00405DFE">
        <w:rPr>
          <w:rFonts w:eastAsia="PMingLiU"/>
          <w:i/>
          <w:color w:val="424242"/>
          <w:lang w:val="en-US" w:eastAsia="zh-TW"/>
        </w:rPr>
        <w:t xml:space="preserve"> the Montreal Protocol on Substances that Deplete the Ozone Layer</w:t>
      </w:r>
      <w:r w:rsidR="00A32785">
        <w:rPr>
          <w:rFonts w:eastAsia="PMingLiU"/>
          <w:i/>
          <w:color w:val="424242"/>
          <w:lang w:val="en-US" w:eastAsia="zh-TW"/>
        </w:rPr>
        <w:t>]</w:t>
      </w:r>
      <w:r w:rsidR="00B107E2">
        <w:rPr>
          <w:rFonts w:eastAsia="PMingLiU"/>
          <w:color w:val="424242"/>
          <w:lang w:val="en-US" w:eastAsia="zh-TW"/>
        </w:rPr>
        <w:t xml:space="preserve">, </w:t>
      </w:r>
      <w:r w:rsidR="00405DFE" w:rsidRPr="00405DFE">
        <w:rPr>
          <w:i/>
          <w:lang w:eastAsia="en-CA"/>
        </w:rPr>
        <w:t>Volume 3B</w:t>
      </w:r>
      <w:r w:rsidR="00B107E2">
        <w:rPr>
          <w:lang w:eastAsia="en-CA"/>
        </w:rPr>
        <w:t>:</w:t>
      </w:r>
      <w:r w:rsidR="00C708A9">
        <w:rPr>
          <w:lang w:eastAsia="en-CA"/>
        </w:rPr>
        <w:t xml:space="preserve"> </w:t>
      </w:r>
      <w:r w:rsidR="00405DFE" w:rsidRPr="00405DFE">
        <w:rPr>
          <w:i/>
          <w:lang w:eastAsia="en-CA"/>
        </w:rPr>
        <w:t>Report of the Task Force on Collection, Recovery and Storage</w:t>
      </w:r>
      <w:r w:rsidR="00C708A9">
        <w:rPr>
          <w:lang w:eastAsia="en-CA"/>
        </w:rPr>
        <w:t>. Available at</w:t>
      </w:r>
      <w:r w:rsidR="00D921B0">
        <w:rPr>
          <w:lang w:eastAsia="en-CA"/>
        </w:rPr>
        <w:t>:</w:t>
      </w:r>
      <w:r w:rsidR="00C708A9">
        <w:rPr>
          <w:lang w:eastAsia="en-CA"/>
        </w:rPr>
        <w:t xml:space="preserve"> </w:t>
      </w:r>
      <w:hyperlink r:id="rId79" w:history="1">
        <w:r w:rsidR="00C708A9" w:rsidRPr="004C484C">
          <w:rPr>
            <w:rStyle w:val="Hyperlink"/>
          </w:rPr>
          <w:t>http://ozone.unep.org/Assessment_Panels/TEAP/Reports/Other_Task_Force/TEAP02V3b.pdf</w:t>
        </w:r>
      </w:hyperlink>
      <w:r w:rsidR="00C708A9">
        <w:rPr>
          <w:rStyle w:val="Hyperlink"/>
        </w:rPr>
        <w:t>.</w:t>
      </w:r>
    </w:p>
    <w:p w:rsidR="00890CDD" w:rsidRDefault="00890CDD">
      <w:pPr>
        <w:spacing w:after="120"/>
        <w:ind w:left="1247"/>
      </w:pPr>
      <w:proofErr w:type="gramStart"/>
      <w:r w:rsidRPr="00812D4B">
        <w:t>UNEP, 2004</w:t>
      </w:r>
      <w:r w:rsidR="00D921B0">
        <w:t>a</w:t>
      </w:r>
      <w:r w:rsidRPr="00812D4B">
        <w:t>.</w:t>
      </w:r>
      <w:proofErr w:type="gramEnd"/>
      <w:r w:rsidRPr="00812D4B">
        <w:t xml:space="preserve"> </w:t>
      </w:r>
      <w:proofErr w:type="gramStart"/>
      <w:r w:rsidR="00405DFE" w:rsidRPr="00405DFE">
        <w:rPr>
          <w:i/>
        </w:rPr>
        <w:t>Review of the Emerging, Innovative Technologies for the Destruction and Decontamination of POPs and the Identification of Promising Technologies for Use in Developing Countries.</w:t>
      </w:r>
      <w:proofErr w:type="gramEnd"/>
      <w:r w:rsidRPr="00812D4B">
        <w:t xml:space="preserve"> Available at</w:t>
      </w:r>
      <w:r w:rsidR="009721DB">
        <w:t>:</w:t>
      </w:r>
      <w:r w:rsidRPr="00812D4B">
        <w:t xml:space="preserve"> archive.basel.int/</w:t>
      </w:r>
      <w:proofErr w:type="spellStart"/>
      <w:r w:rsidRPr="00812D4B">
        <w:t>techmatters</w:t>
      </w:r>
      <w:proofErr w:type="spellEnd"/>
      <w:r w:rsidRPr="00812D4B">
        <w:t>/review_pop_feb04.pdf</w:t>
      </w:r>
      <w:r w:rsidR="00117804">
        <w:rPr>
          <w:rtl/>
          <w:cs/>
        </w:rPr>
        <w:t xml:space="preserve">. </w:t>
      </w:r>
    </w:p>
    <w:p w:rsidR="007614EF" w:rsidRDefault="007614EF">
      <w:pPr>
        <w:spacing w:after="120"/>
        <w:ind w:left="1247"/>
        <w:rPr>
          <w:lang w:eastAsia="en-CA"/>
        </w:rPr>
      </w:pPr>
      <w:proofErr w:type="gramStart"/>
      <w:r>
        <w:rPr>
          <w:lang w:eastAsia="en-CA"/>
        </w:rPr>
        <w:t>UNEP, 2004</w:t>
      </w:r>
      <w:r w:rsidR="00D921B0">
        <w:rPr>
          <w:lang w:eastAsia="en-CA"/>
        </w:rPr>
        <w:t>b</w:t>
      </w:r>
      <w:r>
        <w:rPr>
          <w:lang w:eastAsia="en-CA"/>
        </w:rPr>
        <w:t>.</w:t>
      </w:r>
      <w:proofErr w:type="gramEnd"/>
      <w:r>
        <w:rPr>
          <w:lang w:eastAsia="en-CA"/>
        </w:rPr>
        <w:t xml:space="preserve"> </w:t>
      </w:r>
      <w:r w:rsidR="00405DFE" w:rsidRPr="00405DFE">
        <w:rPr>
          <w:i/>
          <w:lang w:eastAsia="en-CA"/>
        </w:rPr>
        <w:t>POPs Technology Specification Data Sheet: Hazardous Waste Incineration</w:t>
      </w:r>
      <w:r w:rsidR="00070CDB">
        <w:rPr>
          <w:lang w:eastAsia="en-CA"/>
        </w:rPr>
        <w:t>. Available at</w:t>
      </w:r>
      <w:r w:rsidR="00E40CD1">
        <w:rPr>
          <w:lang w:eastAsia="en-CA"/>
        </w:rPr>
        <w:t>:</w:t>
      </w:r>
      <w:r w:rsidR="00070CDB">
        <w:rPr>
          <w:lang w:eastAsia="en-CA"/>
        </w:rPr>
        <w:t xml:space="preserve"> </w:t>
      </w:r>
      <w:hyperlink r:id="rId80" w:history="1">
        <w:r w:rsidR="00070CDB" w:rsidRPr="00070CDB">
          <w:rPr>
            <w:rStyle w:val="Hyperlink"/>
          </w:rPr>
          <w:t>http://www.ihpa.info/docs/library/reports/Pops/June2009/DEFSBCLogo_Inciner_180608_.pdf</w:t>
        </w:r>
      </w:hyperlink>
      <w:r w:rsidR="00070CDB" w:rsidRPr="00070CDB">
        <w:rPr>
          <w:rStyle w:val="Hyperlink"/>
        </w:rPr>
        <w:t>.</w:t>
      </w:r>
      <w:r w:rsidR="00070CDB">
        <w:rPr>
          <w:rStyle w:val="Hyperlink"/>
          <w:sz w:val="24"/>
          <w:szCs w:val="24"/>
        </w:rPr>
        <w:t xml:space="preserve"> </w:t>
      </w:r>
    </w:p>
    <w:p w:rsidR="00890CDD" w:rsidRDefault="00890CDD">
      <w:pPr>
        <w:spacing w:after="120"/>
        <w:ind w:left="1247"/>
      </w:pPr>
      <w:proofErr w:type="gramStart"/>
      <w:r w:rsidRPr="00812D4B">
        <w:rPr>
          <w:lang w:eastAsia="en-CA"/>
        </w:rPr>
        <w:t>UNEP</w:t>
      </w:r>
      <w:r w:rsidR="00DB4A16">
        <w:rPr>
          <w:lang w:eastAsia="en-CA"/>
        </w:rPr>
        <w:t>,</w:t>
      </w:r>
      <w:r w:rsidRPr="00812D4B">
        <w:rPr>
          <w:lang w:eastAsia="en-CA"/>
        </w:rPr>
        <w:t xml:space="preserve"> 2005</w:t>
      </w:r>
      <w:r w:rsidR="00DB4A16">
        <w:rPr>
          <w:lang w:eastAsia="en-CA"/>
        </w:rPr>
        <w:t>.</w:t>
      </w:r>
      <w:proofErr w:type="gramEnd"/>
      <w:r w:rsidR="00DB4A16" w:rsidRPr="00812D4B">
        <w:rPr>
          <w:lang w:eastAsia="en-CA"/>
        </w:rPr>
        <w:t xml:space="preserve"> </w:t>
      </w:r>
      <w:r w:rsidR="00405DFE" w:rsidRPr="00405DFE">
        <w:rPr>
          <w:i/>
          <w:lang w:eastAsia="en-CA"/>
        </w:rPr>
        <w:t xml:space="preserve">UNEP/GEF project on existing capacity and capacity building needs for analyzing </w:t>
      </w:r>
      <w:r w:rsidR="00E40CD1">
        <w:rPr>
          <w:i/>
          <w:lang w:eastAsia="en-CA"/>
        </w:rPr>
        <w:t>POP</w:t>
      </w:r>
      <w:r w:rsidR="00405DFE" w:rsidRPr="00405DFE">
        <w:rPr>
          <w:i/>
          <w:lang w:eastAsia="en-CA"/>
        </w:rPr>
        <w:t>s in developing countries</w:t>
      </w:r>
      <w:r w:rsidRPr="00812D4B">
        <w:rPr>
          <w:lang w:eastAsia="en-CA"/>
        </w:rPr>
        <w:t xml:space="preserve">. Available </w:t>
      </w:r>
      <w:r w:rsidR="009721DB">
        <w:rPr>
          <w:lang w:eastAsia="en-CA"/>
        </w:rPr>
        <w:t>from:</w:t>
      </w:r>
      <w:r w:rsidR="009721DB" w:rsidRPr="00812D4B">
        <w:rPr>
          <w:lang w:eastAsia="en-CA"/>
        </w:rPr>
        <w:t xml:space="preserve"> </w:t>
      </w:r>
      <w:r w:rsidRPr="00812D4B">
        <w:rPr>
          <w:lang w:eastAsia="en-CA"/>
        </w:rPr>
        <w:t>www.chem.unep.ch/pops/laboratory/default.htm.</w:t>
      </w:r>
    </w:p>
    <w:p w:rsidR="00890CDD" w:rsidRDefault="001E139B">
      <w:pPr>
        <w:spacing w:after="120"/>
        <w:ind w:left="1247"/>
      </w:pPr>
      <w:proofErr w:type="gramStart"/>
      <w:r w:rsidRPr="00A52E05">
        <w:rPr>
          <w:lang w:val="en-US"/>
        </w:rPr>
        <w:t>UNEP, 2006b.</w:t>
      </w:r>
      <w:proofErr w:type="gramEnd"/>
      <w:r w:rsidRPr="00A52E05">
        <w:rPr>
          <w:lang w:val="en-US"/>
        </w:rPr>
        <w:t xml:space="preserve"> </w:t>
      </w:r>
      <w:r w:rsidR="00405DFE" w:rsidRPr="00405DFE">
        <w:rPr>
          <w:i/>
        </w:rPr>
        <w:t>Draft Guidance for Analysis of Persistent Organic Pollutants (POPs)</w:t>
      </w:r>
      <w:r w:rsidR="00890CDD" w:rsidRPr="00812D4B">
        <w:t xml:space="preserve">. Available </w:t>
      </w:r>
      <w:r w:rsidR="009721DB">
        <w:t>from</w:t>
      </w:r>
      <w:r w:rsidR="00A06161">
        <w:t>:</w:t>
      </w:r>
      <w:r w:rsidR="00890CDD" w:rsidRPr="00812D4B">
        <w:t xml:space="preserve"> </w:t>
      </w:r>
      <w:hyperlink r:id="rId81" w:history="1">
        <w:r w:rsidR="00890CDD" w:rsidRPr="00812D4B">
          <w:rPr>
            <w:rStyle w:val="Hyperlink"/>
          </w:rPr>
          <w:t>www.chem.unep.ch/pops/laboratory/default.htm</w:t>
        </w:r>
      </w:hyperlink>
      <w:r w:rsidR="00890CDD" w:rsidRPr="00812D4B">
        <w:t>.</w:t>
      </w:r>
    </w:p>
    <w:p w:rsidR="0075027C" w:rsidRPr="00B90A58" w:rsidRDefault="0075027C" w:rsidP="0075027C">
      <w:pPr>
        <w:spacing w:after="120"/>
        <w:ind w:left="1247"/>
      </w:pPr>
      <w:proofErr w:type="gramStart"/>
      <w:r w:rsidRPr="007657AF">
        <w:t>UNEP, 2007.</w:t>
      </w:r>
      <w:proofErr w:type="gramEnd"/>
      <w:r w:rsidRPr="007657AF">
        <w:t xml:space="preserve"> </w:t>
      </w:r>
      <w:proofErr w:type="gramStart"/>
      <w:r w:rsidR="00405DFE" w:rsidRPr="00405DFE">
        <w:rPr>
          <w:i/>
        </w:rPr>
        <w:t xml:space="preserve">Guidelines on best available techniques and provisional guidance on best environmental practices relevant to Article 5 and Annex C of the Stockholm Convention on </w:t>
      </w:r>
      <w:r w:rsidR="002D4A71">
        <w:rPr>
          <w:i/>
        </w:rPr>
        <w:t>[POPs]</w:t>
      </w:r>
      <w:r w:rsidRPr="00B90A58">
        <w:t>.</w:t>
      </w:r>
      <w:proofErr w:type="gramEnd"/>
      <w:r w:rsidR="00684C00">
        <w:t xml:space="preserve"> Available at</w:t>
      </w:r>
      <w:r w:rsidR="00A06161">
        <w:t>:</w:t>
      </w:r>
      <w:r w:rsidR="00684C00">
        <w:t xml:space="preserve"> </w:t>
      </w:r>
      <w:r w:rsidR="00684C00" w:rsidRPr="00684C00">
        <w:t>http://chm.pops.int/Implementation/BATandBEP/Guidance/tabid/3636/Default.aspx</w:t>
      </w:r>
      <w:r w:rsidR="009721DB">
        <w:t>.</w:t>
      </w:r>
    </w:p>
    <w:p w:rsidR="00890CDD" w:rsidRDefault="00890CDD">
      <w:pPr>
        <w:autoSpaceDE w:val="0"/>
        <w:autoSpaceDN w:val="0"/>
        <w:adjustRightInd w:val="0"/>
        <w:spacing w:after="120"/>
        <w:ind w:left="1247"/>
      </w:pPr>
      <w:proofErr w:type="gramStart"/>
      <w:r>
        <w:t>UNEP, 2011</w:t>
      </w:r>
      <w:r w:rsidRPr="006A038A">
        <w:t>.</w:t>
      </w:r>
      <w:proofErr w:type="gramEnd"/>
      <w:r w:rsidRPr="006A038A">
        <w:t xml:space="preserve"> UNEP/CHW.10/6/Add.3/Rev.1. </w:t>
      </w:r>
      <w:r w:rsidR="00405DFE" w:rsidRPr="00405DFE">
        <w:rPr>
          <w:i/>
        </w:rPr>
        <w:t>Technical guidelines on the environmentally sound co-processing of hazardous wastes in cement kilns</w:t>
      </w:r>
      <w:r w:rsidRPr="006A038A">
        <w:t xml:space="preserve">. </w:t>
      </w:r>
      <w:r>
        <w:t>Available at</w:t>
      </w:r>
      <w:r w:rsidR="009721DB">
        <w:t>:</w:t>
      </w:r>
      <w:r w:rsidRPr="006A038A">
        <w:t xml:space="preserve"> </w:t>
      </w:r>
      <w:r w:rsidRPr="00230371">
        <w:t>http://www.basel.int/Implementation/Publications/TechnicalGuidelines/tabid/2362/Default.aspx</w:t>
      </w:r>
      <w:r w:rsidRPr="00230371" w:rsidDel="00230371">
        <w:t xml:space="preserve"> </w:t>
      </w:r>
    </w:p>
    <w:p w:rsidR="00E40CD1" w:rsidRDefault="00890CDD" w:rsidP="002576E7">
      <w:pPr>
        <w:spacing w:after="120"/>
        <w:ind w:left="1247"/>
      </w:pPr>
      <w:proofErr w:type="gramStart"/>
      <w:r w:rsidRPr="00B91200">
        <w:t>UNEP, 20</w:t>
      </w:r>
      <w:r>
        <w:t>1</w:t>
      </w:r>
      <w:r w:rsidR="00314C3F">
        <w:t>4</w:t>
      </w:r>
      <w:r w:rsidRPr="0088229A">
        <w:t>.</w:t>
      </w:r>
      <w:proofErr w:type="gramEnd"/>
      <w:r w:rsidRPr="0088229A">
        <w:t xml:space="preserve"> </w:t>
      </w:r>
      <w:r w:rsidR="00405DFE" w:rsidRPr="00405DFE">
        <w:rPr>
          <w:i/>
        </w:rPr>
        <w:t xml:space="preserve">Guidance for Developing a National Implementation Plan for the Stockholm Convention on Persistent Organic Pollutants </w:t>
      </w:r>
      <w:r w:rsidR="00CB0CE6" w:rsidRPr="00CB0CE6">
        <w:t xml:space="preserve">(updated in </w:t>
      </w:r>
      <w:r w:rsidR="00314C3F" w:rsidRPr="00CB0CE6">
        <w:t>201</w:t>
      </w:r>
      <w:r w:rsidR="00314C3F">
        <w:t>4</w:t>
      </w:r>
      <w:r w:rsidR="00314C3F" w:rsidRPr="00CB0CE6">
        <w:t xml:space="preserve"> </w:t>
      </w:r>
      <w:r w:rsidR="00CB0CE6" w:rsidRPr="00CB0CE6">
        <w:t>to include the POPs listed in 2009 and 2011</w:t>
      </w:r>
      <w:r w:rsidR="008648A7">
        <w:t>).</w:t>
      </w:r>
      <w:r w:rsidRPr="0088229A">
        <w:t xml:space="preserve"> Available</w:t>
      </w:r>
      <w:r w:rsidRPr="00F50359">
        <w:t xml:space="preserve"> at</w:t>
      </w:r>
      <w:r w:rsidR="009721DB">
        <w:t>:</w:t>
      </w:r>
      <w:r w:rsidRPr="00A620B0">
        <w:t xml:space="preserve"> </w:t>
      </w:r>
      <w:hyperlink r:id="rId82" w:history="1">
        <w:r w:rsidRPr="0079334D">
          <w:rPr>
            <w:rStyle w:val="Hyperlink"/>
          </w:rPr>
          <w:t>http://chm.pops.int/Implementation/NIPs/Guidance/GuidanceforDevelopingNIP/tabid/3166/Default.aspx</w:t>
        </w:r>
      </w:hyperlink>
      <w:r w:rsidR="009721DB">
        <w:rPr>
          <w:rStyle w:val="Hyperlink"/>
        </w:rPr>
        <w:t>.</w:t>
      </w:r>
      <w:r>
        <w:t xml:space="preserve">  </w:t>
      </w:r>
    </w:p>
    <w:p w:rsidR="00691975" w:rsidRDefault="008648A7">
      <w:pPr>
        <w:autoSpaceDE w:val="0"/>
        <w:autoSpaceDN w:val="0"/>
        <w:adjustRightInd w:val="0"/>
        <w:spacing w:after="120"/>
        <w:ind w:left="1247"/>
        <w:rPr>
          <w:lang w:val="en-US"/>
        </w:rPr>
      </w:pPr>
      <w:r w:rsidRPr="002576E7">
        <w:rPr>
          <w:lang w:val="en-US"/>
        </w:rPr>
        <w:t>UNEP, UNIDO et al</w:t>
      </w:r>
      <w:r w:rsidR="00581FFA" w:rsidRPr="002576E7">
        <w:rPr>
          <w:lang w:val="en-US"/>
        </w:rPr>
        <w:t>.</w:t>
      </w:r>
      <w:r w:rsidRPr="002576E7">
        <w:rPr>
          <w:lang w:val="en-US"/>
        </w:rPr>
        <w:t xml:space="preserve">, </w:t>
      </w:r>
      <w:r w:rsidR="00405DFE" w:rsidRPr="00405DFE">
        <w:rPr>
          <w:lang w:val="en-US"/>
        </w:rPr>
        <w:t>2012</w:t>
      </w:r>
      <w:r w:rsidR="00E40CD1">
        <w:rPr>
          <w:lang w:val="en-US"/>
        </w:rPr>
        <w:t>.</w:t>
      </w:r>
      <w:r w:rsidRPr="002576E7">
        <w:rPr>
          <w:lang w:val="en-US"/>
        </w:rPr>
        <w:t xml:space="preserve"> </w:t>
      </w:r>
      <w:proofErr w:type="spellStart"/>
      <w:r w:rsidR="00405DFE" w:rsidRPr="00405DFE">
        <w:rPr>
          <w:i/>
          <w:lang w:val="en-US"/>
        </w:rPr>
        <w:t>Labelling</w:t>
      </w:r>
      <w:proofErr w:type="spellEnd"/>
      <w:r w:rsidR="00405DFE" w:rsidRPr="00405DFE">
        <w:rPr>
          <w:i/>
          <w:lang w:val="en-US"/>
        </w:rPr>
        <w:t xml:space="preserve"> of products or articles that contain POPs – Initial Considerations</w:t>
      </w:r>
      <w:r w:rsidRPr="002576E7">
        <w:rPr>
          <w:lang w:val="en-US"/>
        </w:rPr>
        <w:t>.</w:t>
      </w:r>
      <w:r w:rsidR="00581FFA" w:rsidRPr="002576E7">
        <w:rPr>
          <w:lang w:val="en-US"/>
        </w:rPr>
        <w:t xml:space="preserve"> Available at: </w:t>
      </w:r>
      <w:r w:rsidR="00405DFE" w:rsidRPr="00405DFE">
        <w:rPr>
          <w:lang w:val="en-US"/>
        </w:rPr>
        <w:t>https://www.unido.org/fileadmin/user_media/Services/Environmental_Management/Stockholm_Convention/Guidance_Docs/UNEP-POPS-GUID-NIP-2012-LabellingConsiderations.En.pdf</w:t>
      </w:r>
      <w:r w:rsidR="00581FFA" w:rsidRPr="002576E7">
        <w:rPr>
          <w:lang w:val="en-US"/>
        </w:rPr>
        <w:t>.</w:t>
      </w:r>
      <w:r w:rsidR="00581FFA">
        <w:rPr>
          <w:lang w:val="en-US"/>
        </w:rPr>
        <w:t xml:space="preserve"> </w:t>
      </w:r>
    </w:p>
    <w:p w:rsidR="00890CDD" w:rsidRDefault="00890CDD">
      <w:pPr>
        <w:autoSpaceDE w:val="0"/>
        <w:autoSpaceDN w:val="0"/>
        <w:adjustRightInd w:val="0"/>
        <w:spacing w:after="120"/>
        <w:ind w:left="1247"/>
        <w:rPr>
          <w:lang w:val="en-US"/>
        </w:rPr>
      </w:pPr>
      <w:proofErr w:type="gramStart"/>
      <w:r w:rsidRPr="006A038A">
        <w:t>UNEP, 2013</w:t>
      </w:r>
      <w:r w:rsidR="00027E11">
        <w:t>a</w:t>
      </w:r>
      <w:r w:rsidRPr="006A038A">
        <w:t>.</w:t>
      </w:r>
      <w:proofErr w:type="gramEnd"/>
      <w:r w:rsidRPr="006A038A">
        <w:t xml:space="preserve"> UNEP/CHW.11/3/Add.1/Rev.1</w:t>
      </w:r>
      <w:r w:rsidR="00CC1131">
        <w:t>,</w:t>
      </w:r>
      <w:r w:rsidR="00DD1011" w:rsidRPr="006A038A">
        <w:t xml:space="preserve"> </w:t>
      </w:r>
      <w:r w:rsidR="00CC1131">
        <w:t>“</w:t>
      </w:r>
      <w:r w:rsidRPr="00CC1131">
        <w:t>Follow-up to the Indonesian-Swiss country-led initiative to improve the effectiveness of the Basel Convention Framework for the environmentally sound management of hazardous wastes and other wastes</w:t>
      </w:r>
      <w:r w:rsidRPr="006A038A">
        <w:t>.</w:t>
      </w:r>
      <w:r w:rsidR="00CC1131">
        <w:t>”</w:t>
      </w:r>
      <w:r w:rsidRPr="006A038A">
        <w:t xml:space="preserve"> </w:t>
      </w:r>
      <w:r>
        <w:rPr>
          <w:lang w:val="en-US"/>
        </w:rPr>
        <w:t xml:space="preserve">Available </w:t>
      </w:r>
      <w:r w:rsidR="009721DB">
        <w:rPr>
          <w:lang w:val="en-US"/>
        </w:rPr>
        <w:t>from:</w:t>
      </w:r>
      <w:r w:rsidR="009721DB" w:rsidRPr="006A038A">
        <w:rPr>
          <w:lang w:val="en-US"/>
        </w:rPr>
        <w:t xml:space="preserve"> </w:t>
      </w:r>
      <w:hyperlink r:id="rId83" w:history="1">
        <w:r w:rsidRPr="006A038A">
          <w:rPr>
            <w:rStyle w:val="Hyperlink"/>
          </w:rPr>
          <w:t>http://www.basel.int/TheConvention/ConferenceoftheParties/Meetings/COP11/tabid/3256/Default.aspx</w:t>
        </w:r>
      </w:hyperlink>
      <w:r>
        <w:rPr>
          <w:lang w:val="en-US"/>
        </w:rPr>
        <w:t>.</w:t>
      </w:r>
    </w:p>
    <w:p w:rsidR="00027E11" w:rsidRPr="00027E11" w:rsidRDefault="00027E11">
      <w:pPr>
        <w:autoSpaceDE w:val="0"/>
        <w:autoSpaceDN w:val="0"/>
        <w:adjustRightInd w:val="0"/>
        <w:spacing w:after="120"/>
        <w:ind w:left="1247"/>
      </w:pPr>
      <w:proofErr w:type="gramStart"/>
      <w:r w:rsidRPr="00027E11">
        <w:t>UNEP, 2013</w:t>
      </w:r>
      <w:r>
        <w:t>b</w:t>
      </w:r>
      <w:r w:rsidR="003528B1">
        <w:t>.</w:t>
      </w:r>
      <w:proofErr w:type="gramEnd"/>
      <w:r w:rsidRPr="00027E11">
        <w:t xml:space="preserve"> </w:t>
      </w:r>
      <w:proofErr w:type="gramStart"/>
      <w:r w:rsidR="00405DFE" w:rsidRPr="00405DFE">
        <w:rPr>
          <w:i/>
        </w:rPr>
        <w:t>Toolkit for Identification and Quantification of Releases of Dioxins, Furans and Other Unintentional POPs under Article 5 of the Stockholm Convention</w:t>
      </w:r>
      <w:r w:rsidRPr="00027E11">
        <w:t>.</w:t>
      </w:r>
      <w:proofErr w:type="gramEnd"/>
      <w:r w:rsidRPr="00027E11">
        <w:t xml:space="preserve"> </w:t>
      </w:r>
      <w:r w:rsidRPr="00027E11">
        <w:rPr>
          <w:color w:val="000000"/>
        </w:rPr>
        <w:t>Available at</w:t>
      </w:r>
      <w:r w:rsidR="00C64D27">
        <w:rPr>
          <w:color w:val="000000"/>
        </w:rPr>
        <w:t>:</w:t>
      </w:r>
      <w:r w:rsidRPr="00027E11">
        <w:t xml:space="preserve"> </w:t>
      </w:r>
      <w:r w:rsidRPr="00027E11">
        <w:rPr>
          <w:color w:val="000000"/>
        </w:rPr>
        <w:t>http://chm.pops.int/Implementation/UnintentionalPOPs/ToolkitforUnintentionalPOPs/Overview/tabid/372/Default.aspx.</w:t>
      </w:r>
    </w:p>
    <w:p w:rsidR="00002CD2" w:rsidRPr="00095F5B" w:rsidRDefault="00002CD2" w:rsidP="00002CD2">
      <w:pPr>
        <w:spacing w:after="120"/>
        <w:ind w:left="1247"/>
      </w:pPr>
      <w:proofErr w:type="gramStart"/>
      <w:r w:rsidRPr="00095F5B">
        <w:t>UNEP,</w:t>
      </w:r>
      <w:r w:rsidR="00920683" w:rsidRPr="00095F5B">
        <w:t xml:space="preserve"> </w:t>
      </w:r>
      <w:r w:rsidRPr="00095F5B">
        <w:t>2015</w:t>
      </w:r>
      <w:r w:rsidR="00095F5B">
        <w:t>a</w:t>
      </w:r>
      <w:r w:rsidRPr="00095F5B">
        <w:t>.</w:t>
      </w:r>
      <w:proofErr w:type="gramEnd"/>
      <w:r w:rsidRPr="00095F5B">
        <w:t xml:space="preserve"> </w:t>
      </w:r>
      <w:proofErr w:type="gramStart"/>
      <w:r w:rsidR="00405DFE" w:rsidRPr="00405DFE">
        <w:rPr>
          <w:i/>
        </w:rPr>
        <w:t>Guidance for a Global Monitoring Programme for Persistent Organic Pollutants</w:t>
      </w:r>
      <w:r w:rsidR="00405DFE" w:rsidRPr="00405DFE">
        <w:t>,</w:t>
      </w:r>
      <w:r w:rsidRPr="00095F5B">
        <w:t xml:space="preserve"> </w:t>
      </w:r>
      <w:r w:rsidRPr="00095F5B">
        <w:rPr>
          <w:lang w:eastAsia="en-CA"/>
        </w:rPr>
        <w:t>UNEP Chemicals</w:t>
      </w:r>
      <w:r w:rsidR="00405DFE" w:rsidRPr="00405DFE">
        <w:rPr>
          <w:lang w:eastAsia="en-CA"/>
        </w:rPr>
        <w:t>.</w:t>
      </w:r>
      <w:proofErr w:type="gramEnd"/>
      <w:r w:rsidRPr="00095F5B">
        <w:rPr>
          <w:lang w:eastAsia="en-CA"/>
        </w:rPr>
        <w:t xml:space="preserve"> </w:t>
      </w:r>
      <w:r w:rsidRPr="00095F5B">
        <w:t>Available at</w:t>
      </w:r>
      <w:r w:rsidR="00405DFE" w:rsidRPr="00405DFE">
        <w:t>:</w:t>
      </w:r>
      <w:r w:rsidRPr="00095F5B">
        <w:rPr>
          <w:lang w:eastAsia="en-CA"/>
        </w:rPr>
        <w:t xml:space="preserve"> </w:t>
      </w:r>
      <w:hyperlink r:id="rId84" w:history="1">
        <w:r w:rsidRPr="00095F5B">
          <w:rPr>
            <w:lang w:eastAsia="en-CA"/>
          </w:rPr>
          <w:t>www.chem.unep.ch/gmn/GuidanceGPM.pdf</w:t>
        </w:r>
      </w:hyperlink>
      <w:r w:rsidRPr="00095F5B">
        <w:rPr>
          <w:lang w:eastAsia="en-CA"/>
        </w:rPr>
        <w:t>.</w:t>
      </w:r>
      <w:r w:rsidRPr="00095F5B">
        <w:t xml:space="preserve"> </w:t>
      </w:r>
    </w:p>
    <w:p w:rsidR="0075027C" w:rsidRPr="00A6576D" w:rsidRDefault="0075027C" w:rsidP="0075027C">
      <w:pPr>
        <w:autoSpaceDE w:val="0"/>
        <w:autoSpaceDN w:val="0"/>
        <w:adjustRightInd w:val="0"/>
        <w:spacing w:after="120"/>
        <w:ind w:left="1276"/>
        <w:rPr>
          <w:b/>
          <w:i/>
          <w:iCs/>
        </w:rPr>
      </w:pPr>
      <w:proofErr w:type="gramStart"/>
      <w:r w:rsidRPr="00A6576D">
        <w:rPr>
          <w:bCs/>
        </w:rPr>
        <w:t>UNEP, 2015</w:t>
      </w:r>
      <w:r w:rsidR="00095F5B" w:rsidRPr="00A6576D">
        <w:rPr>
          <w:bCs/>
        </w:rPr>
        <w:t>b</w:t>
      </w:r>
      <w:r w:rsidRPr="00A6576D">
        <w:rPr>
          <w:bCs/>
        </w:rPr>
        <w:t>.</w:t>
      </w:r>
      <w:proofErr w:type="gramEnd"/>
      <w:r w:rsidRPr="00A6576D">
        <w:rPr>
          <w:bCs/>
        </w:rPr>
        <w:t xml:space="preserve"> </w:t>
      </w:r>
      <w:proofErr w:type="gramStart"/>
      <w:r w:rsidR="0064724F" w:rsidRPr="00A6576D">
        <w:rPr>
          <w:bCs/>
          <w:i/>
        </w:rPr>
        <w:t xml:space="preserve">Technical guidelines on the environmentally sound management of wastes consisting of, containing or </w:t>
      </w:r>
      <w:r w:rsidR="0064724F" w:rsidRPr="00A6576D">
        <w:rPr>
          <w:bCs/>
          <w:i/>
          <w:lang w:val="en-US"/>
        </w:rPr>
        <w:t>contaminated</w:t>
      </w:r>
      <w:r w:rsidR="0064724F" w:rsidRPr="00A6576D">
        <w:rPr>
          <w:bCs/>
          <w:i/>
        </w:rPr>
        <w:t xml:space="preserve"> with polychlorinated biphenyls,</w:t>
      </w:r>
      <w:r w:rsidR="0064724F" w:rsidRPr="00A6576D">
        <w:rPr>
          <w:i/>
        </w:rPr>
        <w:t xml:space="preserve"> </w:t>
      </w:r>
      <w:r w:rsidR="0064724F" w:rsidRPr="00A6576D">
        <w:rPr>
          <w:bCs/>
          <w:i/>
        </w:rPr>
        <w:t xml:space="preserve">polychlorinated </w:t>
      </w:r>
      <w:proofErr w:type="spellStart"/>
      <w:r w:rsidR="0064724F" w:rsidRPr="00A6576D">
        <w:rPr>
          <w:bCs/>
          <w:i/>
        </w:rPr>
        <w:t>terphenyls</w:t>
      </w:r>
      <w:proofErr w:type="spellEnd"/>
      <w:r w:rsidR="0064724F" w:rsidRPr="00A6576D">
        <w:rPr>
          <w:bCs/>
          <w:i/>
        </w:rPr>
        <w:t xml:space="preserve"> or </w:t>
      </w:r>
      <w:proofErr w:type="spellStart"/>
      <w:r w:rsidR="0064724F" w:rsidRPr="00A6576D">
        <w:rPr>
          <w:bCs/>
          <w:i/>
        </w:rPr>
        <w:t>polybrominated</w:t>
      </w:r>
      <w:proofErr w:type="spellEnd"/>
      <w:r w:rsidR="0064724F" w:rsidRPr="00A6576D">
        <w:rPr>
          <w:bCs/>
          <w:i/>
        </w:rPr>
        <w:t xml:space="preserve"> </w:t>
      </w:r>
      <w:r w:rsidR="0064724F" w:rsidRPr="00A6576D">
        <w:rPr>
          <w:i/>
        </w:rPr>
        <w:t xml:space="preserve">biphenyls including </w:t>
      </w:r>
      <w:proofErr w:type="spellStart"/>
      <w:r w:rsidR="0064724F" w:rsidRPr="00A6576D">
        <w:rPr>
          <w:i/>
        </w:rPr>
        <w:t>hexabromobiphenyl</w:t>
      </w:r>
      <w:proofErr w:type="spellEnd"/>
      <w:r w:rsidR="0064724F" w:rsidRPr="00A6576D">
        <w:rPr>
          <w:i/>
        </w:rPr>
        <w:t>.</w:t>
      </w:r>
      <w:proofErr w:type="gramEnd"/>
    </w:p>
    <w:p w:rsidR="001A1011" w:rsidRPr="00A6576D" w:rsidRDefault="0075027C" w:rsidP="001A1011">
      <w:pPr>
        <w:autoSpaceDE w:val="0"/>
        <w:autoSpaceDN w:val="0"/>
        <w:adjustRightInd w:val="0"/>
        <w:spacing w:after="120"/>
        <w:ind w:left="1276"/>
        <w:rPr>
          <w:bCs/>
        </w:rPr>
      </w:pPr>
      <w:proofErr w:type="gramStart"/>
      <w:r w:rsidRPr="00A6576D">
        <w:t>UNEP, 2015</w:t>
      </w:r>
      <w:r w:rsidR="00AD0A0A" w:rsidRPr="00A6576D">
        <w:t>c</w:t>
      </w:r>
      <w:r w:rsidRPr="00A6576D">
        <w:t>.</w:t>
      </w:r>
      <w:proofErr w:type="gramEnd"/>
      <w:r w:rsidRPr="00A6576D">
        <w:rPr>
          <w:lang w:eastAsia="zh-CN"/>
        </w:rPr>
        <w:t xml:space="preserve"> </w:t>
      </w:r>
      <w:r w:rsidR="00405DFE" w:rsidRPr="00A6576D">
        <w:rPr>
          <w:i/>
          <w:lang w:eastAsia="zh-CN"/>
        </w:rPr>
        <w:t>T</w:t>
      </w:r>
      <w:r w:rsidR="00405DFE" w:rsidRPr="00A6576D">
        <w:rPr>
          <w:bCs/>
          <w:i/>
        </w:rPr>
        <w:t xml:space="preserve">echnical guidelines on the environmentally sound management of wastes consisting of, containing or contaminated with the pesticides </w:t>
      </w:r>
      <w:proofErr w:type="spellStart"/>
      <w:r w:rsidR="00405DFE" w:rsidRPr="00A6576D">
        <w:rPr>
          <w:bCs/>
          <w:i/>
        </w:rPr>
        <w:t>aldrin</w:t>
      </w:r>
      <w:proofErr w:type="spellEnd"/>
      <w:r w:rsidR="00405DFE" w:rsidRPr="00A6576D">
        <w:rPr>
          <w:bCs/>
          <w:i/>
        </w:rPr>
        <w:t xml:space="preserve">, alpha </w:t>
      </w:r>
      <w:proofErr w:type="spellStart"/>
      <w:r w:rsidR="00405DFE" w:rsidRPr="00A6576D">
        <w:rPr>
          <w:bCs/>
          <w:i/>
        </w:rPr>
        <w:t>hexachlorocyclohexane</w:t>
      </w:r>
      <w:proofErr w:type="spellEnd"/>
      <w:r w:rsidR="00405DFE" w:rsidRPr="00A6576D">
        <w:rPr>
          <w:bCs/>
          <w:i/>
        </w:rPr>
        <w:t xml:space="preserve">, beta </w:t>
      </w:r>
      <w:proofErr w:type="spellStart"/>
      <w:r w:rsidR="00405DFE" w:rsidRPr="00A6576D">
        <w:rPr>
          <w:bCs/>
          <w:i/>
        </w:rPr>
        <w:t>hexachlorocyclohexane</w:t>
      </w:r>
      <w:proofErr w:type="spellEnd"/>
      <w:r w:rsidR="00405DFE" w:rsidRPr="00A6576D">
        <w:rPr>
          <w:bCs/>
          <w:i/>
        </w:rPr>
        <w:t xml:space="preserve">, chlordane, </w:t>
      </w:r>
      <w:proofErr w:type="spellStart"/>
      <w:r w:rsidR="00405DFE" w:rsidRPr="00A6576D">
        <w:rPr>
          <w:bCs/>
          <w:i/>
        </w:rPr>
        <w:t>chlordecone</w:t>
      </w:r>
      <w:proofErr w:type="spellEnd"/>
      <w:r w:rsidR="00405DFE" w:rsidRPr="00A6576D">
        <w:rPr>
          <w:bCs/>
          <w:i/>
        </w:rPr>
        <w:t xml:space="preserve">, </w:t>
      </w:r>
      <w:proofErr w:type="spellStart"/>
      <w:r w:rsidR="00405DFE" w:rsidRPr="00A6576D">
        <w:rPr>
          <w:bCs/>
          <w:i/>
        </w:rPr>
        <w:t>dieldrin</w:t>
      </w:r>
      <w:proofErr w:type="spellEnd"/>
      <w:r w:rsidR="00405DFE" w:rsidRPr="00A6576D">
        <w:rPr>
          <w:bCs/>
          <w:i/>
        </w:rPr>
        <w:t xml:space="preserve">, </w:t>
      </w:r>
      <w:proofErr w:type="spellStart"/>
      <w:r w:rsidR="00405DFE" w:rsidRPr="00A6576D">
        <w:rPr>
          <w:bCs/>
          <w:i/>
        </w:rPr>
        <w:t>endrin</w:t>
      </w:r>
      <w:proofErr w:type="spellEnd"/>
      <w:r w:rsidR="00405DFE" w:rsidRPr="00A6576D">
        <w:rPr>
          <w:bCs/>
          <w:i/>
        </w:rPr>
        <w:t xml:space="preserve">, heptachlor, </w:t>
      </w:r>
      <w:proofErr w:type="spellStart"/>
      <w:r w:rsidR="00405DFE" w:rsidRPr="00A6576D">
        <w:rPr>
          <w:bCs/>
          <w:i/>
        </w:rPr>
        <w:t>hexachlorobenzene</w:t>
      </w:r>
      <w:proofErr w:type="spellEnd"/>
      <w:r w:rsidR="00405DFE" w:rsidRPr="00A6576D">
        <w:rPr>
          <w:bCs/>
          <w:i/>
        </w:rPr>
        <w:t xml:space="preserve">, </w:t>
      </w:r>
      <w:proofErr w:type="spellStart"/>
      <w:r w:rsidR="00405DFE" w:rsidRPr="00A6576D">
        <w:rPr>
          <w:bCs/>
          <w:i/>
        </w:rPr>
        <w:t>lindane</w:t>
      </w:r>
      <w:proofErr w:type="spellEnd"/>
      <w:r w:rsidR="00405DFE" w:rsidRPr="00A6576D">
        <w:rPr>
          <w:bCs/>
          <w:i/>
        </w:rPr>
        <w:t xml:space="preserve">, </w:t>
      </w:r>
      <w:proofErr w:type="spellStart"/>
      <w:r w:rsidR="00405DFE" w:rsidRPr="00A6576D">
        <w:rPr>
          <w:bCs/>
          <w:i/>
        </w:rPr>
        <w:t>mirex</w:t>
      </w:r>
      <w:proofErr w:type="spellEnd"/>
      <w:r w:rsidR="00405DFE" w:rsidRPr="00A6576D">
        <w:rPr>
          <w:bCs/>
          <w:i/>
        </w:rPr>
        <w:t xml:space="preserve">, </w:t>
      </w:r>
      <w:proofErr w:type="spellStart"/>
      <w:r w:rsidR="00405DFE" w:rsidRPr="00A6576D">
        <w:rPr>
          <w:bCs/>
          <w:i/>
        </w:rPr>
        <w:t>pentachlorobenzene</w:t>
      </w:r>
      <w:proofErr w:type="spellEnd"/>
      <w:r w:rsidR="00405DFE" w:rsidRPr="00A6576D">
        <w:rPr>
          <w:bCs/>
          <w:i/>
        </w:rPr>
        <w:t xml:space="preserve">, </w:t>
      </w:r>
      <w:proofErr w:type="spellStart"/>
      <w:r w:rsidR="00405DFE" w:rsidRPr="00A6576D">
        <w:rPr>
          <w:bCs/>
          <w:i/>
        </w:rPr>
        <w:t>perfluorooctane</w:t>
      </w:r>
      <w:proofErr w:type="spellEnd"/>
      <w:r w:rsidR="00405DFE" w:rsidRPr="00A6576D">
        <w:rPr>
          <w:bCs/>
          <w:i/>
        </w:rPr>
        <w:t xml:space="preserve"> </w:t>
      </w:r>
      <w:proofErr w:type="spellStart"/>
      <w:r w:rsidR="00405DFE" w:rsidRPr="00A6576D">
        <w:rPr>
          <w:bCs/>
          <w:i/>
        </w:rPr>
        <w:t>sulfonic</w:t>
      </w:r>
      <w:proofErr w:type="spellEnd"/>
      <w:r w:rsidR="00405DFE" w:rsidRPr="00A6576D">
        <w:rPr>
          <w:bCs/>
          <w:i/>
        </w:rPr>
        <w:t xml:space="preserve"> acid, technical </w:t>
      </w:r>
      <w:proofErr w:type="spellStart"/>
      <w:r w:rsidR="00405DFE" w:rsidRPr="00A6576D">
        <w:rPr>
          <w:bCs/>
          <w:i/>
        </w:rPr>
        <w:t>endosulfan</w:t>
      </w:r>
      <w:proofErr w:type="spellEnd"/>
      <w:r w:rsidR="00405DFE" w:rsidRPr="00A6576D">
        <w:rPr>
          <w:bCs/>
          <w:i/>
        </w:rPr>
        <w:t xml:space="preserve"> and its related isomers or  </w:t>
      </w:r>
      <w:proofErr w:type="spellStart"/>
      <w:r w:rsidR="00405DFE" w:rsidRPr="00A6576D">
        <w:rPr>
          <w:bCs/>
          <w:i/>
        </w:rPr>
        <w:t>toxaphene</w:t>
      </w:r>
      <w:proofErr w:type="spellEnd"/>
      <w:r w:rsidR="00405DFE" w:rsidRPr="00A6576D">
        <w:rPr>
          <w:bCs/>
          <w:i/>
        </w:rPr>
        <w:t xml:space="preserve"> or with </w:t>
      </w:r>
      <w:proofErr w:type="spellStart"/>
      <w:r w:rsidR="00405DFE" w:rsidRPr="00A6576D">
        <w:rPr>
          <w:bCs/>
          <w:i/>
        </w:rPr>
        <w:t>hexachlorobenzene</w:t>
      </w:r>
      <w:proofErr w:type="spellEnd"/>
      <w:r w:rsidR="00405DFE" w:rsidRPr="00A6576D">
        <w:rPr>
          <w:bCs/>
          <w:i/>
        </w:rPr>
        <w:t xml:space="preserve"> as an industrial chemical</w:t>
      </w:r>
      <w:r w:rsidRPr="00A6576D">
        <w:rPr>
          <w:bCs/>
        </w:rPr>
        <w:t>.</w:t>
      </w:r>
    </w:p>
    <w:p w:rsidR="001A1011" w:rsidRPr="0064724F" w:rsidRDefault="00405DFE" w:rsidP="001A1011">
      <w:pPr>
        <w:autoSpaceDE w:val="0"/>
        <w:autoSpaceDN w:val="0"/>
        <w:adjustRightInd w:val="0"/>
        <w:spacing w:after="120"/>
        <w:ind w:left="1276"/>
        <w:rPr>
          <w:bCs/>
          <w:i/>
          <w:highlight w:val="cyan"/>
        </w:rPr>
      </w:pPr>
      <w:proofErr w:type="gramStart"/>
      <w:r w:rsidRPr="00A6576D">
        <w:rPr>
          <w:bCs/>
        </w:rPr>
        <w:t>UNEP, 2015</w:t>
      </w:r>
      <w:r w:rsidR="00AD0A0A" w:rsidRPr="00A6576D">
        <w:rPr>
          <w:bCs/>
        </w:rPr>
        <w:t>d</w:t>
      </w:r>
      <w:r w:rsidRPr="00A6576D">
        <w:rPr>
          <w:bCs/>
        </w:rPr>
        <w:t>.</w:t>
      </w:r>
      <w:proofErr w:type="gramEnd"/>
      <w:r w:rsidRPr="00A6576D">
        <w:rPr>
          <w:bCs/>
        </w:rPr>
        <w:t xml:space="preserve"> </w:t>
      </w:r>
      <w:r w:rsidR="0064724F" w:rsidRPr="00A6576D">
        <w:rPr>
          <w:i/>
        </w:rPr>
        <w:t>T</w:t>
      </w:r>
      <w:proofErr w:type="spellStart"/>
      <w:r w:rsidR="0064724F" w:rsidRPr="00A6576D">
        <w:rPr>
          <w:i/>
          <w:lang w:val="en-US"/>
        </w:rPr>
        <w:t>echnical</w:t>
      </w:r>
      <w:proofErr w:type="spellEnd"/>
      <w:r w:rsidR="0064724F" w:rsidRPr="00A6576D">
        <w:rPr>
          <w:i/>
        </w:rPr>
        <w:t xml:space="preserve"> </w:t>
      </w:r>
      <w:r w:rsidR="0064724F" w:rsidRPr="00A6576D">
        <w:rPr>
          <w:i/>
          <w:lang w:val="en-US"/>
        </w:rPr>
        <w:t>guidelines</w:t>
      </w:r>
      <w:r w:rsidR="0064724F" w:rsidRPr="00A6576D">
        <w:rPr>
          <w:i/>
        </w:rPr>
        <w:t xml:space="preserve"> on the environmentally sound management of wastes containing or contaminated with unintentionally</w:t>
      </w:r>
      <w:r w:rsidR="0064724F" w:rsidRPr="0064724F">
        <w:rPr>
          <w:i/>
        </w:rPr>
        <w:t xml:space="preserve"> produced polychlorinated </w:t>
      </w:r>
      <w:proofErr w:type="spellStart"/>
      <w:r w:rsidR="0064724F" w:rsidRPr="0064724F">
        <w:rPr>
          <w:i/>
        </w:rPr>
        <w:t>dibenzo</w:t>
      </w:r>
      <w:proofErr w:type="spellEnd"/>
      <w:r w:rsidR="0064724F" w:rsidRPr="0064724F">
        <w:rPr>
          <w:i/>
        </w:rPr>
        <w:t xml:space="preserve">-p-dioxins, polychlorinated </w:t>
      </w:r>
      <w:proofErr w:type="spellStart"/>
      <w:r w:rsidR="0064724F" w:rsidRPr="0064724F">
        <w:rPr>
          <w:i/>
        </w:rPr>
        <w:t>dibenzofurans</w:t>
      </w:r>
      <w:proofErr w:type="spellEnd"/>
      <w:r w:rsidR="0064724F" w:rsidRPr="0064724F">
        <w:rPr>
          <w:i/>
        </w:rPr>
        <w:t xml:space="preserve">, </w:t>
      </w:r>
      <w:proofErr w:type="spellStart"/>
      <w:r w:rsidR="0064724F" w:rsidRPr="0064724F">
        <w:rPr>
          <w:i/>
        </w:rPr>
        <w:t>hexachlorobenzene</w:t>
      </w:r>
      <w:proofErr w:type="spellEnd"/>
      <w:r w:rsidR="0064724F" w:rsidRPr="0064724F">
        <w:rPr>
          <w:i/>
        </w:rPr>
        <w:t xml:space="preserve">, polychlorinated biphenyls or </w:t>
      </w:r>
      <w:proofErr w:type="spellStart"/>
      <w:r w:rsidR="0064724F" w:rsidRPr="0064724F">
        <w:rPr>
          <w:i/>
        </w:rPr>
        <w:t>pentachlorobenzene</w:t>
      </w:r>
      <w:proofErr w:type="spellEnd"/>
      <w:r w:rsidR="00416FB2">
        <w:rPr>
          <w:i/>
        </w:rPr>
        <w:t>.</w:t>
      </w:r>
    </w:p>
    <w:p w:rsidR="0075027C" w:rsidRDefault="0075027C" w:rsidP="0075027C">
      <w:pPr>
        <w:pStyle w:val="NormalWeb"/>
        <w:ind w:left="1276"/>
        <w:rPr>
          <w:rFonts w:ascii="Times New Roman" w:hAnsi="Times New Roman" w:cs="Times New Roman"/>
          <w:bCs/>
          <w:lang w:val="en-US"/>
        </w:rPr>
      </w:pPr>
      <w:proofErr w:type="gramStart"/>
      <w:r w:rsidRPr="007765E1">
        <w:rPr>
          <w:rFonts w:ascii="Times New Roman" w:hAnsi="Times New Roman" w:cs="Times New Roman"/>
          <w:iCs/>
        </w:rPr>
        <w:t>UNEP, 2015</w:t>
      </w:r>
      <w:r w:rsidR="007D3569">
        <w:rPr>
          <w:rFonts w:ascii="Times New Roman" w:hAnsi="Times New Roman" w:cs="Times New Roman"/>
          <w:iCs/>
        </w:rPr>
        <w:t>e</w:t>
      </w:r>
      <w:r w:rsidRPr="007765E1">
        <w:rPr>
          <w:rFonts w:ascii="Times New Roman" w:hAnsi="Times New Roman" w:cs="Times New Roman"/>
          <w:iCs/>
        </w:rPr>
        <w:t>.</w:t>
      </w:r>
      <w:proofErr w:type="gramEnd"/>
      <w:r w:rsidRPr="007765E1">
        <w:rPr>
          <w:rFonts w:ascii="Times New Roman" w:hAnsi="Times New Roman" w:cs="Times New Roman"/>
          <w:iCs/>
        </w:rPr>
        <w:t xml:space="preserve"> </w:t>
      </w:r>
      <w:proofErr w:type="gramStart"/>
      <w:r w:rsidR="00405DFE" w:rsidRPr="00405DFE">
        <w:rPr>
          <w:rFonts w:ascii="Times New Roman" w:hAnsi="Times New Roman" w:cs="Times New Roman"/>
          <w:bCs/>
          <w:i/>
        </w:rPr>
        <w:t xml:space="preserve">Technical </w:t>
      </w:r>
      <w:r w:rsidR="00405DFE" w:rsidRPr="00405DFE">
        <w:rPr>
          <w:rFonts w:ascii="Times New Roman" w:hAnsi="Times New Roman" w:cs="Times New Roman"/>
          <w:bCs/>
          <w:i/>
          <w:lang w:val="en-US"/>
        </w:rPr>
        <w:t>guidelines</w:t>
      </w:r>
      <w:r w:rsidR="00405DFE" w:rsidRPr="00405DFE">
        <w:rPr>
          <w:rFonts w:ascii="Times New Roman" w:hAnsi="Times New Roman" w:cs="Times New Roman"/>
          <w:bCs/>
          <w:i/>
        </w:rPr>
        <w:t xml:space="preserve"> on the environmentally sound management of wastes consisting of, containing or </w:t>
      </w:r>
      <w:r w:rsidR="00405DFE" w:rsidRPr="00405DFE">
        <w:rPr>
          <w:rFonts w:ascii="Times New Roman" w:hAnsi="Times New Roman" w:cs="Times New Roman"/>
          <w:bCs/>
          <w:i/>
          <w:lang w:val="en-US"/>
        </w:rPr>
        <w:t>contaminated</w:t>
      </w:r>
      <w:r w:rsidR="00405DFE" w:rsidRPr="00405DFE">
        <w:rPr>
          <w:rFonts w:ascii="Times New Roman" w:hAnsi="Times New Roman" w:cs="Times New Roman"/>
          <w:bCs/>
          <w:i/>
        </w:rPr>
        <w:t xml:space="preserve"> with </w:t>
      </w:r>
      <w:proofErr w:type="spellStart"/>
      <w:r w:rsidR="00405DFE" w:rsidRPr="00405DFE">
        <w:rPr>
          <w:rFonts w:ascii="Times New Roman" w:hAnsi="Times New Roman" w:cs="Times New Roman"/>
          <w:bCs/>
          <w:i/>
        </w:rPr>
        <w:t>hexabromodiphenyl</w:t>
      </w:r>
      <w:proofErr w:type="spellEnd"/>
      <w:r w:rsidR="00405DFE" w:rsidRPr="00405DFE">
        <w:rPr>
          <w:rFonts w:ascii="Times New Roman" w:hAnsi="Times New Roman" w:cs="Times New Roman"/>
          <w:bCs/>
          <w:i/>
        </w:rPr>
        <w:t xml:space="preserve"> ether and</w:t>
      </w:r>
      <w:r w:rsidR="00405DFE" w:rsidRPr="00405DFE">
        <w:rPr>
          <w:rFonts w:ascii="Times New Roman" w:hAnsi="Times New Roman" w:cs="Times New Roman"/>
          <w:bCs/>
          <w:i/>
          <w:lang w:val="en-US"/>
        </w:rPr>
        <w:t xml:space="preserve"> </w:t>
      </w:r>
      <w:proofErr w:type="spellStart"/>
      <w:r w:rsidR="00405DFE" w:rsidRPr="00405DFE">
        <w:rPr>
          <w:rFonts w:ascii="Times New Roman" w:hAnsi="Times New Roman" w:cs="Times New Roman"/>
          <w:bCs/>
          <w:i/>
        </w:rPr>
        <w:t>heptabromodiphenyl</w:t>
      </w:r>
      <w:proofErr w:type="spellEnd"/>
      <w:r w:rsidR="00405DFE" w:rsidRPr="00405DFE">
        <w:rPr>
          <w:rFonts w:ascii="Times New Roman" w:hAnsi="Times New Roman" w:cs="Times New Roman"/>
          <w:bCs/>
          <w:i/>
        </w:rPr>
        <w:t xml:space="preserve"> ether, or </w:t>
      </w:r>
      <w:proofErr w:type="spellStart"/>
      <w:r w:rsidR="00405DFE" w:rsidRPr="00405DFE">
        <w:rPr>
          <w:rFonts w:ascii="Times New Roman" w:hAnsi="Times New Roman" w:cs="Times New Roman"/>
          <w:bCs/>
          <w:i/>
        </w:rPr>
        <w:t>tetrabromodiphenyl</w:t>
      </w:r>
      <w:proofErr w:type="spellEnd"/>
      <w:r w:rsidR="00405DFE" w:rsidRPr="00405DFE">
        <w:rPr>
          <w:rFonts w:ascii="Times New Roman" w:hAnsi="Times New Roman" w:cs="Times New Roman"/>
          <w:bCs/>
          <w:i/>
        </w:rPr>
        <w:t xml:space="preserve"> ether and </w:t>
      </w:r>
      <w:proofErr w:type="spellStart"/>
      <w:r w:rsidR="00405DFE" w:rsidRPr="00405DFE">
        <w:rPr>
          <w:rFonts w:ascii="Times New Roman" w:hAnsi="Times New Roman" w:cs="Times New Roman"/>
          <w:bCs/>
          <w:i/>
        </w:rPr>
        <w:t>pentabromodiphenyl</w:t>
      </w:r>
      <w:proofErr w:type="spellEnd"/>
      <w:r w:rsidR="00405DFE" w:rsidRPr="00405DFE">
        <w:rPr>
          <w:rFonts w:ascii="Times New Roman" w:hAnsi="Times New Roman" w:cs="Times New Roman"/>
          <w:bCs/>
          <w:i/>
        </w:rPr>
        <w:t xml:space="preserve"> ether</w:t>
      </w:r>
      <w:r>
        <w:rPr>
          <w:rFonts w:ascii="Times New Roman" w:hAnsi="Times New Roman" w:cs="Times New Roman"/>
          <w:bCs/>
        </w:rPr>
        <w:t>.</w:t>
      </w:r>
      <w:proofErr w:type="gramEnd"/>
      <w:r w:rsidRPr="007765E1">
        <w:rPr>
          <w:rFonts w:ascii="Times New Roman" w:hAnsi="Times New Roman" w:cs="Times New Roman"/>
          <w:bCs/>
          <w:lang w:val="en-US"/>
        </w:rPr>
        <w:t xml:space="preserve"> </w:t>
      </w:r>
    </w:p>
    <w:p w:rsidR="0075027C" w:rsidRPr="007765E1" w:rsidRDefault="0075027C" w:rsidP="0075027C">
      <w:pPr>
        <w:pStyle w:val="NormalWeb"/>
        <w:ind w:left="1276"/>
        <w:rPr>
          <w:rFonts w:ascii="Times New Roman" w:hAnsi="Times New Roman" w:cs="Times New Roman"/>
        </w:rPr>
      </w:pPr>
      <w:proofErr w:type="gramStart"/>
      <w:r w:rsidRPr="007765E1">
        <w:rPr>
          <w:rFonts w:ascii="Times New Roman" w:hAnsi="Times New Roman" w:cs="Times New Roman"/>
          <w:bCs/>
        </w:rPr>
        <w:t>UNEP, 2015</w:t>
      </w:r>
      <w:r w:rsidR="007D3569">
        <w:rPr>
          <w:rFonts w:ascii="Times New Roman" w:hAnsi="Times New Roman" w:cs="Times New Roman"/>
          <w:bCs/>
        </w:rPr>
        <w:t>f</w:t>
      </w:r>
      <w:r w:rsidRPr="007765E1">
        <w:rPr>
          <w:rFonts w:ascii="Times New Roman" w:hAnsi="Times New Roman" w:cs="Times New Roman"/>
          <w:bCs/>
        </w:rPr>
        <w:t>.</w:t>
      </w:r>
      <w:proofErr w:type="gramEnd"/>
      <w:r w:rsidRPr="007765E1">
        <w:rPr>
          <w:rFonts w:ascii="Times New Roman" w:hAnsi="Times New Roman" w:cs="Times New Roman"/>
          <w:bCs/>
        </w:rPr>
        <w:t xml:space="preserve"> </w:t>
      </w:r>
      <w:proofErr w:type="gramStart"/>
      <w:r w:rsidR="00405DFE" w:rsidRPr="00405DFE">
        <w:rPr>
          <w:rFonts w:ascii="Times New Roman" w:hAnsi="Times New Roman" w:cs="Times New Roman"/>
          <w:bCs/>
          <w:i/>
        </w:rPr>
        <w:t xml:space="preserve">Technical </w:t>
      </w:r>
      <w:r w:rsidR="00405DFE" w:rsidRPr="00405DFE">
        <w:rPr>
          <w:rFonts w:ascii="Times New Roman" w:hAnsi="Times New Roman" w:cs="Times New Roman"/>
          <w:bCs/>
          <w:i/>
          <w:lang w:val="en-US"/>
        </w:rPr>
        <w:t>guidelines</w:t>
      </w:r>
      <w:r w:rsidR="00405DFE" w:rsidRPr="00405DFE">
        <w:rPr>
          <w:rFonts w:ascii="Times New Roman" w:hAnsi="Times New Roman" w:cs="Times New Roman"/>
          <w:bCs/>
          <w:i/>
        </w:rPr>
        <w:t xml:space="preserve"> </w:t>
      </w:r>
      <w:r w:rsidR="00405DFE" w:rsidRPr="00405DFE">
        <w:rPr>
          <w:rFonts w:ascii="Times New Roman" w:hAnsi="Times New Roman" w:cs="Times New Roman"/>
          <w:bCs/>
          <w:i/>
          <w:lang w:val="en-US"/>
        </w:rPr>
        <w:t>on</w:t>
      </w:r>
      <w:r w:rsidR="00405DFE" w:rsidRPr="00405DFE">
        <w:rPr>
          <w:rFonts w:ascii="Times New Roman" w:hAnsi="Times New Roman" w:cs="Times New Roman"/>
          <w:bCs/>
          <w:i/>
        </w:rPr>
        <w:t xml:space="preserve"> the environmentally sound management of wastes consisting of, containing or </w:t>
      </w:r>
      <w:r w:rsidR="00405DFE" w:rsidRPr="00405DFE">
        <w:rPr>
          <w:rFonts w:ascii="Times New Roman" w:hAnsi="Times New Roman" w:cs="Times New Roman"/>
          <w:bCs/>
          <w:i/>
          <w:lang w:val="en-US"/>
        </w:rPr>
        <w:t>contaminated</w:t>
      </w:r>
      <w:r w:rsidR="00405DFE" w:rsidRPr="00405DFE">
        <w:rPr>
          <w:rFonts w:ascii="Times New Roman" w:hAnsi="Times New Roman" w:cs="Times New Roman"/>
          <w:bCs/>
          <w:i/>
        </w:rPr>
        <w:t xml:space="preserve"> with </w:t>
      </w:r>
      <w:proofErr w:type="spellStart"/>
      <w:r w:rsidR="00405DFE" w:rsidRPr="00405DFE">
        <w:rPr>
          <w:rFonts w:ascii="Times New Roman" w:hAnsi="Times New Roman" w:cs="Times New Roman"/>
          <w:bCs/>
          <w:i/>
        </w:rPr>
        <w:t>hexabromocyclododecane</w:t>
      </w:r>
      <w:proofErr w:type="spellEnd"/>
      <w:r>
        <w:rPr>
          <w:rFonts w:ascii="Times New Roman" w:hAnsi="Times New Roman" w:cs="Times New Roman"/>
          <w:bCs/>
        </w:rPr>
        <w:t>.</w:t>
      </w:r>
      <w:proofErr w:type="gramEnd"/>
    </w:p>
    <w:p w:rsidR="0075027C" w:rsidRDefault="0075027C" w:rsidP="0075027C">
      <w:pPr>
        <w:pStyle w:val="NormalWeb"/>
        <w:ind w:left="1276"/>
        <w:rPr>
          <w:rFonts w:ascii="Times New Roman" w:hAnsi="Times New Roman" w:cs="Times New Roman"/>
          <w:bCs/>
        </w:rPr>
      </w:pPr>
      <w:proofErr w:type="gramStart"/>
      <w:r w:rsidRPr="007765E1">
        <w:rPr>
          <w:rFonts w:ascii="Times New Roman" w:hAnsi="Times New Roman" w:cs="Times New Roman"/>
          <w:bCs/>
        </w:rPr>
        <w:t>UNEP, 2015</w:t>
      </w:r>
      <w:r w:rsidR="007D3569">
        <w:rPr>
          <w:rFonts w:ascii="Times New Roman" w:hAnsi="Times New Roman" w:cs="Times New Roman"/>
          <w:bCs/>
        </w:rPr>
        <w:t>g</w:t>
      </w:r>
      <w:r w:rsidRPr="007765E1">
        <w:rPr>
          <w:rFonts w:ascii="Times New Roman" w:hAnsi="Times New Roman" w:cs="Times New Roman"/>
          <w:bCs/>
        </w:rPr>
        <w:t>.</w:t>
      </w:r>
      <w:proofErr w:type="gramEnd"/>
      <w:r w:rsidR="00CC1131">
        <w:rPr>
          <w:rFonts w:ascii="Times New Roman" w:hAnsi="Times New Roman" w:cs="Times New Roman"/>
          <w:bCs/>
        </w:rPr>
        <w:t xml:space="preserve"> </w:t>
      </w:r>
      <w:r w:rsidR="00405DFE" w:rsidRPr="00405DFE">
        <w:rPr>
          <w:rFonts w:ascii="Times New Roman" w:hAnsi="Times New Roman" w:cs="Times New Roman"/>
          <w:bCs/>
          <w:i/>
        </w:rPr>
        <w:t xml:space="preserve">Technical </w:t>
      </w:r>
      <w:r w:rsidR="00405DFE" w:rsidRPr="00405DFE">
        <w:rPr>
          <w:rFonts w:ascii="Times New Roman" w:hAnsi="Times New Roman" w:cs="Times New Roman"/>
          <w:bCs/>
          <w:i/>
          <w:lang w:val="en-US"/>
        </w:rPr>
        <w:t>guidelines</w:t>
      </w:r>
      <w:r w:rsidR="00405DFE" w:rsidRPr="00405DFE">
        <w:rPr>
          <w:rFonts w:ascii="Times New Roman" w:hAnsi="Times New Roman" w:cs="Times New Roman"/>
          <w:bCs/>
          <w:i/>
        </w:rPr>
        <w:t xml:space="preserve"> on the environmentally sound management of wastes consisting of, containing or contaminated with </w:t>
      </w:r>
      <w:proofErr w:type="spellStart"/>
      <w:r w:rsidR="00405DFE" w:rsidRPr="00405DFE">
        <w:rPr>
          <w:rFonts w:ascii="Times New Roman" w:hAnsi="Times New Roman" w:cs="Times New Roman"/>
          <w:bCs/>
          <w:i/>
        </w:rPr>
        <w:t>perfluorooctane</w:t>
      </w:r>
      <w:proofErr w:type="spellEnd"/>
      <w:r w:rsidR="00405DFE" w:rsidRPr="00405DFE">
        <w:rPr>
          <w:rFonts w:ascii="Times New Roman" w:hAnsi="Times New Roman" w:cs="Times New Roman"/>
          <w:bCs/>
          <w:i/>
        </w:rPr>
        <w:t xml:space="preserve"> </w:t>
      </w:r>
      <w:proofErr w:type="spellStart"/>
      <w:r w:rsidR="00405DFE" w:rsidRPr="00405DFE">
        <w:rPr>
          <w:rFonts w:ascii="Times New Roman" w:hAnsi="Times New Roman" w:cs="Times New Roman"/>
          <w:bCs/>
          <w:i/>
        </w:rPr>
        <w:t>sulfonic</w:t>
      </w:r>
      <w:proofErr w:type="spellEnd"/>
      <w:r w:rsidR="00405DFE" w:rsidRPr="00405DFE">
        <w:rPr>
          <w:rFonts w:ascii="Times New Roman" w:hAnsi="Times New Roman" w:cs="Times New Roman"/>
          <w:bCs/>
          <w:i/>
        </w:rPr>
        <w:t xml:space="preserve"> acid, its salts and </w:t>
      </w:r>
      <w:proofErr w:type="spellStart"/>
      <w:r w:rsidR="00405DFE" w:rsidRPr="00405DFE">
        <w:rPr>
          <w:rFonts w:ascii="Times New Roman" w:hAnsi="Times New Roman" w:cs="Times New Roman"/>
          <w:bCs/>
          <w:i/>
        </w:rPr>
        <w:t>perfluorooctane</w:t>
      </w:r>
      <w:proofErr w:type="spellEnd"/>
      <w:r w:rsidR="00405DFE" w:rsidRPr="00405DFE">
        <w:rPr>
          <w:rFonts w:ascii="Times New Roman" w:hAnsi="Times New Roman" w:cs="Times New Roman"/>
          <w:bCs/>
          <w:i/>
        </w:rPr>
        <w:t xml:space="preserve"> </w:t>
      </w:r>
      <w:proofErr w:type="spellStart"/>
      <w:r w:rsidR="00405DFE" w:rsidRPr="00405DFE">
        <w:rPr>
          <w:rFonts w:ascii="Times New Roman" w:hAnsi="Times New Roman" w:cs="Times New Roman"/>
          <w:bCs/>
          <w:i/>
        </w:rPr>
        <w:t>sulfonyl</w:t>
      </w:r>
      <w:proofErr w:type="spellEnd"/>
      <w:r w:rsidR="00405DFE" w:rsidRPr="00405DFE">
        <w:rPr>
          <w:rFonts w:ascii="Times New Roman" w:hAnsi="Times New Roman" w:cs="Times New Roman"/>
          <w:bCs/>
          <w:i/>
        </w:rPr>
        <w:t xml:space="preserve"> fluoride</w:t>
      </w:r>
      <w:r>
        <w:rPr>
          <w:rFonts w:ascii="Times New Roman" w:hAnsi="Times New Roman" w:cs="Times New Roman"/>
          <w:bCs/>
        </w:rPr>
        <w:t>.</w:t>
      </w:r>
    </w:p>
    <w:p w:rsidR="0075027C" w:rsidRDefault="0075027C" w:rsidP="00EF105B">
      <w:pPr>
        <w:spacing w:before="120"/>
        <w:ind w:left="1247"/>
      </w:pPr>
      <w:proofErr w:type="gramStart"/>
      <w:r w:rsidRPr="00812D4B">
        <w:t xml:space="preserve">UNEP, </w:t>
      </w:r>
      <w:r>
        <w:t>2015</w:t>
      </w:r>
      <w:r w:rsidR="007D3569">
        <w:t>h</w:t>
      </w:r>
      <w:r w:rsidRPr="00812D4B">
        <w:t>.</w:t>
      </w:r>
      <w:proofErr w:type="gramEnd"/>
      <w:r w:rsidRPr="00812D4B">
        <w:t xml:space="preserve"> </w:t>
      </w:r>
      <w:proofErr w:type="gramStart"/>
      <w:r w:rsidR="00405DFE" w:rsidRPr="00405DFE">
        <w:rPr>
          <w:i/>
        </w:rPr>
        <w:t>Manual for the Implementation of the Basel Convention</w:t>
      </w:r>
      <w:r w:rsidRPr="00812D4B">
        <w:t>.</w:t>
      </w:r>
      <w:proofErr w:type="gramEnd"/>
      <w:r w:rsidRPr="00812D4B">
        <w:t xml:space="preserve"> Available </w:t>
      </w:r>
      <w:r w:rsidR="00C64D27">
        <w:t>from:</w:t>
      </w:r>
      <w:r w:rsidRPr="00812D4B">
        <w:t xml:space="preserve"> </w:t>
      </w:r>
      <w:hyperlink r:id="rId85" w:history="1">
        <w:r w:rsidRPr="00812D4B">
          <w:rPr>
            <w:rStyle w:val="Hyperlink"/>
          </w:rPr>
          <w:t>www.basel.int</w:t>
        </w:r>
      </w:hyperlink>
      <w:r w:rsidRPr="00812D4B">
        <w:t>.</w:t>
      </w:r>
      <w:r w:rsidR="00C102AB" w:rsidRPr="00C102AB">
        <w:rPr>
          <w:rStyle w:val="FootnoteReference"/>
          <w:sz w:val="18"/>
          <w:vertAlign w:val="baseline"/>
        </w:rPr>
        <w:t xml:space="preserve"> </w:t>
      </w:r>
    </w:p>
    <w:p w:rsidR="0075027C" w:rsidRDefault="0075027C" w:rsidP="0075027C">
      <w:pPr>
        <w:spacing w:before="240" w:after="120"/>
        <w:ind w:left="1260" w:hanging="13"/>
        <w:rPr>
          <w:lang w:val="en-US"/>
        </w:rPr>
      </w:pPr>
      <w:proofErr w:type="gramStart"/>
      <w:r w:rsidRPr="00D12CF3">
        <w:t>UNEP, 2015</w:t>
      </w:r>
      <w:r w:rsidR="007D3569">
        <w:t>i</w:t>
      </w:r>
      <w:r w:rsidRPr="00D12CF3">
        <w:t>.</w:t>
      </w:r>
      <w:proofErr w:type="gramEnd"/>
      <w:r w:rsidRPr="00D12CF3">
        <w:t xml:space="preserve"> </w:t>
      </w:r>
      <w:r w:rsidR="00405DFE" w:rsidRPr="00405DFE">
        <w:rPr>
          <w:i/>
        </w:rPr>
        <w:t>Basel Convention: Guide to the Control System</w:t>
      </w:r>
      <w:r>
        <w:t xml:space="preserve">. </w:t>
      </w:r>
      <w:r w:rsidRPr="00D12CF3">
        <w:t xml:space="preserve">Available </w:t>
      </w:r>
      <w:r w:rsidR="00C64D27">
        <w:t>from:</w:t>
      </w:r>
      <w:r w:rsidRPr="00D12CF3">
        <w:t xml:space="preserve"> </w:t>
      </w:r>
      <w:hyperlink r:id="rId86" w:history="1">
        <w:r w:rsidRPr="00D12CF3">
          <w:rPr>
            <w:rStyle w:val="Hyperlink"/>
          </w:rPr>
          <w:t>www.basel.int</w:t>
        </w:r>
      </w:hyperlink>
      <w:r w:rsidR="00C102AB">
        <w:t>.</w:t>
      </w:r>
      <w:r w:rsidR="00C102AB" w:rsidRPr="00C102AB">
        <w:rPr>
          <w:rStyle w:val="FootnoteReference"/>
          <w:sz w:val="18"/>
          <w:vertAlign w:val="baseline"/>
        </w:rPr>
        <w:t xml:space="preserve"> </w:t>
      </w:r>
    </w:p>
    <w:p w:rsidR="0075027C" w:rsidRPr="00D12CF3" w:rsidRDefault="0075027C" w:rsidP="0075027C">
      <w:pPr>
        <w:spacing w:before="240" w:after="120"/>
        <w:ind w:left="1260" w:hanging="13"/>
        <w:rPr>
          <w:lang w:val="en-US"/>
        </w:rPr>
      </w:pPr>
      <w:proofErr w:type="gramStart"/>
      <w:r>
        <w:rPr>
          <w:lang w:val="en-US"/>
        </w:rPr>
        <w:t>UNEP.</w:t>
      </w:r>
      <w:proofErr w:type="gramEnd"/>
      <w:r>
        <w:rPr>
          <w:lang w:val="en-US"/>
        </w:rPr>
        <w:t xml:space="preserve"> 2015</w:t>
      </w:r>
      <w:r w:rsidR="007D3569">
        <w:rPr>
          <w:lang w:val="en-US"/>
        </w:rPr>
        <w:t>j</w:t>
      </w:r>
      <w:r>
        <w:rPr>
          <w:lang w:val="en-US"/>
        </w:rPr>
        <w:t xml:space="preserve">. </w:t>
      </w:r>
      <w:r w:rsidR="00405DFE" w:rsidRPr="00405DFE">
        <w:rPr>
          <w:i/>
          <w:lang w:val="en-US"/>
        </w:rPr>
        <w:t>Methodological guide for the development of inventories of hazardous wastes and other wastes under the Basel Convention</w:t>
      </w:r>
      <w:r w:rsidRPr="00D12CF3">
        <w:t xml:space="preserve">. Available </w:t>
      </w:r>
      <w:r w:rsidR="003528B1">
        <w:t>from:</w:t>
      </w:r>
      <w:r w:rsidRPr="00D12CF3">
        <w:t xml:space="preserve"> </w:t>
      </w:r>
      <w:hyperlink r:id="rId87" w:history="1">
        <w:r w:rsidRPr="00D12CF3">
          <w:rPr>
            <w:rStyle w:val="Hyperlink"/>
          </w:rPr>
          <w:t>www.basel.int</w:t>
        </w:r>
      </w:hyperlink>
      <w:r w:rsidRPr="00D12CF3">
        <w:t>.</w:t>
      </w:r>
    </w:p>
    <w:p w:rsidR="00890CDD" w:rsidRDefault="00890CDD">
      <w:pPr>
        <w:autoSpaceDE w:val="0"/>
        <w:autoSpaceDN w:val="0"/>
        <w:adjustRightInd w:val="0"/>
        <w:spacing w:after="120"/>
        <w:ind w:left="1247"/>
        <w:rPr>
          <w:lang w:val="en-US"/>
        </w:rPr>
      </w:pPr>
      <w:proofErr w:type="gramStart"/>
      <w:r w:rsidRPr="00812D4B">
        <w:t>UNIDO, 2007.</w:t>
      </w:r>
      <w:proofErr w:type="gramEnd"/>
      <w:r w:rsidRPr="00812D4B">
        <w:rPr>
          <w:lang w:val="en-US"/>
        </w:rPr>
        <w:t xml:space="preserve"> </w:t>
      </w:r>
      <w:r w:rsidR="00405DFE" w:rsidRPr="00405DFE">
        <w:rPr>
          <w:i/>
          <w:lang w:val="en-US"/>
        </w:rPr>
        <w:t>Non-combustion Technologies for POPs Destruction: Review and Evaluation</w:t>
      </w:r>
      <w:r w:rsidRPr="00812D4B">
        <w:rPr>
          <w:lang w:val="en-US"/>
        </w:rPr>
        <w:t>. Available at</w:t>
      </w:r>
      <w:r w:rsidR="003528B1">
        <w:rPr>
          <w:lang w:val="en-US"/>
        </w:rPr>
        <w:t>:</w:t>
      </w:r>
      <w:r w:rsidRPr="00812D4B">
        <w:rPr>
          <w:lang w:val="en-US"/>
        </w:rPr>
        <w:t xml:space="preserve"> </w:t>
      </w:r>
      <w:r w:rsidR="008C3C71" w:rsidRPr="008C3C71">
        <w:t xml:space="preserve"> </w:t>
      </w:r>
      <w:hyperlink r:id="rId88" w:history="1">
        <w:r w:rsidR="008C3C71" w:rsidRPr="006159F8">
          <w:rPr>
            <w:rStyle w:val="Hyperlink"/>
            <w:lang w:val="en-US"/>
          </w:rPr>
          <w:t>https://institute.unido.org/wp-content/uploads/2014/11/23.-Non-combustion-Technologies-for-POPs-Destruction-Review-and-Evaluation.pdf</w:t>
        </w:r>
      </w:hyperlink>
      <w:r w:rsidR="008C3C71">
        <w:t xml:space="preserve">. </w:t>
      </w:r>
    </w:p>
    <w:p w:rsidR="00890CDD" w:rsidRDefault="00FA42EF" w:rsidP="0088229A">
      <w:pPr>
        <w:spacing w:after="120"/>
        <w:ind w:left="1247"/>
      </w:pPr>
      <w:proofErr w:type="gramStart"/>
      <w:r w:rsidRPr="00FA42EF">
        <w:t>UNIDO, 2010.</w:t>
      </w:r>
      <w:proofErr w:type="gramEnd"/>
      <w:r w:rsidRPr="00FA42EF">
        <w:t xml:space="preserve"> </w:t>
      </w:r>
      <w:r w:rsidR="00405DFE" w:rsidRPr="00405DFE">
        <w:rPr>
          <w:i/>
        </w:rPr>
        <w:t xml:space="preserve">Persistent </w:t>
      </w:r>
      <w:r w:rsidR="00F67879">
        <w:rPr>
          <w:i/>
        </w:rPr>
        <w:t>o</w:t>
      </w:r>
      <w:r w:rsidR="00405DFE" w:rsidRPr="00405DFE">
        <w:rPr>
          <w:i/>
        </w:rPr>
        <w:t xml:space="preserve">rganic </w:t>
      </w:r>
      <w:r w:rsidR="008C3C71">
        <w:rPr>
          <w:i/>
        </w:rPr>
        <w:t>p</w:t>
      </w:r>
      <w:r w:rsidR="00405DFE" w:rsidRPr="00405DFE">
        <w:rPr>
          <w:i/>
        </w:rPr>
        <w:t>ollutant</w:t>
      </w:r>
      <w:r w:rsidR="00F67879">
        <w:rPr>
          <w:i/>
        </w:rPr>
        <w:t>s:</w:t>
      </w:r>
      <w:r w:rsidR="00405DFE" w:rsidRPr="00405DFE">
        <w:rPr>
          <w:i/>
        </w:rPr>
        <w:t xml:space="preserve"> contaminated site investigation and management toolkit</w:t>
      </w:r>
      <w:r w:rsidR="00890CDD">
        <w:t xml:space="preserve">. </w:t>
      </w:r>
      <w:r w:rsidR="003528B1">
        <w:t>Available from:</w:t>
      </w:r>
      <w:r w:rsidR="00890CDD">
        <w:t xml:space="preserve"> </w:t>
      </w:r>
      <w:hyperlink r:id="rId89" w:history="1">
        <w:r w:rsidR="00890CDD" w:rsidRPr="008E124C">
          <w:rPr>
            <w:rStyle w:val="Hyperlink"/>
          </w:rPr>
          <w:t>http://www.unido.org/index.php?id=1001169</w:t>
        </w:r>
      </w:hyperlink>
      <w:r w:rsidR="00F67879">
        <w:rPr>
          <w:rStyle w:val="Hyperlink"/>
        </w:rPr>
        <w:t>.</w:t>
      </w:r>
    </w:p>
    <w:p w:rsidR="00890CDD" w:rsidRDefault="00890CDD">
      <w:pPr>
        <w:spacing w:after="120"/>
        <w:ind w:left="1247"/>
        <w:rPr>
          <w:rStyle w:val="Hyperlink"/>
        </w:rPr>
      </w:pPr>
      <w:proofErr w:type="gramStart"/>
      <w:r w:rsidRPr="00812D4B">
        <w:t>United States Army Corps of Engineers, 2003.</w:t>
      </w:r>
      <w:proofErr w:type="gramEnd"/>
      <w:r w:rsidRPr="00812D4B">
        <w:t xml:space="preserve"> </w:t>
      </w:r>
      <w:r w:rsidR="00405DFE" w:rsidRPr="00405DFE">
        <w:rPr>
          <w:i/>
        </w:rPr>
        <w:t>Safety and Health Aspects of HTRW Remediation Technologies</w:t>
      </w:r>
      <w:r w:rsidR="00F67879">
        <w:rPr>
          <w:i/>
        </w:rPr>
        <w:t>: Engineer Manual</w:t>
      </w:r>
      <w:r w:rsidRPr="00812D4B">
        <w:t>. Available at</w:t>
      </w:r>
      <w:r w:rsidR="003528B1">
        <w:t>:</w:t>
      </w:r>
      <w:r w:rsidRPr="00812D4B">
        <w:t xml:space="preserve"> </w:t>
      </w:r>
      <w:hyperlink r:id="rId90" w:history="1">
        <w:r w:rsidRPr="00812D4B">
          <w:rPr>
            <w:rStyle w:val="Hyperlink"/>
          </w:rPr>
          <w:t>http://140.194.76.129/publications/eng-manuals/EM_1110-1-4007_sec/EM_1110-1-4007.pdf</w:t>
        </w:r>
      </w:hyperlink>
    </w:p>
    <w:p w:rsidR="00890CDD" w:rsidRDefault="00890CDD">
      <w:pPr>
        <w:spacing w:after="120"/>
        <w:ind w:left="1247"/>
      </w:pPr>
      <w:proofErr w:type="spellStart"/>
      <w:r w:rsidRPr="00812D4B">
        <w:t>Vijgen</w:t>
      </w:r>
      <w:proofErr w:type="spellEnd"/>
      <w:r w:rsidRPr="00812D4B">
        <w:t xml:space="preserve">, J., 2002. </w:t>
      </w:r>
      <w:r w:rsidR="00063DB9">
        <w:t>“</w:t>
      </w:r>
      <w:r w:rsidRPr="00812D4B">
        <w:t>NATO/CCMS Pilot Study: Evaluation of Demonstrated and Emerging Technologies for the Treatment of Contaminated Land and Groundwater</w:t>
      </w:r>
      <w:r w:rsidR="00063DB9">
        <w:t>.”</w:t>
      </w:r>
      <w:r w:rsidR="00063DB9" w:rsidRPr="00812D4B">
        <w:t xml:space="preserve"> </w:t>
      </w:r>
      <w:r w:rsidRPr="00812D4B">
        <w:t>Available at</w:t>
      </w:r>
      <w:r w:rsidR="003528B1">
        <w:t>:</w:t>
      </w:r>
      <w:r w:rsidRPr="00812D4B">
        <w:t xml:space="preserve"> https://www.clu-in.org/download/partner/2001annualreport.pdf.</w:t>
      </w:r>
    </w:p>
    <w:p w:rsidR="000E79E2" w:rsidRDefault="00890CDD">
      <w:pPr>
        <w:spacing w:after="120"/>
        <w:ind w:left="1247"/>
      </w:pPr>
      <w:r w:rsidRPr="006A038A">
        <w:rPr>
          <w:bCs/>
        </w:rPr>
        <w:t xml:space="preserve">Weber, Roland, 2004. </w:t>
      </w:r>
      <w:r w:rsidR="00063DB9">
        <w:rPr>
          <w:bCs/>
        </w:rPr>
        <w:t>“</w:t>
      </w:r>
      <w:r w:rsidRPr="006A038A">
        <w:t>Relevance of PCDD/PCDF Formation for the Evaluation of POPs Destruction Technologies – Necessity and Current Status</w:t>
      </w:r>
      <w:r w:rsidR="00063DB9">
        <w:t>”,</w:t>
      </w:r>
      <w:r w:rsidR="00063DB9" w:rsidRPr="006A038A">
        <w:t xml:space="preserve"> </w:t>
      </w:r>
      <w:proofErr w:type="spellStart"/>
      <w:r w:rsidR="00405DFE" w:rsidRPr="00405DFE">
        <w:rPr>
          <w:i/>
        </w:rPr>
        <w:t>Organohalogen</w:t>
      </w:r>
      <w:proofErr w:type="spellEnd"/>
      <w:r w:rsidR="00405DFE" w:rsidRPr="00405DFE">
        <w:rPr>
          <w:i/>
        </w:rPr>
        <w:t xml:space="preserve"> Compounds</w:t>
      </w:r>
      <w:r w:rsidR="00063DB9">
        <w:t>, vol.</w:t>
      </w:r>
      <w:r w:rsidR="00063DB9" w:rsidRPr="006A038A">
        <w:t xml:space="preserve"> </w:t>
      </w:r>
      <w:r w:rsidRPr="006A038A">
        <w:t>66</w:t>
      </w:r>
      <w:r w:rsidR="00063DB9">
        <w:t>, pp.</w:t>
      </w:r>
      <w:r w:rsidR="00063DB9" w:rsidRPr="006A038A">
        <w:t xml:space="preserve"> </w:t>
      </w:r>
      <w:r w:rsidRPr="006A038A">
        <w:t>1282–1288.</w:t>
      </w:r>
    </w:p>
    <w:p w:rsidR="00890CDD" w:rsidRDefault="00890CDD">
      <w:pPr>
        <w:spacing w:after="120"/>
        <w:ind w:left="1247"/>
      </w:pPr>
      <w:proofErr w:type="gramStart"/>
      <w:r w:rsidRPr="00812D4B">
        <w:t>WHO, 1995.</w:t>
      </w:r>
      <w:proofErr w:type="gramEnd"/>
      <w:r w:rsidRPr="00812D4B">
        <w:t xml:space="preserve"> </w:t>
      </w:r>
      <w:r w:rsidR="00405DFE" w:rsidRPr="00405DFE">
        <w:rPr>
          <w:i/>
        </w:rPr>
        <w:t>Global Strategy on Occupational Health for All</w:t>
      </w:r>
      <w:r w:rsidR="00063DB9">
        <w:rPr>
          <w:i/>
        </w:rPr>
        <w:t>:</w:t>
      </w:r>
      <w:r w:rsidR="00405DFE" w:rsidRPr="00405DFE">
        <w:rPr>
          <w:i/>
        </w:rPr>
        <w:t xml:space="preserve"> The Way to Health at Work</w:t>
      </w:r>
      <w:r w:rsidRPr="00812D4B">
        <w:t>. Available at</w:t>
      </w:r>
      <w:r w:rsidR="003528B1">
        <w:t>:</w:t>
      </w:r>
      <w:r w:rsidRPr="00812D4B">
        <w:t xml:space="preserve"> http://www.who.int/occupational_health/globstrategy/en/.</w:t>
      </w:r>
    </w:p>
    <w:p w:rsidR="00890CDD" w:rsidRDefault="00890CDD">
      <w:pPr>
        <w:keepLines/>
        <w:spacing w:after="120"/>
        <w:ind w:left="1247"/>
      </w:pPr>
      <w:proofErr w:type="gramStart"/>
      <w:r w:rsidRPr="00812D4B">
        <w:rPr>
          <w:lang w:eastAsia="en-CA"/>
        </w:rPr>
        <w:t>WHO</w:t>
      </w:r>
      <w:proofErr w:type="gramEnd"/>
      <w:r w:rsidRPr="00812D4B">
        <w:rPr>
          <w:lang w:eastAsia="en-CA"/>
        </w:rPr>
        <w:t xml:space="preserve"> International Programme on Chemical Safety, 1995. </w:t>
      </w:r>
      <w:r w:rsidR="00405DFE" w:rsidRPr="00405DFE">
        <w:rPr>
          <w:i/>
          <w:lang w:eastAsia="en-CA"/>
        </w:rPr>
        <w:t xml:space="preserve">A Review of the Persistent Organic Pollutants – An Assessment Report on: DDT, </w:t>
      </w:r>
      <w:proofErr w:type="spellStart"/>
      <w:r w:rsidR="00405DFE" w:rsidRPr="00405DFE">
        <w:rPr>
          <w:i/>
          <w:lang w:eastAsia="en-CA"/>
        </w:rPr>
        <w:t>Aldrin</w:t>
      </w:r>
      <w:proofErr w:type="spellEnd"/>
      <w:r w:rsidR="00405DFE" w:rsidRPr="00405DFE">
        <w:rPr>
          <w:i/>
          <w:lang w:eastAsia="en-CA"/>
        </w:rPr>
        <w:t xml:space="preserve">, </w:t>
      </w:r>
      <w:proofErr w:type="spellStart"/>
      <w:r w:rsidR="00405DFE" w:rsidRPr="00405DFE">
        <w:rPr>
          <w:i/>
          <w:lang w:eastAsia="en-CA"/>
        </w:rPr>
        <w:t>Dieldrin</w:t>
      </w:r>
      <w:proofErr w:type="spellEnd"/>
      <w:r w:rsidR="00405DFE" w:rsidRPr="00405DFE">
        <w:rPr>
          <w:i/>
          <w:lang w:eastAsia="en-CA"/>
        </w:rPr>
        <w:t xml:space="preserve">, </w:t>
      </w:r>
      <w:proofErr w:type="spellStart"/>
      <w:r w:rsidR="00405DFE" w:rsidRPr="00405DFE">
        <w:rPr>
          <w:i/>
          <w:lang w:eastAsia="en-CA"/>
        </w:rPr>
        <w:t>Endrin</w:t>
      </w:r>
      <w:proofErr w:type="spellEnd"/>
      <w:r w:rsidR="00405DFE" w:rsidRPr="00405DFE">
        <w:rPr>
          <w:i/>
          <w:lang w:eastAsia="en-CA"/>
        </w:rPr>
        <w:t xml:space="preserve">, Chlordane, Heptachlor, </w:t>
      </w:r>
      <w:proofErr w:type="spellStart"/>
      <w:r w:rsidR="00405DFE" w:rsidRPr="00405DFE">
        <w:rPr>
          <w:i/>
          <w:lang w:eastAsia="en-CA"/>
        </w:rPr>
        <w:t>Hexachlorobenzene</w:t>
      </w:r>
      <w:proofErr w:type="spellEnd"/>
      <w:r w:rsidR="00405DFE" w:rsidRPr="00405DFE">
        <w:rPr>
          <w:i/>
          <w:lang w:eastAsia="en-CA"/>
        </w:rPr>
        <w:t xml:space="preserve">, </w:t>
      </w:r>
      <w:proofErr w:type="spellStart"/>
      <w:r w:rsidR="00405DFE" w:rsidRPr="00405DFE">
        <w:rPr>
          <w:i/>
          <w:lang w:eastAsia="en-CA"/>
        </w:rPr>
        <w:t>Mirex</w:t>
      </w:r>
      <w:proofErr w:type="spellEnd"/>
      <w:r w:rsidR="00405DFE" w:rsidRPr="00405DFE">
        <w:rPr>
          <w:i/>
          <w:lang w:eastAsia="en-CA"/>
        </w:rPr>
        <w:t xml:space="preserve">, </w:t>
      </w:r>
      <w:proofErr w:type="spellStart"/>
      <w:r w:rsidR="00405DFE" w:rsidRPr="00405DFE">
        <w:rPr>
          <w:i/>
          <w:lang w:eastAsia="en-CA"/>
        </w:rPr>
        <w:t>Toxaphene</w:t>
      </w:r>
      <w:proofErr w:type="spellEnd"/>
      <w:r w:rsidR="00405DFE" w:rsidRPr="00405DFE">
        <w:rPr>
          <w:i/>
          <w:lang w:eastAsia="en-CA"/>
        </w:rPr>
        <w:t>, Polychlorinated Biphenyls, Dioxins and Furans</w:t>
      </w:r>
      <w:r w:rsidRPr="00812D4B">
        <w:rPr>
          <w:lang w:eastAsia="en-CA"/>
        </w:rPr>
        <w:t>. Available at</w:t>
      </w:r>
      <w:r w:rsidR="003528B1">
        <w:rPr>
          <w:lang w:eastAsia="en-CA"/>
        </w:rPr>
        <w:t>:</w:t>
      </w:r>
      <w:r w:rsidRPr="00812D4B">
        <w:rPr>
          <w:lang w:eastAsia="en-CA"/>
        </w:rPr>
        <w:t xml:space="preserve"> </w:t>
      </w:r>
      <w:r w:rsidRPr="00812D4B">
        <w:t>http://www.pops.int/documents/background/assessreport/</w:t>
      </w:r>
      <w:r w:rsidRPr="00812D4B">
        <w:rPr>
          <w:lang w:eastAsia="en-CA"/>
        </w:rPr>
        <w:t>.</w:t>
      </w:r>
      <w:r w:rsidR="003528B1">
        <w:rPr>
          <w:lang w:eastAsia="en-CA"/>
        </w:rPr>
        <w:t xml:space="preserve"> </w:t>
      </w:r>
    </w:p>
    <w:p w:rsidR="00890CDD" w:rsidRDefault="00890CDD">
      <w:pPr>
        <w:spacing w:after="120"/>
        <w:ind w:left="1247"/>
      </w:pPr>
      <w:proofErr w:type="gramStart"/>
      <w:r w:rsidRPr="00812D4B">
        <w:t>WHO, 1999.</w:t>
      </w:r>
      <w:proofErr w:type="gramEnd"/>
      <w:r w:rsidRPr="00812D4B">
        <w:t xml:space="preserve"> </w:t>
      </w:r>
      <w:proofErr w:type="gramStart"/>
      <w:r w:rsidR="00405DFE" w:rsidRPr="00405DFE">
        <w:rPr>
          <w:i/>
        </w:rPr>
        <w:t>Teacher’s guide on basic environmental health</w:t>
      </w:r>
      <w:r w:rsidRPr="00812D4B">
        <w:t>.</w:t>
      </w:r>
      <w:proofErr w:type="gramEnd"/>
      <w:r w:rsidRPr="00812D4B">
        <w:t xml:space="preserve"> Available </w:t>
      </w:r>
      <w:r w:rsidR="00B301A4">
        <w:t>from</w:t>
      </w:r>
      <w:r w:rsidR="003528B1">
        <w:t>:</w:t>
      </w:r>
      <w:r w:rsidRPr="00812D4B">
        <w:t xml:space="preserve"> http://www.who.int/occupational_health/publications/tgbeh/en/.</w:t>
      </w:r>
    </w:p>
    <w:p w:rsidR="00890CDD" w:rsidRDefault="00890CDD" w:rsidP="00CB70CC">
      <w:pPr>
        <w:spacing w:after="120"/>
        <w:ind w:left="1247"/>
      </w:pPr>
      <w:proofErr w:type="gramStart"/>
      <w:r w:rsidRPr="00812D4B">
        <w:t>WHO, 2009.</w:t>
      </w:r>
      <w:proofErr w:type="gramEnd"/>
      <w:r w:rsidRPr="00812D4B">
        <w:t xml:space="preserve"> </w:t>
      </w:r>
      <w:r w:rsidR="00405DFE" w:rsidRPr="00405DFE">
        <w:rPr>
          <w:i/>
        </w:rPr>
        <w:t>Handbook: Good Laboratory Practice (GLP)</w:t>
      </w:r>
      <w:r w:rsidR="005C7EBC">
        <w:rPr>
          <w:i/>
        </w:rPr>
        <w:t xml:space="preserve"> – Quality practices for regulated non-clinical research and development</w:t>
      </w:r>
      <w:r w:rsidRPr="00812D4B">
        <w:t>. Available at</w:t>
      </w:r>
      <w:r w:rsidR="003528B1">
        <w:t>:</w:t>
      </w:r>
      <w:r w:rsidRPr="00812D4B">
        <w:t xml:space="preserve"> http://www.who.int/tdr/publications/documents/glp-handbook.pdf.</w:t>
      </w:r>
    </w:p>
    <w:p w:rsidR="00485D23" w:rsidRDefault="00485D23"/>
    <w:p w:rsidR="00093BCE" w:rsidRDefault="00113A47" w:rsidP="00093BCE">
      <w:pPr>
        <w:jc w:val="center"/>
      </w:pPr>
      <w:r>
        <w:t>____________________</w:t>
      </w:r>
    </w:p>
    <w:sectPr w:rsidR="00093BCE" w:rsidSect="00035913">
      <w:headerReference w:type="even" r:id="rId91"/>
      <w:headerReference w:type="default" r:id="rId92"/>
      <w:footerReference w:type="even" r:id="rId93"/>
      <w:footerReference w:type="default" r:id="rId94"/>
      <w:footerReference w:type="first" r:id="rId95"/>
      <w:footnotePr>
        <w:numStart w:val="2"/>
      </w:footnotePr>
      <w:pgSz w:w="11907" w:h="16840" w:code="9"/>
      <w:pgMar w:top="907" w:right="992" w:bottom="1418" w:left="1418" w:header="539" w:footer="97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C50" w:rsidRDefault="009E7C50" w:rsidP="00890CDD">
      <w:r>
        <w:separator/>
      </w:r>
    </w:p>
    <w:p w:rsidR="009E7C50" w:rsidRDefault="009E7C50"/>
  </w:endnote>
  <w:endnote w:type="continuationSeparator" w:id="0">
    <w:p w:rsidR="009E7C50" w:rsidRDefault="009E7C50" w:rsidP="00890CDD">
      <w:r>
        <w:continuationSeparator/>
      </w:r>
    </w:p>
    <w:p w:rsidR="009E7C50" w:rsidRDefault="009E7C5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dvTT5235d5a9+20">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C50" w:rsidRDefault="003747B3" w:rsidP="00093BCE">
    <w:pPr>
      <w:pStyle w:val="Footer"/>
      <w:spacing w:before="60"/>
    </w:pPr>
    <w:r w:rsidRPr="00FA42EF">
      <w:rPr>
        <w:b/>
        <w:bCs/>
        <w:sz w:val="18"/>
        <w:szCs w:val="18"/>
      </w:rPr>
      <w:fldChar w:fldCharType="begin"/>
    </w:r>
    <w:r w:rsidR="009E7C50" w:rsidRPr="00FA42EF">
      <w:rPr>
        <w:b/>
        <w:bCs/>
        <w:sz w:val="18"/>
        <w:szCs w:val="18"/>
      </w:rPr>
      <w:instrText xml:space="preserve"> PAGE   \* MERGEFORMAT </w:instrText>
    </w:r>
    <w:r w:rsidRPr="00FA42EF">
      <w:rPr>
        <w:b/>
        <w:bCs/>
        <w:sz w:val="18"/>
        <w:szCs w:val="18"/>
      </w:rPr>
      <w:fldChar w:fldCharType="separate"/>
    </w:r>
    <w:r w:rsidR="00B82233">
      <w:rPr>
        <w:b/>
        <w:bCs/>
        <w:noProof/>
        <w:sz w:val="18"/>
        <w:szCs w:val="18"/>
      </w:rPr>
      <w:t>54</w:t>
    </w:r>
    <w:r w:rsidRPr="00FA42EF">
      <w:rPr>
        <w:b/>
        <w:bCs/>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C50" w:rsidRDefault="003747B3" w:rsidP="00093BCE">
    <w:pPr>
      <w:pStyle w:val="Footer"/>
      <w:spacing w:before="60"/>
      <w:jc w:val="right"/>
    </w:pPr>
    <w:r w:rsidRPr="00FA42EF">
      <w:rPr>
        <w:b/>
        <w:bCs/>
        <w:sz w:val="18"/>
        <w:szCs w:val="18"/>
      </w:rPr>
      <w:fldChar w:fldCharType="begin"/>
    </w:r>
    <w:r w:rsidR="009E7C50" w:rsidRPr="00FA42EF">
      <w:rPr>
        <w:b/>
        <w:bCs/>
        <w:sz w:val="18"/>
        <w:szCs w:val="18"/>
      </w:rPr>
      <w:instrText xml:space="preserve"> PAGE   \* MERGEFORMAT </w:instrText>
    </w:r>
    <w:r w:rsidRPr="00FA42EF">
      <w:rPr>
        <w:b/>
        <w:bCs/>
        <w:sz w:val="18"/>
        <w:szCs w:val="18"/>
      </w:rPr>
      <w:fldChar w:fldCharType="separate"/>
    </w:r>
    <w:r w:rsidR="00B82233">
      <w:rPr>
        <w:b/>
        <w:bCs/>
        <w:noProof/>
        <w:sz w:val="18"/>
        <w:szCs w:val="18"/>
      </w:rPr>
      <w:t>53</w:t>
    </w:r>
    <w:r w:rsidRPr="00FA42EF">
      <w:rPr>
        <w:b/>
        <w:bCs/>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C50" w:rsidRPr="00A60259" w:rsidRDefault="009E7C50" w:rsidP="002454D1">
    <w:pPr>
      <w:pStyle w:val="Footer"/>
      <w:tabs>
        <w:tab w:val="clear" w:pos="4320"/>
        <w:tab w:val="clear" w:pos="8640"/>
        <w:tab w:val="left" w:pos="1418"/>
      </w:tabs>
      <w:spacing w:before="20" w:after="40"/>
      <w:rPr>
        <w:sz w:val="18"/>
        <w:szCs w:val="18"/>
        <w:lang w:val="fr-CH"/>
      </w:rPr>
    </w:pPr>
    <w:r w:rsidRPr="00093BCE">
      <w:rPr>
        <w:sz w:val="18"/>
        <w:szCs w:val="18"/>
        <w:lang w:val="fr-CH"/>
      </w:rPr>
      <w:tab/>
    </w:r>
    <w:r w:rsidRPr="002454D1">
      <w:rPr>
        <w:sz w:val="18"/>
        <w:szCs w:val="18"/>
        <w:lang w:val="fr-CH"/>
      </w:rPr>
      <w:t>130516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C50" w:rsidRDefault="009E7C50" w:rsidP="00890CDD">
      <w:r>
        <w:separator/>
      </w:r>
    </w:p>
    <w:p w:rsidR="009E7C50" w:rsidRDefault="009E7C50"/>
  </w:footnote>
  <w:footnote w:type="continuationSeparator" w:id="0">
    <w:p w:rsidR="009E7C50" w:rsidRDefault="009E7C50" w:rsidP="00890CDD">
      <w:r>
        <w:continuationSeparator/>
      </w:r>
    </w:p>
    <w:p w:rsidR="009E7C50" w:rsidRDefault="009E7C50"/>
  </w:footnote>
  <w:footnote w:id="1">
    <w:p w:rsidR="009E7C50" w:rsidRDefault="009E7C50" w:rsidP="007E4926">
      <w:pPr>
        <w:pStyle w:val="FootnoteText"/>
        <w:tabs>
          <w:tab w:val="clear" w:pos="1247"/>
          <w:tab w:val="left" w:pos="1134"/>
        </w:tabs>
        <w:ind w:left="1134"/>
        <w:rPr>
          <w:szCs w:val="18"/>
        </w:rPr>
      </w:pPr>
      <w:r>
        <w:rPr>
          <w:rStyle w:val="FootnoteReference"/>
        </w:rPr>
        <w:t>1</w:t>
      </w:r>
      <w:r w:rsidRPr="005E5BFF">
        <w:rPr>
          <w:szCs w:val="18"/>
        </w:rPr>
        <w:t xml:space="preserve"> Decisions IV/17, V/26, VI/23, VII/13, VIII/16, IX/16, BC-10/9, BC-11/3, and BC-12</w:t>
      </w:r>
      <w:r w:rsidRPr="0019520C">
        <w:rPr>
          <w:szCs w:val="18"/>
        </w:rPr>
        <w:t>/</w:t>
      </w:r>
      <w:r w:rsidRPr="0019520C">
        <w:t xml:space="preserve">3 </w:t>
      </w:r>
      <w:r w:rsidRPr="005E5BFF">
        <w:rPr>
          <w:szCs w:val="18"/>
        </w:rPr>
        <w:t xml:space="preserve">of the Conference of the Parties to the Basel Convention on the Control of </w:t>
      </w:r>
      <w:proofErr w:type="spellStart"/>
      <w:r w:rsidRPr="005E5BFF">
        <w:rPr>
          <w:szCs w:val="18"/>
        </w:rPr>
        <w:t>Transboundary</w:t>
      </w:r>
      <w:proofErr w:type="spellEnd"/>
      <w:r w:rsidRPr="005E5BFF">
        <w:rPr>
          <w:szCs w:val="18"/>
        </w:rPr>
        <w:t xml:space="preserve"> Movement of Hazardous Wastes and Their Disposal</w:t>
      </w:r>
      <w:r>
        <w:rPr>
          <w:szCs w:val="18"/>
        </w:rPr>
        <w:t>;</w:t>
      </w:r>
      <w:r w:rsidRPr="008F2395">
        <w:rPr>
          <w:szCs w:val="18"/>
        </w:rPr>
        <w:t xml:space="preserve"> decisions</w:t>
      </w:r>
      <w:r w:rsidRPr="005E5BFF">
        <w:rPr>
          <w:szCs w:val="18"/>
        </w:rPr>
        <w:t xml:space="preserve"> I/4, II/10, III/8, IV/11, V/12, VI/5, VII/8, OEWG-8/5 and OEWG-9/</w:t>
      </w:r>
      <w:r>
        <w:rPr>
          <w:szCs w:val="18"/>
        </w:rPr>
        <w:t xml:space="preserve">3 </w:t>
      </w:r>
      <w:r w:rsidRPr="005E5BFF">
        <w:rPr>
          <w:szCs w:val="18"/>
        </w:rPr>
        <w:t>of the Open-ended Working Group of the Basel Convention</w:t>
      </w:r>
      <w:r w:rsidRPr="008F2395">
        <w:rPr>
          <w:szCs w:val="18"/>
        </w:rPr>
        <w:t>;</w:t>
      </w:r>
      <w:r w:rsidRPr="005E5BFF">
        <w:rPr>
          <w:szCs w:val="18"/>
        </w:rPr>
        <w:t xml:space="preserve"> resolution 5 of the Conference of Plenipotentiaries to the Stockholm Convention on Persistent Organic Pollutants</w:t>
      </w:r>
      <w:r w:rsidRPr="008F2395">
        <w:rPr>
          <w:szCs w:val="18"/>
        </w:rPr>
        <w:t>;</w:t>
      </w:r>
      <w:r w:rsidRPr="005E5BFF">
        <w:rPr>
          <w:szCs w:val="18"/>
        </w:rPr>
        <w:t xml:space="preserve"> decisions INC-6/5 and INC-7/6 of the Intergovernmental Negotiating Committee for an International Legally Binding Instrument for Implementing Action on Certain Persistent Organic Pollutants</w:t>
      </w:r>
      <w:r>
        <w:rPr>
          <w:szCs w:val="18"/>
        </w:rPr>
        <w:t>;</w:t>
      </w:r>
      <w:r w:rsidRPr="005E5BFF">
        <w:rPr>
          <w:szCs w:val="18"/>
        </w:rPr>
        <w:t xml:space="preserve"> and decisions SC-1/2, SC-2/6, SC-3/7, SC-4/10-18, SC-5/3, and SC-6/13 of the Conference of the Parties to the Stockholm Convention on Persistent Organic Pollutants.</w:t>
      </w:r>
    </w:p>
  </w:footnote>
  <w:footnote w:id="2">
    <w:p w:rsidR="009E7C50" w:rsidRPr="00181933" w:rsidRDefault="009E7C50" w:rsidP="007E4926">
      <w:pPr>
        <w:pStyle w:val="FootnoteText"/>
        <w:tabs>
          <w:tab w:val="clear" w:pos="1247"/>
          <w:tab w:val="left" w:pos="1134"/>
        </w:tabs>
        <w:ind w:left="1134"/>
        <w:rPr>
          <w:rStyle w:val="FootnoteReference"/>
          <w:sz w:val="18"/>
          <w:lang w:val="en-US"/>
        </w:rPr>
      </w:pPr>
      <w:r w:rsidRPr="005E5BFF">
        <w:rPr>
          <w:rStyle w:val="FootnoteReference"/>
          <w:sz w:val="18"/>
        </w:rPr>
        <w:footnoteRef/>
      </w:r>
      <w:r w:rsidRPr="00FA42EF">
        <w:rPr>
          <w:lang w:val="en-US"/>
        </w:rPr>
        <w:t xml:space="preserve"> </w:t>
      </w:r>
      <w:r w:rsidRPr="007E4926">
        <w:t>Further</w:t>
      </w:r>
      <w:r w:rsidRPr="00FA42EF">
        <w:rPr>
          <w:rStyle w:val="FootnoteReference"/>
          <w:sz w:val="18"/>
          <w:vertAlign w:val="baseline"/>
          <w:lang w:val="en-US"/>
        </w:rPr>
        <w:t xml:space="preserve"> information on the characteristics of POPs is available from several sources, including the Agency for Toxic Substances and Disease Registry</w:t>
      </w:r>
      <w:r>
        <w:rPr>
          <w:rStyle w:val="FootnoteReference"/>
          <w:sz w:val="18"/>
          <w:vertAlign w:val="baseline"/>
          <w:lang w:val="en-US"/>
        </w:rPr>
        <w:t xml:space="preserve"> (</w:t>
      </w:r>
      <w:r>
        <w:rPr>
          <w:lang w:val="en-US"/>
        </w:rPr>
        <w:t>United States of America</w:t>
      </w:r>
      <w:proofErr w:type="gramStart"/>
      <w:r>
        <w:rPr>
          <w:lang w:val="en-US"/>
        </w:rPr>
        <w:t>)</w:t>
      </w:r>
      <w:proofErr w:type="gramEnd"/>
      <w:r w:rsidRPr="00FA42EF">
        <w:rPr>
          <w:rStyle w:val="FootnoteReference"/>
          <w:sz w:val="18"/>
          <w:vertAlign w:val="baseline"/>
          <w:lang w:val="en-US"/>
        </w:rPr>
        <w:t xml:space="preserve">, </w:t>
      </w:r>
      <w:r>
        <w:rPr>
          <w:rStyle w:val="FootnoteReference"/>
          <w:sz w:val="18"/>
          <w:vertAlign w:val="baseline"/>
          <w:lang w:val="en-US"/>
        </w:rPr>
        <w:t xml:space="preserve">the </w:t>
      </w:r>
      <w:r w:rsidRPr="00FA42EF">
        <w:rPr>
          <w:rStyle w:val="FootnoteReference"/>
          <w:sz w:val="18"/>
          <w:vertAlign w:val="baseline"/>
          <w:lang w:val="en-US"/>
        </w:rPr>
        <w:t xml:space="preserve">Global </w:t>
      </w:r>
      <w:proofErr w:type="spellStart"/>
      <w:r w:rsidRPr="00FA42EF">
        <w:rPr>
          <w:rStyle w:val="FootnoteReference"/>
          <w:sz w:val="18"/>
          <w:vertAlign w:val="baseline"/>
          <w:lang w:val="en-US"/>
        </w:rPr>
        <w:t>Programme</w:t>
      </w:r>
      <w:proofErr w:type="spellEnd"/>
      <w:r w:rsidRPr="00FA42EF">
        <w:rPr>
          <w:rStyle w:val="FootnoteReference"/>
          <w:sz w:val="18"/>
          <w:vertAlign w:val="baseline"/>
          <w:lang w:val="en-US"/>
        </w:rPr>
        <w:t xml:space="preserve"> of Action for the Protection of the Marine Environment from Land-based Activities, and the International </w:t>
      </w:r>
      <w:proofErr w:type="spellStart"/>
      <w:r w:rsidRPr="00FA42EF">
        <w:rPr>
          <w:rStyle w:val="FootnoteReference"/>
          <w:sz w:val="18"/>
          <w:vertAlign w:val="baseline"/>
          <w:lang w:val="en-US"/>
        </w:rPr>
        <w:t>Programme</w:t>
      </w:r>
      <w:proofErr w:type="spellEnd"/>
      <w:r w:rsidRPr="00FA42EF">
        <w:rPr>
          <w:rStyle w:val="FootnoteReference"/>
          <w:sz w:val="18"/>
          <w:vertAlign w:val="baseline"/>
          <w:lang w:val="en-US"/>
        </w:rPr>
        <w:t xml:space="preserve"> on Chemical Safety (1995)</w:t>
      </w:r>
      <w:r>
        <w:rPr>
          <w:rStyle w:val="FootnoteReference"/>
          <w:sz w:val="18"/>
          <w:vertAlign w:val="baseline"/>
          <w:lang w:val="en-US"/>
        </w:rPr>
        <w:t xml:space="preserve"> of the </w:t>
      </w:r>
      <w:r w:rsidRPr="00FA42EF">
        <w:rPr>
          <w:rStyle w:val="FootnoteReference"/>
          <w:sz w:val="18"/>
          <w:vertAlign w:val="baseline"/>
          <w:lang w:val="en-US"/>
        </w:rPr>
        <w:t xml:space="preserve">World Health Organization </w:t>
      </w:r>
      <w:r>
        <w:rPr>
          <w:lang w:val="en-US"/>
        </w:rPr>
        <w:t>(WHO)</w:t>
      </w:r>
      <w:r w:rsidRPr="00FA42EF">
        <w:rPr>
          <w:szCs w:val="18"/>
          <w:lang w:val="en-US"/>
        </w:rPr>
        <w:t xml:space="preserve">. </w:t>
      </w:r>
    </w:p>
  </w:footnote>
  <w:footnote w:id="3">
    <w:p w:rsidR="009E7C50" w:rsidRPr="00072E34" w:rsidRDefault="009E7C50" w:rsidP="007E4926">
      <w:pPr>
        <w:pStyle w:val="FootnoteText"/>
        <w:tabs>
          <w:tab w:val="clear" w:pos="1247"/>
          <w:tab w:val="left" w:pos="1134"/>
        </w:tabs>
        <w:ind w:left="1134"/>
        <w:rPr>
          <w:rFonts w:eastAsia="PMingLiU"/>
          <w:szCs w:val="18"/>
          <w:lang w:eastAsia="zh-HK"/>
        </w:rPr>
      </w:pPr>
      <w:r w:rsidRPr="0055462A">
        <w:rPr>
          <w:rStyle w:val="FootnoteReference"/>
          <w:sz w:val="18"/>
        </w:rPr>
        <w:footnoteRef/>
      </w:r>
      <w:r w:rsidRPr="0055462A">
        <w:rPr>
          <w:szCs w:val="18"/>
        </w:rPr>
        <w:t xml:space="preserve"> </w:t>
      </w:r>
      <w:r w:rsidRPr="000C4E45">
        <w:rPr>
          <w:szCs w:val="18"/>
        </w:rPr>
        <w:t xml:space="preserve">Draft updated general technical guidelines </w:t>
      </w:r>
      <w:r>
        <w:rPr>
          <w:szCs w:val="18"/>
        </w:rPr>
        <w:t xml:space="preserve">on </w:t>
      </w:r>
      <w:r w:rsidRPr="000C4E45">
        <w:rPr>
          <w:szCs w:val="18"/>
        </w:rPr>
        <w:t>the environmentally sound management of wastes consisting of, containing or contaminated with persistent organic pollutants: supporting document for the development of section III of the general technical guidelines for the environmentally sound management of wastes consisting of, containing or contaminated with persistent organic pollutants</w:t>
      </w:r>
      <w:r>
        <w:rPr>
          <w:rFonts w:eastAsia="PMingLiU" w:hint="eastAsia"/>
          <w:szCs w:val="18"/>
          <w:lang w:eastAsia="zh-HK"/>
        </w:rPr>
        <w:t>.</w:t>
      </w:r>
      <w:r>
        <w:rPr>
          <w:rFonts w:eastAsia="PMingLiU"/>
          <w:szCs w:val="18"/>
          <w:lang w:eastAsia="zh-HK"/>
        </w:rPr>
        <w:t xml:space="preserve"> </w:t>
      </w:r>
    </w:p>
  </w:footnote>
  <w:footnote w:id="4">
    <w:p w:rsidR="009E7C50" w:rsidRPr="00A26B89" w:rsidRDefault="009E7C50" w:rsidP="00A26B89">
      <w:pPr>
        <w:pStyle w:val="FootnoteText"/>
        <w:tabs>
          <w:tab w:val="clear" w:pos="1247"/>
          <w:tab w:val="left" w:pos="1134"/>
        </w:tabs>
        <w:ind w:left="1134"/>
        <w:rPr>
          <w:szCs w:val="18"/>
        </w:rPr>
      </w:pPr>
      <w:r w:rsidRPr="00866F9D">
        <w:rPr>
          <w:rStyle w:val="FootnoteReference"/>
          <w:sz w:val="18"/>
        </w:rPr>
        <w:footnoteRef/>
      </w:r>
      <w:r w:rsidRPr="00405DFE">
        <w:rPr>
          <w:rStyle w:val="FootnoteReference"/>
          <w:sz w:val="18"/>
        </w:rPr>
        <w:t xml:space="preserve"> </w:t>
      </w:r>
      <w:r w:rsidRPr="00A26B89">
        <w:t>Draft</w:t>
      </w:r>
      <w:r w:rsidRPr="00866F9D">
        <w:t xml:space="preserve"> updated general technical guidelines on the environmentally sound management of wastes consisting of, containing or contaminated with persistent organic</w:t>
      </w:r>
      <w:r w:rsidRPr="00712A35">
        <w:t xml:space="preserve"> pollutants: methodology for establishing low persistent organic pollutant content and its application in the European Union</w:t>
      </w:r>
      <w:r w:rsidRPr="00405DFE">
        <w:t>.</w:t>
      </w:r>
      <w:r w:rsidRPr="00405DFE">
        <w:rPr>
          <w:szCs w:val="18"/>
        </w:rPr>
        <w:t xml:space="preserve"> </w:t>
      </w:r>
    </w:p>
  </w:footnote>
  <w:footnote w:id="5">
    <w:p w:rsidR="009E7C50" w:rsidRPr="00072E34" w:rsidRDefault="009E7C50" w:rsidP="007E4926">
      <w:pPr>
        <w:pStyle w:val="FootnoteText"/>
        <w:tabs>
          <w:tab w:val="clear" w:pos="1247"/>
          <w:tab w:val="left" w:pos="1134"/>
        </w:tabs>
        <w:ind w:left="1134"/>
        <w:rPr>
          <w:rFonts w:eastAsia="PMingLiU"/>
          <w:lang w:eastAsia="zh-HK"/>
        </w:rPr>
      </w:pPr>
      <w:r>
        <w:rPr>
          <w:rStyle w:val="FootnoteReference"/>
        </w:rPr>
        <w:footnoteRef/>
      </w:r>
      <w:r>
        <w:t xml:space="preserve"> </w:t>
      </w:r>
      <w:proofErr w:type="gramStart"/>
      <w:r w:rsidRPr="007E4926">
        <w:rPr>
          <w:szCs w:val="18"/>
        </w:rPr>
        <w:t>Determined</w:t>
      </w:r>
      <w:r w:rsidRPr="00CF59BC">
        <w:t xml:space="preserve"> </w:t>
      </w:r>
      <w:r w:rsidRPr="00BC0E59">
        <w:t>in accordance with</w:t>
      </w:r>
      <w:r w:rsidRPr="00CF59BC">
        <w:t xml:space="preserve"> national or international methods and standa</w:t>
      </w:r>
      <w:r>
        <w:t>rds</w:t>
      </w:r>
      <w:r>
        <w:rPr>
          <w:rFonts w:eastAsia="PMingLiU" w:hint="eastAsia"/>
          <w:lang w:eastAsia="zh-HK"/>
        </w:rPr>
        <w:t>.</w:t>
      </w:r>
      <w:proofErr w:type="gramEnd"/>
    </w:p>
  </w:footnote>
  <w:footnote w:id="6">
    <w:p w:rsidR="009E7C50" w:rsidRPr="00072E34" w:rsidRDefault="009E7C50" w:rsidP="000151AB">
      <w:pPr>
        <w:pStyle w:val="FootnoteText"/>
        <w:tabs>
          <w:tab w:val="clear" w:pos="1247"/>
          <w:tab w:val="left" w:pos="1134"/>
        </w:tabs>
        <w:ind w:left="1134"/>
        <w:rPr>
          <w:rFonts w:eastAsia="PMingLiU"/>
          <w:lang w:val="en-US" w:eastAsia="zh-HK"/>
        </w:rPr>
      </w:pPr>
      <w:r w:rsidRPr="00A71902">
        <w:rPr>
          <w:rStyle w:val="FootnoteReference"/>
          <w:szCs w:val="20"/>
        </w:rPr>
        <w:footnoteRef/>
      </w:r>
      <w:r w:rsidRPr="00A71902">
        <w:t xml:space="preserve"> </w:t>
      </w:r>
      <w:r w:rsidRPr="00197264">
        <w:rPr>
          <w:i/>
        </w:rPr>
        <w:t>Ibid</w:t>
      </w:r>
      <w:r w:rsidRPr="00DB53DD">
        <w:rPr>
          <w:rFonts w:eastAsia="PMingLiU" w:hint="eastAsia"/>
          <w:lang w:eastAsia="zh-HK"/>
        </w:rPr>
        <w:t>.</w:t>
      </w:r>
    </w:p>
  </w:footnote>
  <w:footnote w:id="7">
    <w:p w:rsidR="009E7C50" w:rsidRPr="00AE7DB2" w:rsidRDefault="009E7C50" w:rsidP="007E4926">
      <w:pPr>
        <w:pStyle w:val="FootnoteText"/>
        <w:tabs>
          <w:tab w:val="clear" w:pos="1247"/>
          <w:tab w:val="left" w:pos="1134"/>
        </w:tabs>
        <w:ind w:left="1134"/>
      </w:pPr>
      <w:r>
        <w:rPr>
          <w:rStyle w:val="FootnoteReference"/>
        </w:rPr>
        <w:footnoteRef/>
      </w:r>
      <w:r>
        <w:t xml:space="preserve"> T</w:t>
      </w:r>
      <w:r w:rsidRPr="00AE7DB2">
        <w:t xml:space="preserve">he limit value has been set for the sum of </w:t>
      </w:r>
      <w:proofErr w:type="spellStart"/>
      <w:r w:rsidRPr="00AE7DB2">
        <w:t>lindane</w:t>
      </w:r>
      <w:proofErr w:type="spellEnd"/>
      <w:r w:rsidRPr="00AE7DB2">
        <w:t xml:space="preserve"> and its by-products alpha- and beta-HCH, because they may be contained together in pesticides and production wastes.</w:t>
      </w:r>
    </w:p>
  </w:footnote>
  <w:footnote w:id="8">
    <w:p w:rsidR="009E7C50" w:rsidRPr="00DB53DD" w:rsidRDefault="009E7C50" w:rsidP="000151AB">
      <w:pPr>
        <w:pStyle w:val="FootnoteText"/>
        <w:tabs>
          <w:tab w:val="clear" w:pos="1247"/>
          <w:tab w:val="left" w:pos="1134"/>
        </w:tabs>
        <w:ind w:left="1134"/>
        <w:rPr>
          <w:rFonts w:eastAsia="PMingLiU"/>
          <w:lang w:eastAsia="zh-HK"/>
        </w:rPr>
      </w:pPr>
      <w:r w:rsidRPr="00DB53DD">
        <w:rPr>
          <w:rStyle w:val="FootnoteReference"/>
        </w:rPr>
        <w:footnoteRef/>
      </w:r>
      <w:r w:rsidRPr="00DB53DD">
        <w:t xml:space="preserve"> </w:t>
      </w:r>
      <w:proofErr w:type="gramStart"/>
      <w:r w:rsidRPr="00197264">
        <w:rPr>
          <w:i/>
        </w:rPr>
        <w:t>Ibid</w:t>
      </w:r>
      <w:r w:rsidRPr="00DB53DD">
        <w:t xml:space="preserve"> 5</w:t>
      </w:r>
      <w:r w:rsidRPr="00DB53DD">
        <w:rPr>
          <w:rFonts w:eastAsia="PMingLiU" w:hint="eastAsia"/>
          <w:lang w:eastAsia="zh-HK"/>
        </w:rPr>
        <w:t>.</w:t>
      </w:r>
      <w:proofErr w:type="gramEnd"/>
    </w:p>
  </w:footnote>
  <w:footnote w:id="9">
    <w:p w:rsidR="009E7C50" w:rsidRPr="00DB53DD" w:rsidRDefault="009E7C50" w:rsidP="000151AB">
      <w:pPr>
        <w:pStyle w:val="FootnoteText"/>
        <w:tabs>
          <w:tab w:val="clear" w:pos="1247"/>
          <w:tab w:val="left" w:pos="1134"/>
        </w:tabs>
        <w:ind w:left="1134"/>
        <w:rPr>
          <w:rFonts w:eastAsia="PMingLiU"/>
          <w:lang w:eastAsia="zh-HK"/>
        </w:rPr>
      </w:pPr>
      <w:r w:rsidRPr="00DB53DD">
        <w:rPr>
          <w:rStyle w:val="FootnoteReference"/>
        </w:rPr>
        <w:footnoteRef/>
      </w:r>
      <w:r w:rsidRPr="00DB53DD">
        <w:t xml:space="preserve"> </w:t>
      </w:r>
      <w:proofErr w:type="gramStart"/>
      <w:r w:rsidRPr="00197264">
        <w:rPr>
          <w:i/>
        </w:rPr>
        <w:t>Ibid</w:t>
      </w:r>
      <w:r w:rsidRPr="00DB53DD">
        <w:t xml:space="preserve"> 5</w:t>
      </w:r>
      <w:r w:rsidRPr="00DB53DD">
        <w:rPr>
          <w:rFonts w:eastAsia="PMingLiU" w:hint="eastAsia"/>
          <w:lang w:eastAsia="zh-HK"/>
        </w:rPr>
        <w:t>.</w:t>
      </w:r>
      <w:proofErr w:type="gramEnd"/>
    </w:p>
  </w:footnote>
  <w:footnote w:id="10">
    <w:p w:rsidR="009E7C50" w:rsidRPr="00DB53DD" w:rsidRDefault="009E7C50" w:rsidP="000151AB">
      <w:pPr>
        <w:pStyle w:val="FootnoteText"/>
        <w:tabs>
          <w:tab w:val="clear" w:pos="1247"/>
          <w:tab w:val="left" w:pos="1134"/>
        </w:tabs>
        <w:ind w:left="1134"/>
        <w:rPr>
          <w:rFonts w:eastAsia="PMingLiU"/>
          <w:lang w:eastAsia="zh-HK"/>
        </w:rPr>
      </w:pPr>
      <w:r w:rsidRPr="00DB53DD">
        <w:rPr>
          <w:rStyle w:val="FootnoteReference"/>
        </w:rPr>
        <w:footnoteRef/>
      </w:r>
      <w:r w:rsidRPr="00DB53DD">
        <w:t xml:space="preserve"> </w:t>
      </w:r>
      <w:proofErr w:type="gramStart"/>
      <w:r w:rsidRPr="00197264">
        <w:rPr>
          <w:i/>
        </w:rPr>
        <w:t>Ibid</w:t>
      </w:r>
      <w:r w:rsidRPr="00DB53DD">
        <w:t xml:space="preserve"> 5</w:t>
      </w:r>
      <w:r w:rsidRPr="00DB53DD">
        <w:rPr>
          <w:rFonts w:eastAsia="PMingLiU" w:hint="eastAsia"/>
          <w:lang w:eastAsia="zh-HK"/>
        </w:rPr>
        <w:t>.</w:t>
      </w:r>
      <w:proofErr w:type="gramEnd"/>
    </w:p>
  </w:footnote>
  <w:footnote w:id="11">
    <w:p w:rsidR="009E7C50" w:rsidRPr="00DB53DD" w:rsidRDefault="009E7C50" w:rsidP="000151AB">
      <w:pPr>
        <w:pStyle w:val="FootnoteText"/>
        <w:tabs>
          <w:tab w:val="clear" w:pos="1247"/>
          <w:tab w:val="left" w:pos="1134"/>
        </w:tabs>
        <w:ind w:left="1134"/>
        <w:rPr>
          <w:rFonts w:eastAsia="PMingLiU"/>
          <w:lang w:eastAsia="zh-HK"/>
        </w:rPr>
      </w:pPr>
      <w:r w:rsidRPr="00DB53DD">
        <w:rPr>
          <w:rStyle w:val="FootnoteReference"/>
        </w:rPr>
        <w:footnoteRef/>
      </w:r>
      <w:r w:rsidRPr="00DB53DD">
        <w:t xml:space="preserve"> </w:t>
      </w:r>
      <w:proofErr w:type="gramStart"/>
      <w:r w:rsidRPr="00197264">
        <w:rPr>
          <w:i/>
        </w:rPr>
        <w:t>Ibid</w:t>
      </w:r>
      <w:r w:rsidRPr="00DB53DD">
        <w:t xml:space="preserve"> 5</w:t>
      </w:r>
      <w:r w:rsidRPr="00DB53DD">
        <w:rPr>
          <w:rFonts w:eastAsia="PMingLiU" w:hint="eastAsia"/>
          <w:lang w:eastAsia="zh-HK"/>
        </w:rPr>
        <w:t>.</w:t>
      </w:r>
      <w:proofErr w:type="gramEnd"/>
    </w:p>
  </w:footnote>
  <w:footnote w:id="12">
    <w:p w:rsidR="009E7C50" w:rsidRPr="00DB53DD" w:rsidRDefault="009E7C50" w:rsidP="000151AB">
      <w:pPr>
        <w:pStyle w:val="FootnoteText"/>
        <w:tabs>
          <w:tab w:val="clear" w:pos="1247"/>
          <w:tab w:val="left" w:pos="1134"/>
        </w:tabs>
        <w:ind w:left="1134"/>
        <w:rPr>
          <w:rFonts w:eastAsia="PMingLiU"/>
          <w:lang w:eastAsia="zh-HK"/>
        </w:rPr>
      </w:pPr>
      <w:r w:rsidRPr="00DB53DD">
        <w:rPr>
          <w:rStyle w:val="FootnoteReference"/>
        </w:rPr>
        <w:footnoteRef/>
      </w:r>
      <w:r w:rsidRPr="00DB53DD">
        <w:t xml:space="preserve"> </w:t>
      </w:r>
      <w:proofErr w:type="gramStart"/>
      <w:r w:rsidRPr="00197264">
        <w:rPr>
          <w:i/>
        </w:rPr>
        <w:t>Ibid</w:t>
      </w:r>
      <w:r w:rsidRPr="00DB53DD">
        <w:t xml:space="preserve"> 5</w:t>
      </w:r>
      <w:r w:rsidRPr="00DB53DD">
        <w:rPr>
          <w:rFonts w:eastAsia="PMingLiU" w:hint="eastAsia"/>
          <w:lang w:eastAsia="zh-HK"/>
        </w:rPr>
        <w:t>.</w:t>
      </w:r>
      <w:proofErr w:type="gramEnd"/>
    </w:p>
  </w:footnote>
  <w:footnote w:id="13">
    <w:p w:rsidR="009E7C50" w:rsidRPr="00072E34" w:rsidRDefault="009E7C50" w:rsidP="000151AB">
      <w:pPr>
        <w:pStyle w:val="FootnoteText"/>
        <w:tabs>
          <w:tab w:val="clear" w:pos="1247"/>
          <w:tab w:val="left" w:pos="1134"/>
        </w:tabs>
        <w:ind w:left="1134"/>
        <w:rPr>
          <w:rFonts w:eastAsia="PMingLiU"/>
          <w:lang w:eastAsia="zh-HK"/>
        </w:rPr>
      </w:pPr>
      <w:r w:rsidRPr="00DB53DD">
        <w:rPr>
          <w:rStyle w:val="FootnoteReference"/>
        </w:rPr>
        <w:footnoteRef/>
      </w:r>
      <w:r w:rsidRPr="00DB53DD">
        <w:t xml:space="preserve"> </w:t>
      </w:r>
      <w:r>
        <w:t xml:space="preserve"> </w:t>
      </w:r>
      <w:proofErr w:type="gramStart"/>
      <w:r w:rsidRPr="00197264">
        <w:rPr>
          <w:i/>
        </w:rPr>
        <w:t>Ibid</w:t>
      </w:r>
      <w:r w:rsidRPr="00DB53DD">
        <w:t xml:space="preserve"> 5</w:t>
      </w:r>
      <w:r w:rsidRPr="00DB53DD">
        <w:rPr>
          <w:rFonts w:eastAsia="PMingLiU" w:hint="eastAsia"/>
          <w:lang w:eastAsia="zh-HK"/>
        </w:rPr>
        <w:t>.</w:t>
      </w:r>
      <w:proofErr w:type="gramEnd"/>
    </w:p>
  </w:footnote>
  <w:footnote w:id="14">
    <w:p w:rsidR="009E7C50" w:rsidRPr="00DB53DD" w:rsidRDefault="009E7C50" w:rsidP="000151AB">
      <w:pPr>
        <w:pStyle w:val="FootnoteText"/>
        <w:tabs>
          <w:tab w:val="clear" w:pos="1247"/>
          <w:tab w:val="left" w:pos="1134"/>
        </w:tabs>
        <w:ind w:left="1134"/>
        <w:rPr>
          <w:rFonts w:eastAsia="PMingLiU"/>
          <w:lang w:val="de-DE" w:eastAsia="zh-HK"/>
        </w:rPr>
      </w:pPr>
      <w:r w:rsidRPr="00DB53DD">
        <w:rPr>
          <w:rStyle w:val="FootnoteReference"/>
        </w:rPr>
        <w:footnoteRef/>
      </w:r>
      <w:r w:rsidRPr="00DB53DD">
        <w:t xml:space="preserve"> </w:t>
      </w:r>
      <w:proofErr w:type="gramStart"/>
      <w:r w:rsidRPr="00197264">
        <w:rPr>
          <w:i/>
        </w:rPr>
        <w:t>Ibid</w:t>
      </w:r>
      <w:r w:rsidRPr="00DB53DD">
        <w:rPr>
          <w:lang w:val="de-DE"/>
        </w:rPr>
        <w:t xml:space="preserve"> 5</w:t>
      </w:r>
      <w:r w:rsidRPr="00DB53DD">
        <w:rPr>
          <w:rFonts w:eastAsia="PMingLiU" w:hint="eastAsia"/>
          <w:lang w:val="de-DE" w:eastAsia="zh-HK"/>
        </w:rPr>
        <w:t>.</w:t>
      </w:r>
      <w:proofErr w:type="gramEnd"/>
    </w:p>
  </w:footnote>
  <w:footnote w:id="15">
    <w:p w:rsidR="009E7C50" w:rsidRPr="007657AF" w:rsidRDefault="009E7C50" w:rsidP="00AF3EE2">
      <w:pPr>
        <w:pStyle w:val="FootnoteText"/>
        <w:tabs>
          <w:tab w:val="clear" w:pos="1247"/>
          <w:tab w:val="left" w:pos="1134"/>
        </w:tabs>
        <w:ind w:left="1134"/>
        <w:rPr>
          <w:lang w:val="en-US"/>
        </w:rPr>
      </w:pPr>
      <w:r w:rsidRPr="007657AF">
        <w:rPr>
          <w:rStyle w:val="FootnoteReference"/>
        </w:rPr>
        <w:footnoteRef/>
      </w:r>
      <w:r w:rsidRPr="007657AF">
        <w:t xml:space="preserve"> </w:t>
      </w:r>
      <w:r w:rsidRPr="00AE7DB2">
        <w:rPr>
          <w:lang w:val="en-US"/>
        </w:rPr>
        <w:t xml:space="preserve">It </w:t>
      </w:r>
      <w:r w:rsidRPr="007E4926">
        <w:t>is</w:t>
      </w:r>
      <w:r w:rsidRPr="00AE7DB2">
        <w:rPr>
          <w:lang w:val="en-US"/>
        </w:rPr>
        <w:t xml:space="preserve"> noted that further work to agree on </w:t>
      </w:r>
      <w:r w:rsidRPr="00AF3EE2">
        <w:rPr>
          <w:lang w:val="en-US"/>
        </w:rPr>
        <w:t>a single value will be undertaken in accordance with decision</w:t>
      </w:r>
      <w:r w:rsidRPr="00AE7DB2">
        <w:rPr>
          <w:lang w:val="en-US"/>
        </w:rPr>
        <w:t xml:space="preserve"> </w:t>
      </w:r>
      <w:r w:rsidRPr="00DB53DD">
        <w:rPr>
          <w:lang w:val="en-US"/>
        </w:rPr>
        <w:t>BC-12/3.</w:t>
      </w:r>
    </w:p>
  </w:footnote>
  <w:footnote w:id="16">
    <w:p w:rsidR="009E7C50" w:rsidRPr="00DB53DD" w:rsidRDefault="009E7C50" w:rsidP="000151AB">
      <w:pPr>
        <w:pStyle w:val="FootnoteText"/>
        <w:tabs>
          <w:tab w:val="clear" w:pos="1247"/>
          <w:tab w:val="left" w:pos="1134"/>
        </w:tabs>
        <w:ind w:left="1134"/>
        <w:rPr>
          <w:rFonts w:eastAsia="PMingLiU"/>
          <w:lang w:eastAsia="zh-HK"/>
        </w:rPr>
      </w:pPr>
      <w:r w:rsidRPr="00DB53DD">
        <w:rPr>
          <w:rStyle w:val="FootnoteReference"/>
        </w:rPr>
        <w:footnoteRef/>
      </w:r>
      <w:r w:rsidRPr="00DB53DD">
        <w:t xml:space="preserve"> </w:t>
      </w:r>
      <w:proofErr w:type="gramStart"/>
      <w:r w:rsidRPr="00197264">
        <w:rPr>
          <w:i/>
        </w:rPr>
        <w:t>Ibid</w:t>
      </w:r>
      <w:r w:rsidRPr="00DB53DD">
        <w:t xml:space="preserve"> 5</w:t>
      </w:r>
      <w:r w:rsidRPr="00DB53DD">
        <w:rPr>
          <w:rFonts w:eastAsia="PMingLiU" w:hint="eastAsia"/>
          <w:lang w:eastAsia="zh-HK"/>
        </w:rPr>
        <w:t>.</w:t>
      </w:r>
      <w:proofErr w:type="gramEnd"/>
    </w:p>
  </w:footnote>
  <w:footnote w:id="17">
    <w:p w:rsidR="009E7C50" w:rsidRPr="00DB53DD" w:rsidRDefault="009E7C50" w:rsidP="00DB53DD">
      <w:pPr>
        <w:pStyle w:val="FootnoteText"/>
        <w:tabs>
          <w:tab w:val="clear" w:pos="1247"/>
          <w:tab w:val="left" w:pos="1134"/>
        </w:tabs>
        <w:ind w:left="1134"/>
        <w:rPr>
          <w:rFonts w:eastAsia="PMingLiU"/>
          <w:lang w:val="de-DE" w:eastAsia="zh-HK"/>
        </w:rPr>
      </w:pPr>
      <w:r w:rsidRPr="00DB53DD">
        <w:rPr>
          <w:rStyle w:val="FootnoteReference"/>
        </w:rPr>
        <w:footnoteRef/>
      </w:r>
      <w:r w:rsidRPr="00DB53DD">
        <w:t xml:space="preserve"> </w:t>
      </w:r>
      <w:proofErr w:type="gramStart"/>
      <w:r w:rsidRPr="00197264">
        <w:rPr>
          <w:i/>
        </w:rPr>
        <w:t>Ibid</w:t>
      </w:r>
      <w:r w:rsidRPr="00DB53DD">
        <w:rPr>
          <w:lang w:val="de-DE"/>
        </w:rPr>
        <w:t xml:space="preserve"> 1</w:t>
      </w:r>
      <w:r>
        <w:rPr>
          <w:lang w:val="de-DE"/>
        </w:rPr>
        <w:t>5.</w:t>
      </w:r>
      <w:proofErr w:type="gramEnd"/>
      <w:r>
        <w:rPr>
          <w:lang w:val="de-DE"/>
        </w:rPr>
        <w:t xml:space="preserve"> </w:t>
      </w:r>
    </w:p>
  </w:footnote>
  <w:footnote w:id="18">
    <w:p w:rsidR="009E7C50" w:rsidRPr="00072E34" w:rsidRDefault="009E7C50" w:rsidP="000151AB">
      <w:pPr>
        <w:pStyle w:val="FootnoteText"/>
        <w:tabs>
          <w:tab w:val="clear" w:pos="1247"/>
          <w:tab w:val="left" w:pos="1134"/>
        </w:tabs>
        <w:ind w:left="1134"/>
        <w:rPr>
          <w:rFonts w:eastAsia="PMingLiU"/>
          <w:lang w:eastAsia="zh-HK"/>
        </w:rPr>
      </w:pPr>
      <w:r w:rsidRPr="00DB53DD">
        <w:rPr>
          <w:rStyle w:val="FootnoteReference"/>
        </w:rPr>
        <w:footnoteRef/>
      </w:r>
      <w:r w:rsidRPr="00DB53DD">
        <w:t xml:space="preserve"> </w:t>
      </w:r>
      <w:proofErr w:type="gramStart"/>
      <w:r w:rsidRPr="00197264">
        <w:rPr>
          <w:i/>
        </w:rPr>
        <w:t>Ibid</w:t>
      </w:r>
      <w:r w:rsidRPr="00DB53DD">
        <w:t xml:space="preserve"> 5</w:t>
      </w:r>
      <w:r w:rsidRPr="00DB53DD">
        <w:rPr>
          <w:rFonts w:eastAsia="PMingLiU" w:hint="eastAsia"/>
          <w:lang w:eastAsia="zh-HK"/>
        </w:rPr>
        <w:t>.</w:t>
      </w:r>
      <w:proofErr w:type="gramEnd"/>
    </w:p>
  </w:footnote>
  <w:footnote w:id="19">
    <w:p w:rsidR="009E7C50" w:rsidRPr="00072E34" w:rsidRDefault="009E7C50" w:rsidP="007E4926">
      <w:pPr>
        <w:pStyle w:val="FootnoteText"/>
        <w:tabs>
          <w:tab w:val="clear" w:pos="1247"/>
          <w:tab w:val="left" w:pos="1134"/>
        </w:tabs>
        <w:ind w:left="1134"/>
        <w:rPr>
          <w:szCs w:val="18"/>
        </w:rPr>
      </w:pPr>
      <w:r w:rsidRPr="00072E34">
        <w:rPr>
          <w:rStyle w:val="FootnoteReference"/>
          <w:sz w:val="18"/>
        </w:rPr>
        <w:footnoteRef/>
      </w:r>
      <w:r w:rsidRPr="00072E34">
        <w:rPr>
          <w:szCs w:val="18"/>
        </w:rPr>
        <w:t xml:space="preserve"> </w:t>
      </w:r>
      <w:r w:rsidRPr="007E4926">
        <w:t>The</w:t>
      </w:r>
      <w:r w:rsidRPr="00072E34">
        <w:rPr>
          <w:szCs w:val="18"/>
        </w:rPr>
        <w:t xml:space="preserve"> limit value has been set for the sum of tetra-, </w:t>
      </w:r>
      <w:proofErr w:type="spellStart"/>
      <w:r w:rsidRPr="00072E34">
        <w:rPr>
          <w:szCs w:val="18"/>
        </w:rPr>
        <w:t>penta</w:t>
      </w:r>
      <w:proofErr w:type="spellEnd"/>
      <w:r w:rsidRPr="00072E34">
        <w:rPr>
          <w:szCs w:val="18"/>
        </w:rPr>
        <w:t xml:space="preserve">-, </w:t>
      </w:r>
      <w:proofErr w:type="spellStart"/>
      <w:r w:rsidRPr="00072E34">
        <w:rPr>
          <w:szCs w:val="18"/>
        </w:rPr>
        <w:t>hexa</w:t>
      </w:r>
      <w:proofErr w:type="spellEnd"/>
      <w:r w:rsidRPr="00072E34">
        <w:rPr>
          <w:szCs w:val="18"/>
        </w:rPr>
        <w:t xml:space="preserve">-, and </w:t>
      </w:r>
      <w:proofErr w:type="spellStart"/>
      <w:r w:rsidRPr="00072E34">
        <w:rPr>
          <w:szCs w:val="18"/>
        </w:rPr>
        <w:t>hepta</w:t>
      </w:r>
      <w:proofErr w:type="spellEnd"/>
      <w:r w:rsidRPr="00072E34">
        <w:rPr>
          <w:szCs w:val="18"/>
        </w:rPr>
        <w:t>-BDE, because commercial mixtures have varying congener composition (see section I.B.1 of the POP-BDE guidelines)</w:t>
      </w:r>
      <w:r>
        <w:rPr>
          <w:szCs w:val="18"/>
        </w:rPr>
        <w:t>,</w:t>
      </w:r>
      <w:r w:rsidRPr="00072E34">
        <w:rPr>
          <w:szCs w:val="18"/>
        </w:rPr>
        <w:t xml:space="preserve"> and for analytical efficiencies.</w:t>
      </w:r>
    </w:p>
  </w:footnote>
  <w:footnote w:id="20">
    <w:p w:rsidR="009E7C50" w:rsidRPr="00DB53DD" w:rsidRDefault="009E7C50" w:rsidP="000151AB">
      <w:pPr>
        <w:pStyle w:val="FootnoteText"/>
        <w:tabs>
          <w:tab w:val="clear" w:pos="1247"/>
          <w:tab w:val="left" w:pos="1134"/>
        </w:tabs>
        <w:ind w:left="1134"/>
        <w:rPr>
          <w:rFonts w:eastAsia="PMingLiU"/>
          <w:lang w:eastAsia="zh-HK"/>
        </w:rPr>
      </w:pPr>
      <w:r w:rsidRPr="00DB53DD">
        <w:rPr>
          <w:rStyle w:val="FootnoteReference"/>
        </w:rPr>
        <w:footnoteRef/>
      </w:r>
      <w:r w:rsidRPr="00DB53DD">
        <w:t xml:space="preserve"> </w:t>
      </w:r>
      <w:proofErr w:type="gramStart"/>
      <w:r w:rsidRPr="00197264">
        <w:rPr>
          <w:i/>
        </w:rPr>
        <w:t>Ibid</w:t>
      </w:r>
      <w:r w:rsidRPr="00DB53DD">
        <w:t xml:space="preserve"> 5</w:t>
      </w:r>
      <w:r w:rsidRPr="00DB53DD">
        <w:rPr>
          <w:rFonts w:eastAsia="PMingLiU" w:hint="eastAsia"/>
          <w:lang w:eastAsia="zh-HK"/>
        </w:rPr>
        <w:t>.</w:t>
      </w:r>
      <w:proofErr w:type="gramEnd"/>
    </w:p>
  </w:footnote>
  <w:footnote w:id="21">
    <w:p w:rsidR="009E7C50" w:rsidRPr="00DB53DD" w:rsidRDefault="009E7C50" w:rsidP="000151AB">
      <w:pPr>
        <w:pStyle w:val="FootnoteText"/>
        <w:tabs>
          <w:tab w:val="clear" w:pos="1247"/>
          <w:tab w:val="left" w:pos="1134"/>
        </w:tabs>
        <w:ind w:left="1134"/>
        <w:rPr>
          <w:rFonts w:eastAsia="PMingLiU"/>
          <w:lang w:eastAsia="zh-HK"/>
        </w:rPr>
      </w:pPr>
      <w:r w:rsidRPr="00DB53DD">
        <w:rPr>
          <w:rStyle w:val="FootnoteReference"/>
        </w:rPr>
        <w:footnoteRef/>
      </w:r>
      <w:r w:rsidRPr="00DB53DD">
        <w:t xml:space="preserve"> </w:t>
      </w:r>
      <w:proofErr w:type="gramStart"/>
      <w:r w:rsidRPr="00197264">
        <w:rPr>
          <w:i/>
        </w:rPr>
        <w:t>Ibid</w:t>
      </w:r>
      <w:r w:rsidRPr="00DF7289">
        <w:t xml:space="preserve"> 5</w:t>
      </w:r>
      <w:r w:rsidRPr="00DB53DD">
        <w:rPr>
          <w:rFonts w:eastAsia="PMingLiU" w:hint="eastAsia"/>
          <w:lang w:eastAsia="zh-HK"/>
        </w:rPr>
        <w:t>.</w:t>
      </w:r>
      <w:proofErr w:type="gramEnd"/>
    </w:p>
  </w:footnote>
  <w:footnote w:id="22">
    <w:p w:rsidR="009E7C50" w:rsidRPr="00072E34" w:rsidRDefault="009E7C50" w:rsidP="000151AB">
      <w:pPr>
        <w:pStyle w:val="FootnoteText"/>
        <w:tabs>
          <w:tab w:val="clear" w:pos="1247"/>
          <w:tab w:val="left" w:pos="1134"/>
        </w:tabs>
        <w:ind w:left="1134"/>
        <w:rPr>
          <w:rFonts w:eastAsia="PMingLiU"/>
          <w:lang w:eastAsia="zh-HK"/>
        </w:rPr>
      </w:pPr>
      <w:r w:rsidRPr="00DB53DD">
        <w:rPr>
          <w:rStyle w:val="FootnoteReference"/>
        </w:rPr>
        <w:footnoteRef/>
      </w:r>
      <w:r w:rsidRPr="00DB53DD">
        <w:t xml:space="preserve"> </w:t>
      </w:r>
      <w:proofErr w:type="gramStart"/>
      <w:r w:rsidRPr="00197264">
        <w:rPr>
          <w:i/>
        </w:rPr>
        <w:t>Ibid</w:t>
      </w:r>
      <w:r w:rsidRPr="00DF7289">
        <w:t xml:space="preserve"> 5</w:t>
      </w:r>
      <w:r w:rsidRPr="00DB53DD">
        <w:rPr>
          <w:rFonts w:eastAsia="PMingLiU" w:hint="eastAsia"/>
          <w:lang w:eastAsia="zh-HK"/>
        </w:rPr>
        <w:t>.</w:t>
      </w:r>
      <w:proofErr w:type="gramEnd"/>
    </w:p>
  </w:footnote>
  <w:footnote w:id="23">
    <w:p w:rsidR="009E7C50" w:rsidRPr="00072E34" w:rsidRDefault="009E7C50" w:rsidP="007E4926">
      <w:pPr>
        <w:pStyle w:val="FootnoteText"/>
        <w:tabs>
          <w:tab w:val="clear" w:pos="1247"/>
          <w:tab w:val="left" w:pos="1134"/>
        </w:tabs>
        <w:ind w:left="1134"/>
        <w:rPr>
          <w:rFonts w:eastAsia="PMingLiU"/>
          <w:szCs w:val="18"/>
          <w:lang w:val="en-US" w:eastAsia="zh-HK"/>
        </w:rPr>
      </w:pPr>
      <w:r w:rsidRPr="00072E34">
        <w:rPr>
          <w:rStyle w:val="FootnoteReference"/>
          <w:sz w:val="18"/>
        </w:rPr>
        <w:footnoteRef/>
      </w:r>
      <w:r w:rsidRPr="00072E34">
        <w:rPr>
          <w:szCs w:val="18"/>
        </w:rPr>
        <w:t xml:space="preserve"> </w:t>
      </w:r>
      <w:r w:rsidRPr="007E4926">
        <w:t>TEQ</w:t>
      </w:r>
      <w:r w:rsidRPr="00072E34">
        <w:rPr>
          <w:szCs w:val="18"/>
        </w:rPr>
        <w:t xml:space="preserve"> as referred to in </w:t>
      </w:r>
      <w:r>
        <w:rPr>
          <w:szCs w:val="18"/>
        </w:rPr>
        <w:t>A</w:t>
      </w:r>
      <w:r w:rsidRPr="00072E34">
        <w:rPr>
          <w:szCs w:val="18"/>
        </w:rPr>
        <w:t xml:space="preserve">nnex C, part IV, paragraph 2, </w:t>
      </w:r>
      <w:r>
        <w:rPr>
          <w:szCs w:val="18"/>
        </w:rPr>
        <w:t>to</w:t>
      </w:r>
      <w:r w:rsidRPr="00072E34">
        <w:rPr>
          <w:szCs w:val="18"/>
        </w:rPr>
        <w:t xml:space="preserve"> the Stockholm Convention, but only for PCDDs and PCDFs</w:t>
      </w:r>
      <w:r>
        <w:rPr>
          <w:rFonts w:eastAsia="PMingLiU" w:hint="eastAsia"/>
          <w:szCs w:val="18"/>
          <w:lang w:eastAsia="zh-HK"/>
        </w:rPr>
        <w:t>.</w:t>
      </w:r>
    </w:p>
  </w:footnote>
  <w:footnote w:id="24">
    <w:p w:rsidR="009E7C50" w:rsidRPr="00DB53DD" w:rsidRDefault="009E7C50" w:rsidP="000151AB">
      <w:pPr>
        <w:pStyle w:val="FootnoteText"/>
        <w:tabs>
          <w:tab w:val="clear" w:pos="1247"/>
          <w:tab w:val="left" w:pos="1134"/>
        </w:tabs>
        <w:ind w:left="1134"/>
        <w:rPr>
          <w:rFonts w:eastAsia="PMingLiU"/>
          <w:lang w:eastAsia="zh-HK"/>
        </w:rPr>
      </w:pPr>
      <w:r w:rsidRPr="00DB53DD">
        <w:rPr>
          <w:rStyle w:val="FootnoteReference"/>
        </w:rPr>
        <w:footnoteRef/>
      </w:r>
      <w:r w:rsidRPr="00DB53DD">
        <w:t xml:space="preserve"> </w:t>
      </w:r>
      <w:proofErr w:type="gramStart"/>
      <w:r w:rsidRPr="00197264">
        <w:rPr>
          <w:i/>
        </w:rPr>
        <w:t>Ibid</w:t>
      </w:r>
      <w:r w:rsidRPr="00DB53DD">
        <w:t xml:space="preserve"> 5</w:t>
      </w:r>
      <w:r w:rsidRPr="00DB53DD">
        <w:rPr>
          <w:rFonts w:eastAsia="PMingLiU" w:hint="eastAsia"/>
          <w:lang w:eastAsia="zh-HK"/>
        </w:rPr>
        <w:t>.</w:t>
      </w:r>
      <w:proofErr w:type="gramEnd"/>
    </w:p>
  </w:footnote>
  <w:footnote w:id="25">
    <w:p w:rsidR="009E7C50" w:rsidRPr="00DF7289" w:rsidRDefault="009E7C50" w:rsidP="000151AB">
      <w:pPr>
        <w:pStyle w:val="FootnoteText"/>
        <w:tabs>
          <w:tab w:val="clear" w:pos="1247"/>
          <w:tab w:val="left" w:pos="1134"/>
        </w:tabs>
        <w:ind w:left="1134"/>
        <w:rPr>
          <w:rFonts w:eastAsia="PMingLiU"/>
          <w:lang w:eastAsia="zh-HK"/>
        </w:rPr>
      </w:pPr>
      <w:r w:rsidRPr="00DB53DD">
        <w:rPr>
          <w:rStyle w:val="FootnoteReference"/>
        </w:rPr>
        <w:footnoteRef/>
      </w:r>
      <w:r w:rsidRPr="00DB53DD">
        <w:t xml:space="preserve"> </w:t>
      </w:r>
      <w:proofErr w:type="gramStart"/>
      <w:r w:rsidRPr="00197264">
        <w:rPr>
          <w:i/>
        </w:rPr>
        <w:t>Ibid</w:t>
      </w:r>
      <w:r w:rsidRPr="00DF7289">
        <w:t xml:space="preserve"> 5</w:t>
      </w:r>
      <w:r w:rsidRPr="00DF7289">
        <w:rPr>
          <w:rFonts w:eastAsia="PMingLiU" w:hint="eastAsia"/>
          <w:lang w:eastAsia="zh-HK"/>
        </w:rPr>
        <w:t>.</w:t>
      </w:r>
      <w:proofErr w:type="gramEnd"/>
    </w:p>
  </w:footnote>
  <w:footnote w:id="26">
    <w:p w:rsidR="009E7C50" w:rsidRPr="00DF7289" w:rsidRDefault="009E7C50" w:rsidP="000151AB">
      <w:pPr>
        <w:pStyle w:val="FootnoteText"/>
        <w:tabs>
          <w:tab w:val="clear" w:pos="1247"/>
          <w:tab w:val="left" w:pos="1134"/>
        </w:tabs>
        <w:ind w:left="1134"/>
        <w:rPr>
          <w:rFonts w:eastAsia="PMingLiU"/>
          <w:lang w:eastAsia="zh-HK"/>
        </w:rPr>
      </w:pPr>
      <w:r w:rsidRPr="00DB53DD">
        <w:rPr>
          <w:rStyle w:val="FootnoteReference"/>
        </w:rPr>
        <w:footnoteRef/>
      </w:r>
      <w:r w:rsidRPr="00DB53DD">
        <w:t xml:space="preserve"> </w:t>
      </w:r>
      <w:proofErr w:type="gramStart"/>
      <w:r w:rsidRPr="00DF7289">
        <w:t>Ibid 5</w:t>
      </w:r>
      <w:r w:rsidRPr="00DF7289">
        <w:rPr>
          <w:rFonts w:eastAsia="PMingLiU" w:hint="eastAsia"/>
          <w:lang w:eastAsia="zh-HK"/>
        </w:rPr>
        <w:t>.</w:t>
      </w:r>
      <w:proofErr w:type="gramEnd"/>
    </w:p>
  </w:footnote>
  <w:footnote w:id="27">
    <w:p w:rsidR="009E7C50" w:rsidRPr="00072E34" w:rsidRDefault="009E7C50" w:rsidP="000151AB">
      <w:pPr>
        <w:pStyle w:val="FootnoteText"/>
        <w:tabs>
          <w:tab w:val="clear" w:pos="1247"/>
          <w:tab w:val="left" w:pos="1134"/>
        </w:tabs>
        <w:ind w:left="1134"/>
        <w:rPr>
          <w:rFonts w:eastAsia="PMingLiU"/>
          <w:lang w:eastAsia="zh-HK"/>
        </w:rPr>
      </w:pPr>
      <w:r w:rsidRPr="00DB53DD">
        <w:rPr>
          <w:rStyle w:val="FootnoteReference"/>
        </w:rPr>
        <w:footnoteRef/>
      </w:r>
      <w:r w:rsidRPr="00DB53DD">
        <w:t xml:space="preserve"> </w:t>
      </w:r>
      <w:proofErr w:type="gramStart"/>
      <w:r w:rsidRPr="00DF7289">
        <w:t>Ibid 5</w:t>
      </w:r>
      <w:r w:rsidRPr="00DF7289">
        <w:rPr>
          <w:rFonts w:eastAsia="PMingLiU" w:hint="eastAsia"/>
          <w:lang w:eastAsia="zh-HK"/>
        </w:rPr>
        <w:t>.</w:t>
      </w:r>
      <w:proofErr w:type="gramEnd"/>
    </w:p>
  </w:footnote>
  <w:footnote w:id="28">
    <w:p w:rsidR="009E7C50" w:rsidRPr="00072E34" w:rsidRDefault="009E7C50" w:rsidP="007E4926">
      <w:pPr>
        <w:pStyle w:val="FootnoteText"/>
        <w:tabs>
          <w:tab w:val="clear" w:pos="1247"/>
          <w:tab w:val="left" w:pos="1134"/>
        </w:tabs>
        <w:ind w:left="1134"/>
        <w:rPr>
          <w:rStyle w:val="FootnoteReference"/>
          <w:sz w:val="18"/>
        </w:rPr>
      </w:pPr>
      <w:r w:rsidRPr="00072E34">
        <w:rPr>
          <w:rStyle w:val="FootnoteReference"/>
          <w:sz w:val="18"/>
        </w:rPr>
        <w:footnoteRef/>
      </w:r>
      <w:r w:rsidRPr="00072E34">
        <w:rPr>
          <w:szCs w:val="18"/>
        </w:rPr>
        <w:t xml:space="preserve"> </w:t>
      </w:r>
      <w:r w:rsidRPr="007E4926">
        <w:t>Calculated</w:t>
      </w:r>
      <w:r w:rsidRPr="00072E34">
        <w:rPr>
          <w:rStyle w:val="FootnoteReference"/>
          <w:sz w:val="18"/>
          <w:vertAlign w:val="baseline"/>
        </w:rPr>
        <w:t xml:space="preserve"> on the basis of the mass of the POP content within the waste, minus the mass of </w:t>
      </w:r>
      <w:r w:rsidRPr="00072E34">
        <w:rPr>
          <w:szCs w:val="18"/>
        </w:rPr>
        <w:t xml:space="preserve">the </w:t>
      </w:r>
      <w:r w:rsidRPr="00072E34">
        <w:rPr>
          <w:rStyle w:val="FootnoteReference"/>
          <w:sz w:val="18"/>
          <w:vertAlign w:val="baseline"/>
        </w:rPr>
        <w:t xml:space="preserve">remaining POP </w:t>
      </w:r>
      <w:r w:rsidRPr="00072E34">
        <w:rPr>
          <w:szCs w:val="18"/>
        </w:rPr>
        <w:t xml:space="preserve">content </w:t>
      </w:r>
      <w:r w:rsidRPr="00072E34">
        <w:rPr>
          <w:rStyle w:val="FootnoteReference"/>
          <w:sz w:val="18"/>
          <w:vertAlign w:val="baseline"/>
        </w:rPr>
        <w:t>in the gaseous, liquid and solid residues, divided by the mass of the POP content within the waste, i.e.,</w:t>
      </w:r>
      <w:r w:rsidRPr="00072E34">
        <w:rPr>
          <w:szCs w:val="18"/>
        </w:rPr>
        <w:t xml:space="preserve"> </w:t>
      </w:r>
      <w:r w:rsidRPr="00072E34">
        <w:rPr>
          <w:rStyle w:val="FootnoteReference"/>
          <w:sz w:val="18"/>
          <w:vertAlign w:val="baseline"/>
        </w:rPr>
        <w:t>DE</w:t>
      </w:r>
      <w:r w:rsidRPr="00072E34">
        <w:rPr>
          <w:szCs w:val="18"/>
        </w:rPr>
        <w:t> </w:t>
      </w:r>
      <w:r w:rsidRPr="00072E34">
        <w:rPr>
          <w:rStyle w:val="FootnoteReference"/>
          <w:sz w:val="18"/>
          <w:vertAlign w:val="baseline"/>
        </w:rPr>
        <w:t>=</w:t>
      </w:r>
      <w:r w:rsidRPr="00072E34">
        <w:rPr>
          <w:szCs w:val="18"/>
        </w:rPr>
        <w:t> </w:t>
      </w:r>
      <w:r w:rsidRPr="00072E34">
        <w:rPr>
          <w:rStyle w:val="FootnoteReference"/>
          <w:sz w:val="18"/>
          <w:vertAlign w:val="baseline"/>
        </w:rPr>
        <w:t>(POP content within waste – POP content within gas, liquid and solid residual) / POP content within the waste.</w:t>
      </w:r>
    </w:p>
  </w:footnote>
  <w:footnote w:id="29">
    <w:p w:rsidR="009E7C50" w:rsidRPr="00CF1365" w:rsidRDefault="009E7C50" w:rsidP="00CF59BC">
      <w:pPr>
        <w:pStyle w:val="FootnoteText"/>
        <w:tabs>
          <w:tab w:val="clear" w:pos="1247"/>
          <w:tab w:val="left" w:pos="1134"/>
        </w:tabs>
        <w:ind w:left="1134"/>
        <w:rPr>
          <w:rStyle w:val="FootnoteReference"/>
          <w:sz w:val="18"/>
        </w:rPr>
      </w:pPr>
      <w:r w:rsidRPr="00CF1365">
        <w:rPr>
          <w:rStyle w:val="FootnoteReference"/>
          <w:sz w:val="18"/>
        </w:rPr>
        <w:footnoteRef/>
      </w:r>
      <w:r w:rsidRPr="00CF1365">
        <w:rPr>
          <w:rStyle w:val="FootnoteReference"/>
          <w:sz w:val="18"/>
        </w:rPr>
        <w:t xml:space="preserve"> </w:t>
      </w:r>
      <w:r w:rsidRPr="007E4926">
        <w:t>Calculated</w:t>
      </w:r>
      <w:r w:rsidRPr="00CF1365">
        <w:rPr>
          <w:rStyle w:val="FootnoteReference"/>
          <w:sz w:val="18"/>
          <w:vertAlign w:val="baseline"/>
        </w:rPr>
        <w:t xml:space="preserve"> on the basis of </w:t>
      </w:r>
      <w:r w:rsidRPr="00CF1365">
        <w:rPr>
          <w:szCs w:val="18"/>
        </w:rPr>
        <w:t xml:space="preserve">the </w:t>
      </w:r>
      <w:r w:rsidRPr="00CF1365">
        <w:rPr>
          <w:rStyle w:val="FootnoteReference"/>
          <w:sz w:val="18"/>
          <w:vertAlign w:val="baseline"/>
        </w:rPr>
        <w:t xml:space="preserve">mass of the POP content within the waste, minus the mass of </w:t>
      </w:r>
      <w:r w:rsidRPr="00CF1365">
        <w:rPr>
          <w:szCs w:val="18"/>
        </w:rPr>
        <w:t xml:space="preserve">the </w:t>
      </w:r>
      <w:r w:rsidRPr="00CF1365">
        <w:rPr>
          <w:rStyle w:val="FootnoteReference"/>
          <w:sz w:val="18"/>
          <w:vertAlign w:val="baseline"/>
        </w:rPr>
        <w:t>remaining POP</w:t>
      </w:r>
      <w:r w:rsidRPr="00CF1365">
        <w:rPr>
          <w:szCs w:val="18"/>
        </w:rPr>
        <w:t xml:space="preserve"> content</w:t>
      </w:r>
      <w:r w:rsidRPr="00CF1365">
        <w:rPr>
          <w:rStyle w:val="FootnoteReference"/>
          <w:sz w:val="18"/>
          <w:vertAlign w:val="baseline"/>
        </w:rPr>
        <w:t xml:space="preserve"> in the gaseous residues (stack emissions), divided by the mass of the POP content within the wastes, i.e.,</w:t>
      </w:r>
      <w:r w:rsidRPr="00CF1365">
        <w:rPr>
          <w:szCs w:val="18"/>
        </w:rPr>
        <w:t xml:space="preserve"> </w:t>
      </w:r>
      <w:r w:rsidRPr="00CF1365">
        <w:rPr>
          <w:rStyle w:val="FootnoteReference"/>
          <w:sz w:val="18"/>
          <w:vertAlign w:val="baseline"/>
        </w:rPr>
        <w:t>DRE = (POP content within waste – POP content within gas residual) / POP content within the waste.</w:t>
      </w:r>
    </w:p>
  </w:footnote>
  <w:footnote w:id="30">
    <w:p w:rsidR="009E7C50" w:rsidRPr="0062719B" w:rsidRDefault="009E7C50" w:rsidP="007E4926">
      <w:pPr>
        <w:pStyle w:val="FootnoteText"/>
        <w:tabs>
          <w:tab w:val="clear" w:pos="1247"/>
          <w:tab w:val="left" w:pos="1134"/>
        </w:tabs>
        <w:ind w:left="1134"/>
      </w:pPr>
      <w:r>
        <w:rPr>
          <w:rStyle w:val="FootnoteReference"/>
        </w:rPr>
        <w:footnoteRef/>
      </w:r>
      <w:r>
        <w:t xml:space="preserve"> For example, in Japan, the Ministry of the Environment in 2010 issued a “</w:t>
      </w:r>
      <w:r w:rsidRPr="00405DFE">
        <w:t>Technical Guideline for the Environmentally Sound Treatment of PFOS Wastes</w:t>
      </w:r>
      <w:r>
        <w:t>”, which states that destruction levels for PFOS and its salts must be over 99.999 per cent (Ministry of the Environment of Japan, 2013b).</w:t>
      </w:r>
    </w:p>
  </w:footnote>
  <w:footnote w:id="31">
    <w:p w:rsidR="009E7C50" w:rsidRDefault="009E7C50" w:rsidP="007E4926">
      <w:pPr>
        <w:pStyle w:val="FootnoteText"/>
        <w:tabs>
          <w:tab w:val="clear" w:pos="1247"/>
          <w:tab w:val="left" w:pos="1134"/>
        </w:tabs>
        <w:ind w:left="1134"/>
        <w:rPr>
          <w:rStyle w:val="FootnoteReference"/>
          <w:sz w:val="18"/>
        </w:rPr>
      </w:pPr>
      <w:r w:rsidRPr="005E5BFF">
        <w:rPr>
          <w:rStyle w:val="FootnoteReference"/>
          <w:sz w:val="18"/>
        </w:rPr>
        <w:footnoteRef/>
      </w:r>
      <w:r w:rsidRPr="005E5BFF">
        <w:rPr>
          <w:rStyle w:val="FootnoteReference"/>
          <w:sz w:val="18"/>
        </w:rPr>
        <w:t xml:space="preserve"> </w:t>
      </w:r>
      <w:proofErr w:type="gramStart"/>
      <w:r w:rsidRPr="007E4926">
        <w:t>TEQ</w:t>
      </w:r>
      <w:r w:rsidRPr="005E5BFF">
        <w:rPr>
          <w:rStyle w:val="FootnoteReference"/>
          <w:sz w:val="18"/>
          <w:vertAlign w:val="baseline"/>
        </w:rPr>
        <w:t xml:space="preserve"> as referred to in </w:t>
      </w:r>
      <w:r>
        <w:t>A</w:t>
      </w:r>
      <w:r w:rsidRPr="005E5BFF">
        <w:rPr>
          <w:rStyle w:val="FootnoteReference"/>
          <w:sz w:val="18"/>
          <w:vertAlign w:val="baseline"/>
        </w:rPr>
        <w:t xml:space="preserve">nnex C, </w:t>
      </w:r>
      <w:r>
        <w:t>p</w:t>
      </w:r>
      <w:r w:rsidRPr="005E5BFF">
        <w:rPr>
          <w:rStyle w:val="FootnoteReference"/>
          <w:sz w:val="18"/>
          <w:vertAlign w:val="baseline"/>
        </w:rPr>
        <w:t>art IV, paragraph 2</w:t>
      </w:r>
      <w:r>
        <w:rPr>
          <w:rStyle w:val="FootnoteReference"/>
          <w:sz w:val="18"/>
          <w:vertAlign w:val="baseline"/>
        </w:rPr>
        <w:t>,</w:t>
      </w:r>
      <w:r w:rsidRPr="005E5BFF">
        <w:rPr>
          <w:rStyle w:val="FootnoteReference"/>
          <w:sz w:val="18"/>
          <w:vertAlign w:val="baseline"/>
        </w:rPr>
        <w:t xml:space="preserve"> </w:t>
      </w:r>
      <w:r>
        <w:rPr>
          <w:rStyle w:val="FootnoteReference"/>
          <w:sz w:val="18"/>
          <w:vertAlign w:val="baseline"/>
        </w:rPr>
        <w:t>t</w:t>
      </w:r>
      <w:r>
        <w:t>o</w:t>
      </w:r>
      <w:r w:rsidRPr="005E5BFF">
        <w:rPr>
          <w:rStyle w:val="FootnoteReference"/>
          <w:sz w:val="18"/>
          <w:vertAlign w:val="baseline"/>
        </w:rPr>
        <w:t xml:space="preserve"> the Stockholm Convention, </w:t>
      </w:r>
      <w:r w:rsidRPr="005E5BFF">
        <w:rPr>
          <w:szCs w:val="18"/>
        </w:rPr>
        <w:t>but only for PCDDs and PCDFs</w:t>
      </w:r>
      <w:r w:rsidRPr="005E5BFF">
        <w:rPr>
          <w:rStyle w:val="FootnoteReference"/>
          <w:sz w:val="18"/>
          <w:vertAlign w:val="baseline"/>
        </w:rPr>
        <w:t>. Nm</w:t>
      </w:r>
      <w:r w:rsidRPr="005E5BFF">
        <w:rPr>
          <w:rStyle w:val="FootnoteReference"/>
          <w:sz w:val="18"/>
        </w:rPr>
        <w:t>3</w:t>
      </w:r>
      <w:r w:rsidRPr="005E5BFF">
        <w:rPr>
          <w:rStyle w:val="FootnoteReference"/>
          <w:sz w:val="18"/>
          <w:vertAlign w:val="baseline"/>
        </w:rPr>
        <w:t xml:space="preserve"> refers to dry gas, 101.3 </w:t>
      </w:r>
      <w:proofErr w:type="spellStart"/>
      <w:r w:rsidRPr="005E5BFF">
        <w:rPr>
          <w:rStyle w:val="FootnoteReference"/>
          <w:sz w:val="18"/>
          <w:vertAlign w:val="baseline"/>
        </w:rPr>
        <w:t>kPa</w:t>
      </w:r>
      <w:proofErr w:type="spellEnd"/>
      <w:r w:rsidRPr="005E5BFF">
        <w:rPr>
          <w:rStyle w:val="FootnoteReference"/>
          <w:sz w:val="18"/>
          <w:vertAlign w:val="baseline"/>
        </w:rPr>
        <w:t xml:space="preserve"> and 273.1</w:t>
      </w:r>
      <w:r w:rsidRPr="002328D7">
        <w:rPr>
          <w:rStyle w:val="FootnoteReference"/>
          <w:sz w:val="18"/>
          <w:vertAlign w:val="baseline"/>
        </w:rPr>
        <w:t>5</w:t>
      </w:r>
      <w:r w:rsidRPr="005E5BFF">
        <w:rPr>
          <w:szCs w:val="18"/>
        </w:rPr>
        <w:t xml:space="preserve"> </w:t>
      </w:r>
      <w:r w:rsidRPr="002328D7">
        <w:rPr>
          <w:rStyle w:val="FootnoteReference"/>
          <w:sz w:val="18"/>
          <w:vertAlign w:val="baseline"/>
        </w:rPr>
        <w:t>K. Standardi</w:t>
      </w:r>
      <w:r w:rsidRPr="005E5BFF">
        <w:rPr>
          <w:szCs w:val="18"/>
        </w:rPr>
        <w:t>z</w:t>
      </w:r>
      <w:r w:rsidRPr="002328D7">
        <w:rPr>
          <w:rStyle w:val="FootnoteReference"/>
          <w:sz w:val="18"/>
          <w:vertAlign w:val="baseline"/>
        </w:rPr>
        <w:t>ation at 11</w:t>
      </w:r>
      <w:r w:rsidRPr="005E5BFF">
        <w:rPr>
          <w:szCs w:val="18"/>
        </w:rPr>
        <w:t xml:space="preserve"> </w:t>
      </w:r>
      <w:r w:rsidRPr="002328D7">
        <w:rPr>
          <w:rStyle w:val="FootnoteReference"/>
          <w:sz w:val="18"/>
          <w:vertAlign w:val="baseline"/>
        </w:rPr>
        <w:t>per cent O</w:t>
      </w:r>
      <w:r w:rsidRPr="002328D7">
        <w:rPr>
          <w:rStyle w:val="FootnoteReference"/>
          <w:sz w:val="18"/>
          <w:vertAlign w:val="subscript"/>
        </w:rPr>
        <w:t>2</w:t>
      </w:r>
      <w:r w:rsidRPr="005E5BFF">
        <w:rPr>
          <w:szCs w:val="18"/>
        </w:rPr>
        <w:t>.</w:t>
      </w:r>
      <w:proofErr w:type="gramEnd"/>
      <w:r>
        <w:rPr>
          <w:szCs w:val="18"/>
        </w:rPr>
        <w:t xml:space="preserve"> Standardization at 10</w:t>
      </w:r>
      <w:r w:rsidRPr="006E7540">
        <w:rPr>
          <w:rStyle w:val="FootnoteReference"/>
          <w:sz w:val="18"/>
          <w:vertAlign w:val="baseline"/>
        </w:rPr>
        <w:t xml:space="preserve"> </w:t>
      </w:r>
      <w:r w:rsidRPr="002328D7">
        <w:rPr>
          <w:rStyle w:val="FootnoteReference"/>
          <w:sz w:val="18"/>
          <w:vertAlign w:val="baseline"/>
        </w:rPr>
        <w:t>per cent O</w:t>
      </w:r>
      <w:r w:rsidRPr="002328D7">
        <w:rPr>
          <w:rStyle w:val="FootnoteReference"/>
          <w:sz w:val="18"/>
          <w:vertAlign w:val="subscript"/>
        </w:rPr>
        <w:t>2</w:t>
      </w:r>
      <w:r>
        <w:rPr>
          <w:vertAlign w:val="subscript"/>
        </w:rPr>
        <w:t xml:space="preserve"> </w:t>
      </w:r>
      <w:r>
        <w:rPr>
          <w:szCs w:val="18"/>
        </w:rPr>
        <w:t xml:space="preserve">for cement kilns co-incineration. </w:t>
      </w:r>
    </w:p>
  </w:footnote>
  <w:footnote w:id="32">
    <w:p w:rsidR="009E7C50" w:rsidRDefault="009E7C50" w:rsidP="007E4926">
      <w:pPr>
        <w:pStyle w:val="FootnoteText"/>
        <w:tabs>
          <w:tab w:val="clear" w:pos="1247"/>
          <w:tab w:val="left" w:pos="1134"/>
        </w:tabs>
        <w:ind w:left="1134"/>
        <w:rPr>
          <w:lang w:val="en-US"/>
        </w:rPr>
      </w:pPr>
      <w:r w:rsidRPr="002328D7">
        <w:rPr>
          <w:rStyle w:val="FootnoteReference"/>
          <w:sz w:val="18"/>
        </w:rPr>
        <w:footnoteRef/>
      </w:r>
      <w:r w:rsidRPr="005E5BFF">
        <w:rPr>
          <w:szCs w:val="18"/>
        </w:rPr>
        <w:t xml:space="preserve"> </w:t>
      </w:r>
      <w:r w:rsidRPr="007E4926">
        <w:t>UNEP</w:t>
      </w:r>
      <w:r w:rsidRPr="005E5BFF">
        <w:rPr>
          <w:szCs w:val="18"/>
        </w:rPr>
        <w:t>/CHW.11/3/Add.1/Rev.1</w:t>
      </w:r>
      <w:r>
        <w:rPr>
          <w:szCs w:val="18"/>
        </w:rPr>
        <w:t>.</w:t>
      </w:r>
    </w:p>
  </w:footnote>
  <w:footnote w:id="33">
    <w:p w:rsidR="009E7C50" w:rsidRDefault="009E7C50" w:rsidP="007E4926">
      <w:pPr>
        <w:pStyle w:val="FootnoteText"/>
        <w:tabs>
          <w:tab w:val="clear" w:pos="1247"/>
          <w:tab w:val="left" w:pos="1134"/>
        </w:tabs>
        <w:ind w:left="1134"/>
        <w:rPr>
          <w:rStyle w:val="FootnoteReference"/>
          <w:sz w:val="18"/>
        </w:rPr>
      </w:pPr>
      <w:r w:rsidRPr="005E5BFF">
        <w:rPr>
          <w:rStyle w:val="FootnoteReference"/>
          <w:sz w:val="18"/>
        </w:rPr>
        <w:footnoteRef/>
      </w:r>
      <w:r>
        <w:t xml:space="preserve"> </w:t>
      </w:r>
      <w:r w:rsidRPr="007E4926">
        <w:t>Further</w:t>
      </w:r>
      <w:r w:rsidRPr="005E5BFF">
        <w:rPr>
          <w:rStyle w:val="FootnoteReference"/>
          <w:sz w:val="18"/>
          <w:vertAlign w:val="baseline"/>
        </w:rPr>
        <w:t xml:space="preserve"> guidance on Basel Convention regulatory frameworks can be found in the following documents: </w:t>
      </w:r>
      <w:r w:rsidRPr="009E6809">
        <w:rPr>
          <w:rStyle w:val="FootnoteReference"/>
          <w:i/>
          <w:sz w:val="18"/>
          <w:vertAlign w:val="baseline"/>
        </w:rPr>
        <w:t xml:space="preserve">Manual for the Implementation </w:t>
      </w:r>
      <w:r w:rsidRPr="009E6809">
        <w:rPr>
          <w:i/>
        </w:rPr>
        <w:t xml:space="preserve">of the Basel Convention </w:t>
      </w:r>
      <w:r w:rsidRPr="005E5BFF">
        <w:rPr>
          <w:rStyle w:val="FootnoteReference"/>
          <w:sz w:val="18"/>
          <w:vertAlign w:val="baseline"/>
        </w:rPr>
        <w:t xml:space="preserve">(UNEP, </w:t>
      </w:r>
      <w:r>
        <w:t>2015f</w:t>
      </w:r>
      <w:r w:rsidRPr="005E5BFF">
        <w:rPr>
          <w:rStyle w:val="FootnoteReference"/>
          <w:sz w:val="18"/>
          <w:vertAlign w:val="baseline"/>
        </w:rPr>
        <w:t xml:space="preserve">) and </w:t>
      </w:r>
      <w:r w:rsidRPr="009E6809">
        <w:rPr>
          <w:rStyle w:val="FootnoteReference"/>
          <w:i/>
          <w:sz w:val="18"/>
          <w:vertAlign w:val="baseline"/>
        </w:rPr>
        <w:t xml:space="preserve">Basel Convention: Guide to the Control System </w:t>
      </w:r>
      <w:r w:rsidRPr="005E5BFF">
        <w:rPr>
          <w:rStyle w:val="FootnoteReference"/>
          <w:sz w:val="18"/>
          <w:vertAlign w:val="baseline"/>
        </w:rPr>
        <w:t xml:space="preserve">(UNEP, </w:t>
      </w:r>
      <w:r>
        <w:t>2015g</w:t>
      </w:r>
      <w:r w:rsidRPr="005E5BFF">
        <w:rPr>
          <w:rStyle w:val="FootnoteReference"/>
          <w:sz w:val="18"/>
          <w:vertAlign w:val="baseline"/>
        </w:rPr>
        <w:t xml:space="preserve">). Parties to the Stockholm Convention should also consult </w:t>
      </w:r>
      <w:r>
        <w:rPr>
          <w:rStyle w:val="FootnoteReference"/>
          <w:sz w:val="18"/>
          <w:vertAlign w:val="baseline"/>
        </w:rPr>
        <w:t xml:space="preserve">the </w:t>
      </w:r>
      <w:r w:rsidRPr="009E6809">
        <w:rPr>
          <w:rStyle w:val="FootnoteReference"/>
          <w:i/>
          <w:sz w:val="18"/>
          <w:vertAlign w:val="baseline"/>
        </w:rPr>
        <w:t xml:space="preserve">Guidance for Developing a </w:t>
      </w:r>
      <w:r w:rsidRPr="009E6809">
        <w:rPr>
          <w:i/>
          <w:szCs w:val="18"/>
        </w:rPr>
        <w:t xml:space="preserve">National Implementation Plan </w:t>
      </w:r>
      <w:r w:rsidRPr="009E6809">
        <w:rPr>
          <w:rStyle w:val="FootnoteReference"/>
          <w:i/>
          <w:sz w:val="18"/>
          <w:vertAlign w:val="baseline"/>
        </w:rPr>
        <w:t xml:space="preserve">for the Stockholm Convention </w:t>
      </w:r>
      <w:r w:rsidRPr="008C7C1A">
        <w:rPr>
          <w:rStyle w:val="FootnoteReference"/>
          <w:i/>
          <w:sz w:val="18"/>
          <w:vertAlign w:val="baseline"/>
        </w:rPr>
        <w:t xml:space="preserve">on Persistent Organic Pollutants </w:t>
      </w:r>
      <w:r w:rsidRPr="008C7C1A">
        <w:rPr>
          <w:rStyle w:val="FootnoteReference"/>
          <w:sz w:val="18"/>
          <w:vertAlign w:val="baseline"/>
        </w:rPr>
        <w:t>(UNEP, 20</w:t>
      </w:r>
      <w:r w:rsidRPr="008C7C1A">
        <w:rPr>
          <w:szCs w:val="18"/>
        </w:rPr>
        <w:t>14</w:t>
      </w:r>
      <w:r w:rsidRPr="008C7C1A">
        <w:rPr>
          <w:rStyle w:val="FootnoteReference"/>
          <w:sz w:val="18"/>
          <w:vertAlign w:val="baseline"/>
        </w:rPr>
        <w:t>).</w:t>
      </w:r>
      <w:r w:rsidRPr="005E5BFF">
        <w:rPr>
          <w:rStyle w:val="FootnoteReference"/>
          <w:sz w:val="18"/>
        </w:rPr>
        <w:t xml:space="preserve"> </w:t>
      </w:r>
    </w:p>
  </w:footnote>
  <w:footnote w:id="34">
    <w:p w:rsidR="009E7C50" w:rsidRDefault="009E7C50" w:rsidP="00B6432C">
      <w:pPr>
        <w:pStyle w:val="FootnoteText"/>
        <w:tabs>
          <w:tab w:val="clear" w:pos="1247"/>
          <w:tab w:val="left" w:pos="1134"/>
        </w:tabs>
        <w:ind w:left="1134"/>
        <w:rPr>
          <w:rStyle w:val="FootnoteReference"/>
          <w:sz w:val="18"/>
        </w:rPr>
      </w:pPr>
      <w:r w:rsidRPr="005E5BFF">
        <w:rPr>
          <w:rStyle w:val="FootnoteReference"/>
          <w:sz w:val="18"/>
        </w:rPr>
        <w:footnoteRef/>
      </w:r>
      <w:r w:rsidRPr="005E5BFF">
        <w:rPr>
          <w:rStyle w:val="FootnoteReference"/>
          <w:sz w:val="18"/>
        </w:rPr>
        <w:t xml:space="preserve"> </w:t>
      </w:r>
      <w:r w:rsidRPr="007E4926">
        <w:t>Note</w:t>
      </w:r>
      <w:r w:rsidRPr="005E5BFF">
        <w:rPr>
          <w:rStyle w:val="FootnoteReference"/>
          <w:sz w:val="18"/>
          <w:vertAlign w:val="baseline"/>
        </w:rPr>
        <w:t xml:space="preserve"> that </w:t>
      </w:r>
      <w:r>
        <w:t>A</w:t>
      </w:r>
      <w:r w:rsidRPr="005E5BFF">
        <w:rPr>
          <w:rStyle w:val="FootnoteReference"/>
          <w:sz w:val="18"/>
          <w:vertAlign w:val="baseline"/>
        </w:rPr>
        <w:t xml:space="preserve">nnex A, </w:t>
      </w:r>
      <w:r w:rsidRPr="005E5BFF">
        <w:rPr>
          <w:szCs w:val="18"/>
        </w:rPr>
        <w:t>p</w:t>
      </w:r>
      <w:r w:rsidRPr="005E5BFF">
        <w:rPr>
          <w:rStyle w:val="FootnoteReference"/>
          <w:sz w:val="18"/>
          <w:vertAlign w:val="baseline"/>
        </w:rPr>
        <w:t>art</w:t>
      </w:r>
      <w:r w:rsidRPr="005E5BFF">
        <w:rPr>
          <w:szCs w:val="18"/>
        </w:rPr>
        <w:t>s</w:t>
      </w:r>
      <w:r w:rsidRPr="005E5BFF">
        <w:rPr>
          <w:rStyle w:val="FootnoteReference"/>
          <w:sz w:val="18"/>
          <w:vertAlign w:val="baseline"/>
        </w:rPr>
        <w:t xml:space="preserve"> I and II</w:t>
      </w:r>
      <w:r w:rsidRPr="005E5BFF">
        <w:rPr>
          <w:szCs w:val="18"/>
        </w:rPr>
        <w:t>,</w:t>
      </w:r>
      <w:r w:rsidRPr="005E5BFF">
        <w:rPr>
          <w:rStyle w:val="FootnoteReference"/>
          <w:sz w:val="18"/>
          <w:vertAlign w:val="baseline"/>
        </w:rPr>
        <w:t xml:space="preserve"> and </w:t>
      </w:r>
      <w:r>
        <w:t>A</w:t>
      </w:r>
      <w:r w:rsidRPr="005E5BFF">
        <w:rPr>
          <w:rStyle w:val="FootnoteReference"/>
          <w:sz w:val="18"/>
          <w:vertAlign w:val="baseline"/>
        </w:rPr>
        <w:t xml:space="preserve">nnex B </w:t>
      </w:r>
      <w:r>
        <w:rPr>
          <w:rStyle w:val="FootnoteReference"/>
          <w:sz w:val="18"/>
          <w:vertAlign w:val="baseline"/>
        </w:rPr>
        <w:t>to</w:t>
      </w:r>
      <w:r w:rsidRPr="005E5BFF">
        <w:rPr>
          <w:rStyle w:val="FootnoteReference"/>
          <w:sz w:val="18"/>
          <w:vertAlign w:val="baseline"/>
        </w:rPr>
        <w:t xml:space="preserve"> the Stockholm Convention </w:t>
      </w:r>
      <w:r>
        <w:rPr>
          <w:rStyle w:val="FootnoteReference"/>
          <w:sz w:val="18"/>
          <w:vertAlign w:val="baseline"/>
        </w:rPr>
        <w:t>contain</w:t>
      </w:r>
      <w:r w:rsidRPr="005E5BFF">
        <w:rPr>
          <w:rStyle w:val="FootnoteReference"/>
          <w:sz w:val="18"/>
          <w:vertAlign w:val="baseline"/>
        </w:rPr>
        <w:t xml:space="preserve"> references to the elimination and restriction of production and use of POPs.</w:t>
      </w:r>
    </w:p>
  </w:footnote>
  <w:footnote w:id="35">
    <w:p w:rsidR="009E7C50" w:rsidRDefault="009E7C50" w:rsidP="007E4926">
      <w:pPr>
        <w:pStyle w:val="FootnoteText"/>
        <w:tabs>
          <w:tab w:val="clear" w:pos="1247"/>
          <w:tab w:val="left" w:pos="1134"/>
        </w:tabs>
        <w:ind w:left="1134"/>
        <w:rPr>
          <w:rStyle w:val="FootnoteReference"/>
          <w:sz w:val="18"/>
        </w:rPr>
      </w:pPr>
      <w:r w:rsidRPr="005E5BFF">
        <w:rPr>
          <w:rStyle w:val="FootnoteReference"/>
          <w:sz w:val="18"/>
        </w:rPr>
        <w:footnoteRef/>
      </w:r>
      <w:r w:rsidRPr="005E5BFF">
        <w:rPr>
          <w:rStyle w:val="FootnoteReference"/>
          <w:sz w:val="18"/>
        </w:rPr>
        <w:t xml:space="preserve"> </w:t>
      </w:r>
      <w:r w:rsidRPr="007E4926">
        <w:t>This</w:t>
      </w:r>
      <w:r w:rsidRPr="005E5BFF">
        <w:rPr>
          <w:rStyle w:val="FootnoteReference"/>
          <w:sz w:val="18"/>
          <w:vertAlign w:val="baseline"/>
        </w:rPr>
        <w:t xml:space="preserve"> applies only to </w:t>
      </w:r>
      <w:r>
        <w:t xml:space="preserve">the Parties to the </w:t>
      </w:r>
      <w:r w:rsidRPr="005E5BFF">
        <w:rPr>
          <w:rStyle w:val="FootnoteReference"/>
          <w:sz w:val="18"/>
          <w:vertAlign w:val="baseline"/>
        </w:rPr>
        <w:t>Basel Convention.</w:t>
      </w:r>
    </w:p>
  </w:footnote>
  <w:footnote w:id="36">
    <w:p w:rsidR="009E7C50" w:rsidRDefault="009E7C50" w:rsidP="007E4926">
      <w:pPr>
        <w:pStyle w:val="FootnoteText"/>
        <w:tabs>
          <w:tab w:val="clear" w:pos="1247"/>
          <w:tab w:val="left" w:pos="1134"/>
        </w:tabs>
        <w:ind w:left="1134"/>
        <w:rPr>
          <w:rStyle w:val="FootnoteReference"/>
          <w:sz w:val="18"/>
        </w:rPr>
      </w:pPr>
      <w:r>
        <w:rPr>
          <w:rStyle w:val="FootnoteReference"/>
          <w:sz w:val="18"/>
        </w:rPr>
        <w:footnoteRef/>
      </w:r>
      <w:r>
        <w:t xml:space="preserve"> </w:t>
      </w:r>
      <w:r w:rsidRPr="005E5BFF">
        <w:rPr>
          <w:rStyle w:val="FootnoteReference"/>
          <w:sz w:val="18"/>
          <w:vertAlign w:val="baseline"/>
        </w:rPr>
        <w:t xml:space="preserve">In </w:t>
      </w:r>
      <w:r w:rsidRPr="007E4926">
        <w:t>this</w:t>
      </w:r>
      <w:r w:rsidRPr="005E5BFF">
        <w:rPr>
          <w:rStyle w:val="FootnoteReference"/>
          <w:sz w:val="18"/>
          <w:vertAlign w:val="baseline"/>
        </w:rPr>
        <w:t xml:space="preserve"> connection, the </w:t>
      </w:r>
      <w:r w:rsidRPr="005E5BFF">
        <w:t xml:space="preserve">United Nations </w:t>
      </w:r>
      <w:r w:rsidRPr="005E5BFF">
        <w:rPr>
          <w:rStyle w:val="FootnoteReference"/>
          <w:sz w:val="18"/>
          <w:vertAlign w:val="baseline"/>
        </w:rPr>
        <w:t>Recommendations on the Transport of Dangerous Goods (Model</w:t>
      </w:r>
      <w:r w:rsidRPr="005E5BFF">
        <w:t> </w:t>
      </w:r>
      <w:r w:rsidRPr="005E5BFF">
        <w:rPr>
          <w:rStyle w:val="FootnoteReference"/>
          <w:sz w:val="18"/>
          <w:vertAlign w:val="baseline"/>
        </w:rPr>
        <w:t xml:space="preserve">Regulations) </w:t>
      </w:r>
      <w:r>
        <w:rPr>
          <w:rStyle w:val="FootnoteReference"/>
          <w:sz w:val="18"/>
          <w:vertAlign w:val="baseline"/>
        </w:rPr>
        <w:t xml:space="preserve">of 2003 </w:t>
      </w:r>
      <w:r w:rsidRPr="005E5BFF">
        <w:rPr>
          <w:rStyle w:val="FootnoteReference"/>
          <w:sz w:val="18"/>
          <w:vertAlign w:val="baseline"/>
        </w:rPr>
        <w:t>(UNECE, 2003a ) or later versions should be used.</w:t>
      </w:r>
    </w:p>
  </w:footnote>
  <w:footnote w:id="37">
    <w:p w:rsidR="009E7C50" w:rsidRPr="00C732B4" w:rsidRDefault="009E7C50" w:rsidP="007E4926">
      <w:pPr>
        <w:pStyle w:val="FootnoteText"/>
        <w:tabs>
          <w:tab w:val="clear" w:pos="1247"/>
          <w:tab w:val="left" w:pos="1134"/>
        </w:tabs>
        <w:ind w:left="1134"/>
        <w:rPr>
          <w:rStyle w:val="FootnoteReference"/>
          <w:sz w:val="18"/>
          <w:lang w:val="en-US"/>
        </w:rPr>
      </w:pPr>
      <w:r w:rsidRPr="005E5BFF">
        <w:rPr>
          <w:rStyle w:val="FootnoteReference"/>
          <w:sz w:val="18"/>
        </w:rPr>
        <w:footnoteRef/>
      </w:r>
      <w:r w:rsidRPr="00405DFE">
        <w:rPr>
          <w:lang w:val="en-US"/>
        </w:rPr>
        <w:t xml:space="preserve"> Parties</w:t>
      </w:r>
      <w:r w:rsidRPr="00405DFE">
        <w:rPr>
          <w:rStyle w:val="FootnoteReference"/>
          <w:sz w:val="18"/>
          <w:vertAlign w:val="baseline"/>
          <w:lang w:val="en-US"/>
        </w:rPr>
        <w:t xml:space="preserve"> should consult the guidelines pertaining to the storage of pesticides and pesticide waste that have been produced by the Food and Agriculture Organization (FAO) </w:t>
      </w:r>
      <w:r w:rsidRPr="00405DFE">
        <w:rPr>
          <w:lang w:val="en-US"/>
        </w:rPr>
        <w:t xml:space="preserve">of the United Nations </w:t>
      </w:r>
      <w:r w:rsidRPr="00405DFE">
        <w:rPr>
          <w:rStyle w:val="FootnoteReference"/>
          <w:sz w:val="18"/>
          <w:vertAlign w:val="baseline"/>
          <w:lang w:val="en-US"/>
        </w:rPr>
        <w:t>(FAO, 1996</w:t>
      </w:r>
      <w:r w:rsidRPr="00405DFE">
        <w:rPr>
          <w:szCs w:val="18"/>
          <w:lang w:val="en-US"/>
        </w:rPr>
        <w:t>)</w:t>
      </w:r>
      <w:r w:rsidRPr="00405DFE">
        <w:rPr>
          <w:rStyle w:val="FootnoteReference"/>
          <w:sz w:val="18"/>
          <w:vertAlign w:val="baseline"/>
          <w:lang w:val="en-US"/>
        </w:rPr>
        <w:t>.</w:t>
      </w:r>
    </w:p>
  </w:footnote>
  <w:footnote w:id="38">
    <w:p w:rsidR="009E7C50" w:rsidRDefault="009E7C50" w:rsidP="007E4926">
      <w:pPr>
        <w:pStyle w:val="FootnoteText"/>
        <w:tabs>
          <w:tab w:val="clear" w:pos="1247"/>
          <w:tab w:val="left" w:pos="1134"/>
        </w:tabs>
        <w:ind w:left="1134"/>
        <w:rPr>
          <w:rStyle w:val="FootnoteReference"/>
        </w:rPr>
      </w:pPr>
      <w:r w:rsidRPr="005E5BFF">
        <w:rPr>
          <w:rStyle w:val="FootnoteReference"/>
          <w:sz w:val="18"/>
        </w:rPr>
        <w:footnoteRef/>
      </w:r>
      <w:r w:rsidRPr="005E5BFF">
        <w:rPr>
          <w:rStyle w:val="FootnoteReference"/>
          <w:sz w:val="18"/>
        </w:rPr>
        <w:t xml:space="preserve"> </w:t>
      </w:r>
      <w:r w:rsidRPr="007E4926">
        <w:t>See</w:t>
      </w:r>
      <w:r w:rsidRPr="005E5BFF">
        <w:rPr>
          <w:rStyle w:val="FootnoteReference"/>
          <w:sz w:val="18"/>
          <w:vertAlign w:val="baseline"/>
        </w:rPr>
        <w:t xml:space="preserve"> </w:t>
      </w:r>
      <w:r w:rsidRPr="0061097D">
        <w:rPr>
          <w:rStyle w:val="FootnoteReference"/>
          <w:sz w:val="18"/>
          <w:vertAlign w:val="baseline"/>
        </w:rPr>
        <w:t>s</w:t>
      </w:r>
      <w:r w:rsidRPr="005E5BFF">
        <w:rPr>
          <w:rStyle w:val="FootnoteReference"/>
          <w:sz w:val="18"/>
          <w:vertAlign w:val="baseline"/>
        </w:rPr>
        <w:t>ection IV.I.</w:t>
      </w:r>
    </w:p>
  </w:footnote>
  <w:footnote w:id="39">
    <w:p w:rsidR="009E7C50" w:rsidRDefault="009E7C50" w:rsidP="007E4926">
      <w:pPr>
        <w:pStyle w:val="FootnoteText"/>
        <w:tabs>
          <w:tab w:val="clear" w:pos="1247"/>
          <w:tab w:val="left" w:pos="1134"/>
        </w:tabs>
        <w:ind w:left="1134"/>
        <w:rPr>
          <w:szCs w:val="18"/>
          <w:lang w:val="en-US"/>
        </w:rPr>
      </w:pPr>
      <w:r w:rsidRPr="005E5BFF">
        <w:rPr>
          <w:rStyle w:val="FootnoteReference"/>
          <w:sz w:val="18"/>
        </w:rPr>
        <w:footnoteRef/>
      </w:r>
      <w:r w:rsidRPr="005E5BFF">
        <w:rPr>
          <w:szCs w:val="18"/>
        </w:rPr>
        <w:t xml:space="preserve"> </w:t>
      </w:r>
      <w:r w:rsidRPr="007E4926">
        <w:t>Drafts</w:t>
      </w:r>
      <w:r w:rsidRPr="005E5BFF">
        <w:rPr>
          <w:szCs w:val="18"/>
        </w:rPr>
        <w:t xml:space="preserve"> of </w:t>
      </w:r>
      <w:r>
        <w:rPr>
          <w:szCs w:val="18"/>
        </w:rPr>
        <w:t xml:space="preserve">guidance </w:t>
      </w:r>
      <w:r w:rsidRPr="005E5BFF">
        <w:rPr>
          <w:szCs w:val="18"/>
        </w:rPr>
        <w:t xml:space="preserve">documents </w:t>
      </w:r>
      <w:r>
        <w:rPr>
          <w:szCs w:val="18"/>
        </w:rPr>
        <w:t xml:space="preserve">for the inventory of these specific POPs </w:t>
      </w:r>
      <w:r w:rsidRPr="005E5BFF">
        <w:rPr>
          <w:szCs w:val="18"/>
        </w:rPr>
        <w:t xml:space="preserve">are available and can be consulted at: </w:t>
      </w:r>
      <w:hyperlink r:id="rId1" w:history="1">
        <w:r w:rsidRPr="005E5BFF">
          <w:rPr>
            <w:rStyle w:val="Hyperlink"/>
            <w:szCs w:val="18"/>
          </w:rPr>
          <w:t>http://chm.pops.int/Implementation/BATandBEP/Guidance/tabid/3636/Default.aspx</w:t>
        </w:r>
      </w:hyperlink>
      <w:r>
        <w:t xml:space="preserve"> and </w:t>
      </w:r>
      <w:hyperlink r:id="rId2" w:history="1">
        <w:r w:rsidRPr="002034CF">
          <w:rPr>
            <w:rStyle w:val="Hyperlink"/>
          </w:rPr>
          <w:t>http://chm.pops.int/Implementation/NIPs/Guidance/tabid/2882/Default.aspx</w:t>
        </w:r>
      </w:hyperlink>
      <w:r w:rsidRPr="000A5187">
        <w:rPr>
          <w:color w:val="000000"/>
        </w:rPr>
        <w:t>.</w:t>
      </w:r>
    </w:p>
  </w:footnote>
  <w:footnote w:id="40">
    <w:p w:rsidR="009E7C50" w:rsidRPr="009452BC" w:rsidRDefault="009E7C50" w:rsidP="007E4926">
      <w:pPr>
        <w:pStyle w:val="FootnoteText"/>
        <w:tabs>
          <w:tab w:val="clear" w:pos="1247"/>
          <w:tab w:val="left" w:pos="1134"/>
        </w:tabs>
        <w:ind w:left="1134"/>
        <w:rPr>
          <w:rStyle w:val="FootnoteReference"/>
          <w:lang w:val="en-US"/>
        </w:rPr>
      </w:pPr>
      <w:r w:rsidRPr="005E5BFF">
        <w:rPr>
          <w:rStyle w:val="FootnoteReference"/>
          <w:sz w:val="18"/>
        </w:rPr>
        <w:footnoteRef/>
      </w:r>
      <w:r w:rsidRPr="009452BC">
        <w:rPr>
          <w:rStyle w:val="FootnoteReference"/>
          <w:sz w:val="18"/>
          <w:lang w:val="en-US"/>
        </w:rPr>
        <w:t xml:space="preserve"> </w:t>
      </w:r>
      <w:r w:rsidRPr="007E4926">
        <w:t>Further</w:t>
      </w:r>
      <w:r w:rsidRPr="009452BC">
        <w:rPr>
          <w:rStyle w:val="FootnoteReference"/>
          <w:sz w:val="18"/>
          <w:vertAlign w:val="baseline"/>
          <w:lang w:val="en-US"/>
        </w:rPr>
        <w:t xml:space="preserve"> information on sampling is available in RCRA </w:t>
      </w:r>
      <w:r w:rsidRPr="00405DFE">
        <w:rPr>
          <w:rStyle w:val="FootnoteReference"/>
          <w:i/>
          <w:sz w:val="18"/>
          <w:vertAlign w:val="baseline"/>
          <w:lang w:val="en-US"/>
        </w:rPr>
        <w:t xml:space="preserve">Waste Sampling Draft Technical Guidance </w:t>
      </w:r>
      <w:r w:rsidRPr="009452BC">
        <w:rPr>
          <w:rStyle w:val="FootnoteReference"/>
          <w:sz w:val="18"/>
          <w:vertAlign w:val="baseline"/>
          <w:lang w:val="en-US"/>
        </w:rPr>
        <w:t>(United</w:t>
      </w:r>
      <w:r w:rsidRPr="009452BC">
        <w:rPr>
          <w:lang w:val="en-US"/>
        </w:rPr>
        <w:t> </w:t>
      </w:r>
      <w:r w:rsidRPr="009452BC">
        <w:rPr>
          <w:rStyle w:val="FootnoteReference"/>
          <w:sz w:val="18"/>
          <w:vertAlign w:val="baseline"/>
          <w:lang w:val="en-US"/>
        </w:rPr>
        <w:t>States Environmental Protection Agency</w:t>
      </w:r>
      <w:r w:rsidRPr="009452BC">
        <w:rPr>
          <w:lang w:val="en-US"/>
        </w:rPr>
        <w:t xml:space="preserve"> (EPA)</w:t>
      </w:r>
      <w:r w:rsidRPr="009452BC">
        <w:rPr>
          <w:rStyle w:val="FootnoteReference"/>
          <w:sz w:val="18"/>
          <w:vertAlign w:val="baseline"/>
          <w:lang w:val="en-US"/>
        </w:rPr>
        <w:t xml:space="preserve">, 2002, and </w:t>
      </w:r>
      <w:proofErr w:type="spellStart"/>
      <w:r w:rsidRPr="009452BC">
        <w:rPr>
          <w:lang w:val="en-US"/>
        </w:rPr>
        <w:t>N</w:t>
      </w:r>
      <w:r w:rsidRPr="009452BC">
        <w:rPr>
          <w:rStyle w:val="FootnoteReference"/>
          <w:sz w:val="18"/>
          <w:vertAlign w:val="baseline"/>
          <w:lang w:val="en-US"/>
        </w:rPr>
        <w:t>ordtest</w:t>
      </w:r>
      <w:proofErr w:type="spellEnd"/>
      <w:r w:rsidRPr="009452BC">
        <w:rPr>
          <w:rStyle w:val="FootnoteReference"/>
          <w:sz w:val="18"/>
          <w:vertAlign w:val="baseline"/>
          <w:lang w:val="en-US"/>
        </w:rPr>
        <w:t xml:space="preserve"> method).</w:t>
      </w:r>
      <w:r>
        <w:rPr>
          <w:lang w:val="en-US"/>
        </w:rPr>
        <w:t xml:space="preserve"> </w:t>
      </w:r>
    </w:p>
  </w:footnote>
  <w:footnote w:id="41">
    <w:p w:rsidR="009E7C50" w:rsidRDefault="009E7C50" w:rsidP="007E4926">
      <w:pPr>
        <w:pStyle w:val="FootnoteText"/>
        <w:tabs>
          <w:tab w:val="clear" w:pos="1247"/>
          <w:tab w:val="left" w:pos="1134"/>
        </w:tabs>
        <w:ind w:left="1134"/>
        <w:rPr>
          <w:szCs w:val="18"/>
        </w:rPr>
      </w:pPr>
      <w:r w:rsidRPr="005F460E">
        <w:rPr>
          <w:rStyle w:val="FootnoteReference"/>
          <w:sz w:val="18"/>
        </w:rPr>
        <w:footnoteRef/>
      </w:r>
      <w:r w:rsidRPr="005F460E">
        <w:t xml:space="preserve"> </w:t>
      </w:r>
      <w:r w:rsidRPr="007E4926">
        <w:t>Information</w:t>
      </w:r>
      <w:r w:rsidRPr="005F460E">
        <w:rPr>
          <w:lang w:val="en-US"/>
        </w:rPr>
        <w:t xml:space="preserve"> can be found at: </w:t>
      </w:r>
      <w:r w:rsidRPr="005F460E">
        <w:t xml:space="preserve">DEXSIL test kits: </w:t>
      </w:r>
      <w:hyperlink r:id="rId3" w:history="1">
        <w:r w:rsidRPr="005F460E">
          <w:rPr>
            <w:rStyle w:val="Hyperlink"/>
            <w:color w:val="000000"/>
          </w:rPr>
          <w:t>http://www.dexsil.com/products/</w:t>
        </w:r>
      </w:hyperlink>
      <w:r>
        <w:t>.</w:t>
      </w:r>
    </w:p>
  </w:footnote>
  <w:footnote w:id="42">
    <w:p w:rsidR="009E7C50" w:rsidRDefault="009E7C50" w:rsidP="007E4926">
      <w:pPr>
        <w:pStyle w:val="FootnoteText"/>
        <w:tabs>
          <w:tab w:val="clear" w:pos="1247"/>
          <w:tab w:val="left" w:pos="1134"/>
        </w:tabs>
        <w:ind w:left="1134"/>
        <w:rPr>
          <w:szCs w:val="18"/>
          <w:lang w:val="de-CH"/>
        </w:rPr>
      </w:pPr>
      <w:r w:rsidRPr="005F460E">
        <w:rPr>
          <w:rStyle w:val="FootnoteReference"/>
          <w:sz w:val="18"/>
        </w:rPr>
        <w:footnoteRef/>
      </w:r>
      <w:r w:rsidRPr="00890CDD">
        <w:rPr>
          <w:szCs w:val="18"/>
          <w:lang w:val="de-CH"/>
        </w:rPr>
        <w:t xml:space="preserve"> </w:t>
      </w:r>
      <w:proofErr w:type="gramStart"/>
      <w:r w:rsidRPr="007E4926">
        <w:t>L2000</w:t>
      </w:r>
      <w:r w:rsidRPr="00890CDD">
        <w:rPr>
          <w:szCs w:val="18"/>
          <w:lang w:val="de-CH"/>
        </w:rPr>
        <w:t xml:space="preserve"> </w:t>
      </w:r>
      <w:r w:rsidRPr="00890CDD">
        <w:rPr>
          <w:szCs w:val="18"/>
          <w:lang w:val="de-CH"/>
        </w:rPr>
        <w:t xml:space="preserve">Analyzer </w:t>
      </w:r>
      <w:r w:rsidR="003747B3">
        <w:fldChar w:fldCharType="begin"/>
      </w:r>
      <w:r>
        <w:instrText>HYPERLINK "http://www.dexsil.com/products/detail.php?product_id=13"</w:instrText>
      </w:r>
      <w:r w:rsidR="003747B3">
        <w:fldChar w:fldCharType="separate"/>
      </w:r>
      <w:r w:rsidRPr="00890CDD">
        <w:rPr>
          <w:rStyle w:val="Hyperlink"/>
          <w:color w:val="000000"/>
          <w:szCs w:val="18"/>
          <w:lang w:val="de-CH"/>
        </w:rPr>
        <w:t>http://www.dexsil.com/products/detail.php?product_id=13</w:t>
      </w:r>
      <w:r w:rsidR="003747B3">
        <w:fldChar w:fldCharType="end"/>
      </w:r>
      <w:r>
        <w:rPr>
          <w:rStyle w:val="Hyperlink"/>
          <w:color w:val="000000"/>
          <w:szCs w:val="18"/>
          <w:lang w:val="de-CH"/>
        </w:rPr>
        <w:t>.</w:t>
      </w:r>
      <w:proofErr w:type="gramEnd"/>
    </w:p>
  </w:footnote>
  <w:footnote w:id="43">
    <w:p w:rsidR="009E7C50" w:rsidRPr="0039493C" w:rsidRDefault="009E7C50" w:rsidP="007E4926">
      <w:pPr>
        <w:pStyle w:val="FootnoteText"/>
        <w:tabs>
          <w:tab w:val="clear" w:pos="1247"/>
          <w:tab w:val="left" w:pos="1134"/>
        </w:tabs>
        <w:ind w:left="1134"/>
      </w:pPr>
      <w:r w:rsidRPr="005F460E">
        <w:rPr>
          <w:rStyle w:val="FootnoteReference"/>
          <w:sz w:val="18"/>
        </w:rPr>
        <w:footnoteRef/>
      </w:r>
      <w:r w:rsidRPr="0039493C">
        <w:t xml:space="preserve"> CALUX: </w:t>
      </w:r>
      <w:hyperlink r:id="rId4" w:history="1">
        <w:r w:rsidRPr="0039493C">
          <w:rPr>
            <w:rStyle w:val="Hyperlink"/>
            <w:color w:val="000000"/>
          </w:rPr>
          <w:t>http://www.crl-freiburg.eu/dioxin/bioanalytical.html</w:t>
        </w:r>
      </w:hyperlink>
      <w:r w:rsidRPr="0039493C">
        <w:t>.</w:t>
      </w:r>
    </w:p>
    <w:p w:rsidR="009E7C50" w:rsidRPr="0039493C" w:rsidRDefault="009E7C50">
      <w:pPr>
        <w:pStyle w:val="FootnoteText"/>
      </w:pPr>
    </w:p>
  </w:footnote>
  <w:footnote w:id="44">
    <w:p w:rsidR="009E7C50" w:rsidRDefault="009E7C50" w:rsidP="007E4926">
      <w:pPr>
        <w:pStyle w:val="FootnoteText"/>
        <w:tabs>
          <w:tab w:val="clear" w:pos="1247"/>
          <w:tab w:val="left" w:pos="1134"/>
        </w:tabs>
        <w:ind w:left="1134"/>
        <w:rPr>
          <w:szCs w:val="18"/>
          <w:lang w:val="en-US"/>
        </w:rPr>
      </w:pPr>
      <w:r w:rsidRPr="005E5BFF">
        <w:rPr>
          <w:rStyle w:val="FootnoteReference"/>
          <w:sz w:val="18"/>
        </w:rPr>
        <w:footnoteRef/>
      </w:r>
      <w:r w:rsidRPr="005E5BFF">
        <w:rPr>
          <w:szCs w:val="18"/>
        </w:rPr>
        <w:t xml:space="preserve"> </w:t>
      </w:r>
      <w:r w:rsidRPr="007E4926">
        <w:t>European</w:t>
      </w:r>
      <w:r w:rsidRPr="005E5BFF">
        <w:rPr>
          <w:szCs w:val="18"/>
        </w:rPr>
        <w:t xml:space="preserve"> Agreement concerning the International Carriage of Dangerous Goods by Road (ADR); European Agreement concerning the International Carriage of Dangerous Goods by Inland Waterways (ADN); Regulations concerning the International Carriage of Dangerous Goods by Rail (RID). </w:t>
      </w:r>
    </w:p>
  </w:footnote>
  <w:footnote w:id="45">
    <w:p w:rsidR="009E7C50" w:rsidRPr="009452BC" w:rsidRDefault="009E7C50" w:rsidP="007E4926">
      <w:pPr>
        <w:pStyle w:val="FootnoteText"/>
        <w:tabs>
          <w:tab w:val="clear" w:pos="1247"/>
          <w:tab w:val="left" w:pos="1134"/>
        </w:tabs>
        <w:ind w:left="1134"/>
        <w:rPr>
          <w:rStyle w:val="FootnoteReference"/>
          <w:lang w:val="en-US"/>
        </w:rPr>
      </w:pPr>
      <w:r w:rsidRPr="005E5BFF">
        <w:rPr>
          <w:rStyle w:val="FootnoteReference"/>
          <w:sz w:val="18"/>
        </w:rPr>
        <w:footnoteRef/>
      </w:r>
      <w:r w:rsidRPr="009452BC">
        <w:rPr>
          <w:rStyle w:val="FootnoteReference"/>
          <w:sz w:val="18"/>
          <w:vertAlign w:val="baseline"/>
          <w:lang w:val="en-US"/>
        </w:rPr>
        <w:t xml:space="preserve"> </w:t>
      </w:r>
      <w:r w:rsidRPr="007E4926">
        <w:t>Examples</w:t>
      </w:r>
      <w:r w:rsidRPr="009452BC">
        <w:rPr>
          <w:rStyle w:val="FootnoteReference"/>
          <w:sz w:val="18"/>
          <w:vertAlign w:val="baseline"/>
          <w:lang w:val="en-US"/>
        </w:rPr>
        <w:t xml:space="preserve"> of guidelines on the safe handling of hazardous materials and accident prevention include those prepared by the International </w:t>
      </w:r>
      <w:proofErr w:type="spellStart"/>
      <w:r w:rsidRPr="009452BC">
        <w:rPr>
          <w:rStyle w:val="FootnoteReference"/>
          <w:sz w:val="18"/>
          <w:vertAlign w:val="baseline"/>
          <w:lang w:val="en-US"/>
        </w:rPr>
        <w:t>Labour</w:t>
      </w:r>
      <w:proofErr w:type="spellEnd"/>
      <w:r w:rsidRPr="009452BC">
        <w:rPr>
          <w:rStyle w:val="FootnoteReference"/>
          <w:sz w:val="18"/>
          <w:vertAlign w:val="baseline"/>
          <w:lang w:val="en-US"/>
        </w:rPr>
        <w:t xml:space="preserve"> Organization </w:t>
      </w:r>
      <w:r w:rsidRPr="009452BC">
        <w:rPr>
          <w:lang w:val="en-US"/>
        </w:rPr>
        <w:t>(ILO</w:t>
      </w:r>
      <w:r>
        <w:rPr>
          <w:lang w:val="en-US"/>
        </w:rPr>
        <w:t xml:space="preserve">, </w:t>
      </w:r>
      <w:r w:rsidRPr="009452BC">
        <w:rPr>
          <w:rStyle w:val="FootnoteReference"/>
          <w:sz w:val="18"/>
          <w:vertAlign w:val="baseline"/>
          <w:lang w:val="en-US"/>
        </w:rPr>
        <w:t>1999a and 1999b) and OECD (</w:t>
      </w:r>
      <w:r>
        <w:rPr>
          <w:rStyle w:val="FootnoteReference"/>
          <w:sz w:val="18"/>
          <w:vertAlign w:val="baseline"/>
          <w:lang w:val="en-US"/>
        </w:rPr>
        <w:t xml:space="preserve">OECD, </w:t>
      </w:r>
      <w:r w:rsidRPr="009452BC">
        <w:rPr>
          <w:rStyle w:val="FootnoteReference"/>
          <w:sz w:val="18"/>
          <w:vertAlign w:val="baseline"/>
          <w:lang w:val="en-US"/>
        </w:rPr>
        <w:t>2003).</w:t>
      </w:r>
    </w:p>
  </w:footnote>
  <w:footnote w:id="46">
    <w:p w:rsidR="009E7C50" w:rsidRPr="009452BC" w:rsidRDefault="009E7C50" w:rsidP="00FA3FE1">
      <w:pPr>
        <w:pStyle w:val="FootnoteText"/>
        <w:tabs>
          <w:tab w:val="clear" w:pos="1247"/>
          <w:tab w:val="left" w:pos="1134"/>
        </w:tabs>
        <w:ind w:left="1134"/>
        <w:rPr>
          <w:rStyle w:val="FootnoteReference"/>
          <w:sz w:val="18"/>
          <w:lang w:val="en-US"/>
        </w:rPr>
      </w:pPr>
      <w:r>
        <w:rPr>
          <w:rStyle w:val="FootnoteReference"/>
          <w:sz w:val="18"/>
        </w:rPr>
        <w:footnoteRef/>
      </w:r>
      <w:r w:rsidRPr="009452BC">
        <w:rPr>
          <w:lang w:val="en-US"/>
        </w:rPr>
        <w:t xml:space="preserve"> </w:t>
      </w:r>
      <w:r w:rsidRPr="00FA3FE1">
        <w:t>Complete</w:t>
      </w:r>
      <w:r w:rsidRPr="009452BC">
        <w:rPr>
          <w:rStyle w:val="FootnoteReference"/>
          <w:sz w:val="18"/>
          <w:vertAlign w:val="baseline"/>
          <w:lang w:val="en-US"/>
        </w:rPr>
        <w:t xml:space="preserve"> collection may require the depots to operate either continuously or intermittently over several years.</w:t>
      </w:r>
    </w:p>
  </w:footnote>
  <w:footnote w:id="47">
    <w:p w:rsidR="009E7C50" w:rsidRPr="00121683" w:rsidRDefault="009E7C50" w:rsidP="00FA3FE1">
      <w:pPr>
        <w:pStyle w:val="FootnoteText"/>
        <w:tabs>
          <w:tab w:val="clear" w:pos="1247"/>
          <w:tab w:val="left" w:pos="1134"/>
        </w:tabs>
        <w:ind w:left="1134"/>
        <w:rPr>
          <w:rStyle w:val="FootnoteReference"/>
          <w:sz w:val="18"/>
          <w:lang w:val="en-US"/>
        </w:rPr>
      </w:pPr>
      <w:r w:rsidRPr="005E5BFF">
        <w:rPr>
          <w:rStyle w:val="FootnoteReference"/>
          <w:sz w:val="18"/>
        </w:rPr>
        <w:footnoteRef/>
      </w:r>
      <w:r w:rsidRPr="00121683">
        <w:rPr>
          <w:lang w:val="en-US"/>
        </w:rPr>
        <w:t xml:space="preserve"> </w:t>
      </w:r>
      <w:proofErr w:type="gramStart"/>
      <w:r w:rsidRPr="00FA3FE1">
        <w:t>International</w:t>
      </w:r>
      <w:r w:rsidRPr="00121683">
        <w:rPr>
          <w:rStyle w:val="FootnoteReference"/>
          <w:sz w:val="18"/>
          <w:vertAlign w:val="baseline"/>
          <w:lang w:val="en-US"/>
        </w:rPr>
        <w:t xml:space="preserve"> standards have been developed for the proper </w:t>
      </w:r>
      <w:proofErr w:type="spellStart"/>
      <w:r w:rsidRPr="00121683">
        <w:rPr>
          <w:rStyle w:val="FootnoteReference"/>
          <w:sz w:val="18"/>
          <w:vertAlign w:val="baseline"/>
          <w:lang w:val="en-US"/>
        </w:rPr>
        <w:t>labelling</w:t>
      </w:r>
      <w:proofErr w:type="spellEnd"/>
      <w:r w:rsidRPr="00121683">
        <w:rPr>
          <w:rStyle w:val="FootnoteReference"/>
          <w:sz w:val="18"/>
          <w:vertAlign w:val="baseline"/>
          <w:lang w:val="en-US"/>
        </w:rPr>
        <w:t xml:space="preserve"> and identification of wastes. Guidelines on the proper </w:t>
      </w:r>
      <w:proofErr w:type="spellStart"/>
      <w:r w:rsidRPr="00121683">
        <w:rPr>
          <w:rStyle w:val="FootnoteReference"/>
          <w:sz w:val="18"/>
          <w:vertAlign w:val="baseline"/>
          <w:lang w:val="en-US"/>
        </w:rPr>
        <w:t>labelling</w:t>
      </w:r>
      <w:proofErr w:type="spellEnd"/>
      <w:r w:rsidRPr="00121683">
        <w:rPr>
          <w:rStyle w:val="FootnoteReference"/>
          <w:sz w:val="18"/>
          <w:vertAlign w:val="baseline"/>
          <w:lang w:val="en-US"/>
        </w:rPr>
        <w:t xml:space="preserve"> and identification of hazardous materials have been produced by UNECE (2003b). See also FAO, 2001</w:t>
      </w:r>
      <w:r>
        <w:rPr>
          <w:rStyle w:val="FootnoteReference"/>
          <w:sz w:val="18"/>
          <w:vertAlign w:val="baseline"/>
          <w:lang w:val="en-US"/>
        </w:rPr>
        <w:t>;</w:t>
      </w:r>
      <w:r w:rsidRPr="00121683">
        <w:rPr>
          <w:rStyle w:val="FootnoteReference"/>
          <w:sz w:val="18"/>
          <w:vertAlign w:val="baseline"/>
          <w:lang w:val="en-US"/>
        </w:rPr>
        <w:t xml:space="preserve"> </w:t>
      </w:r>
      <w:r w:rsidRPr="00897644">
        <w:rPr>
          <w:rStyle w:val="FootnoteReference"/>
          <w:sz w:val="18"/>
          <w:vertAlign w:val="baseline"/>
          <w:lang w:val="en-US"/>
        </w:rPr>
        <w:t>UNEP</w:t>
      </w:r>
      <w:r w:rsidRPr="00897644">
        <w:rPr>
          <w:lang w:val="en-US"/>
        </w:rPr>
        <w:t xml:space="preserve">, </w:t>
      </w:r>
      <w:r>
        <w:rPr>
          <w:lang w:val="en-US"/>
        </w:rPr>
        <w:t xml:space="preserve">2015h; and </w:t>
      </w:r>
      <w:r w:rsidRPr="00897644">
        <w:rPr>
          <w:lang w:val="en-US"/>
        </w:rPr>
        <w:t xml:space="preserve">UNEP, UNIDO et al, </w:t>
      </w:r>
      <w:r w:rsidRPr="001010F3">
        <w:rPr>
          <w:lang w:val="en-US"/>
        </w:rPr>
        <w:t>2012</w:t>
      </w:r>
      <w:r>
        <w:rPr>
          <w:lang w:val="en-US"/>
        </w:rPr>
        <w:t>.</w:t>
      </w:r>
      <w:proofErr w:type="gramEnd"/>
    </w:p>
  </w:footnote>
  <w:footnote w:id="48">
    <w:p w:rsidR="009E7C50" w:rsidRDefault="009E7C50" w:rsidP="00FA3FE1">
      <w:pPr>
        <w:pStyle w:val="FootnoteText"/>
        <w:tabs>
          <w:tab w:val="clear" w:pos="1247"/>
          <w:tab w:val="left" w:pos="1134"/>
        </w:tabs>
        <w:ind w:left="1134"/>
        <w:rPr>
          <w:rStyle w:val="FootnoteReference"/>
          <w:sz w:val="18"/>
        </w:rPr>
      </w:pPr>
      <w:r w:rsidRPr="005E5BFF">
        <w:rPr>
          <w:rStyle w:val="FootnoteReference"/>
          <w:sz w:val="18"/>
        </w:rPr>
        <w:footnoteRef/>
      </w:r>
      <w:r w:rsidRPr="005E5BFF">
        <w:rPr>
          <w:rStyle w:val="FootnoteReference"/>
          <w:sz w:val="18"/>
        </w:rPr>
        <w:t xml:space="preserve"> </w:t>
      </w:r>
      <w:r w:rsidRPr="00FA3FE1">
        <w:t>Further</w:t>
      </w:r>
      <w:r w:rsidRPr="005E5BFF">
        <w:rPr>
          <w:rStyle w:val="FootnoteReference"/>
          <w:sz w:val="18"/>
          <w:vertAlign w:val="baseline"/>
        </w:rPr>
        <w:t xml:space="preserve"> information can be found in Storage of Hazardous Materials: A Technical Guide for Safe Warehousing of Hazardous Materials (UNEP, 1993) </w:t>
      </w:r>
      <w:r>
        <w:rPr>
          <w:rStyle w:val="FootnoteReference"/>
          <w:sz w:val="18"/>
          <w:vertAlign w:val="baseline"/>
        </w:rPr>
        <w:t xml:space="preserve">and </w:t>
      </w:r>
      <w:r w:rsidRPr="005E5BFF">
        <w:rPr>
          <w:rStyle w:val="FootnoteReference"/>
          <w:sz w:val="18"/>
          <w:vertAlign w:val="baseline"/>
        </w:rPr>
        <w:t xml:space="preserve">Pesticide </w:t>
      </w:r>
      <w:r>
        <w:t>S</w:t>
      </w:r>
      <w:r w:rsidRPr="005E5BFF">
        <w:rPr>
          <w:rStyle w:val="FootnoteReference"/>
          <w:sz w:val="18"/>
          <w:vertAlign w:val="baseline"/>
        </w:rPr>
        <w:t xml:space="preserve">torage and </w:t>
      </w:r>
      <w:r>
        <w:rPr>
          <w:rStyle w:val="FootnoteReference"/>
          <w:sz w:val="18"/>
          <w:vertAlign w:val="baseline"/>
        </w:rPr>
        <w:t>S</w:t>
      </w:r>
      <w:r w:rsidRPr="005E5BFF">
        <w:rPr>
          <w:rStyle w:val="FootnoteReference"/>
          <w:sz w:val="18"/>
          <w:vertAlign w:val="baseline"/>
        </w:rPr>
        <w:t xml:space="preserve">tock </w:t>
      </w:r>
      <w:r>
        <w:rPr>
          <w:rStyle w:val="FootnoteReference"/>
          <w:sz w:val="18"/>
          <w:vertAlign w:val="baseline"/>
        </w:rPr>
        <w:t>C</w:t>
      </w:r>
      <w:r w:rsidRPr="005E5BFF">
        <w:rPr>
          <w:rStyle w:val="FootnoteReference"/>
          <w:sz w:val="18"/>
          <w:vertAlign w:val="baseline"/>
        </w:rPr>
        <w:t xml:space="preserve">ontrol </w:t>
      </w:r>
      <w:r>
        <w:rPr>
          <w:rStyle w:val="FootnoteReference"/>
          <w:sz w:val="18"/>
          <w:vertAlign w:val="baseline"/>
        </w:rPr>
        <w:t>M</w:t>
      </w:r>
      <w:r w:rsidRPr="005E5BFF">
        <w:rPr>
          <w:rStyle w:val="FootnoteReference"/>
          <w:sz w:val="18"/>
          <w:vertAlign w:val="baseline"/>
        </w:rPr>
        <w:t>anual</w:t>
      </w:r>
      <w:r>
        <w:t xml:space="preserve"> </w:t>
      </w:r>
      <w:r w:rsidRPr="005E5BFF">
        <w:rPr>
          <w:rStyle w:val="FootnoteReference"/>
          <w:sz w:val="18"/>
          <w:vertAlign w:val="baseline"/>
        </w:rPr>
        <w:t xml:space="preserve"> (FAO, 1996).</w:t>
      </w:r>
      <w:r>
        <w:rPr>
          <w:rStyle w:val="FootnoteReference"/>
          <w:sz w:val="18"/>
          <w:vertAlign w:val="baseline"/>
        </w:rPr>
        <w:t xml:space="preserve"> </w:t>
      </w:r>
      <w:r w:rsidRPr="00405DFE">
        <w:rPr>
          <w:rStyle w:val="FootnoteReference"/>
          <w:sz w:val="18"/>
          <w:vertAlign w:val="baseline"/>
        </w:rPr>
        <w:t>For full references</w:t>
      </w:r>
      <w:proofErr w:type="gramStart"/>
      <w:r w:rsidRPr="00405DFE">
        <w:t>,</w:t>
      </w:r>
      <w:r w:rsidRPr="00405DFE">
        <w:rPr>
          <w:rStyle w:val="FootnoteReference"/>
          <w:sz w:val="18"/>
          <w:vertAlign w:val="baseline"/>
        </w:rPr>
        <w:t xml:space="preserve"> see annex III (</w:t>
      </w:r>
      <w:r>
        <w:rPr>
          <w:rStyle w:val="FootnoteReference"/>
          <w:sz w:val="18"/>
          <w:vertAlign w:val="baseline"/>
        </w:rPr>
        <w:t>b</w:t>
      </w:r>
      <w:r w:rsidRPr="007F298B">
        <w:rPr>
          <w:rStyle w:val="FootnoteReference"/>
          <w:sz w:val="18"/>
          <w:vertAlign w:val="baseline"/>
        </w:rPr>
        <w:t>ibliography</w:t>
      </w:r>
      <w:r w:rsidRPr="002D1F8A">
        <w:rPr>
          <w:rStyle w:val="FootnoteReference"/>
          <w:sz w:val="18"/>
          <w:vertAlign w:val="baseline"/>
        </w:rPr>
        <w:t>)</w:t>
      </w:r>
      <w:r>
        <w:rPr>
          <w:rStyle w:val="FootnoteReference"/>
          <w:sz w:val="18"/>
          <w:vertAlign w:val="baseline"/>
        </w:rPr>
        <w:t xml:space="preserve"> below</w:t>
      </w:r>
      <w:r>
        <w:t>.</w:t>
      </w:r>
      <w:proofErr w:type="gramEnd"/>
      <w:r>
        <w:t xml:space="preserve"> </w:t>
      </w:r>
    </w:p>
  </w:footnote>
  <w:footnote w:id="49">
    <w:p w:rsidR="009E7C50" w:rsidRDefault="009E7C50" w:rsidP="00FA3FE1">
      <w:pPr>
        <w:pStyle w:val="FootnoteText"/>
        <w:tabs>
          <w:tab w:val="clear" w:pos="1247"/>
          <w:tab w:val="left" w:pos="1134"/>
        </w:tabs>
        <w:ind w:left="1134"/>
        <w:rPr>
          <w:rStyle w:val="FootnoteReference"/>
          <w:sz w:val="18"/>
        </w:rPr>
      </w:pPr>
      <w:r>
        <w:rPr>
          <w:rStyle w:val="FootnoteReference"/>
          <w:sz w:val="18"/>
        </w:rPr>
        <w:footnoteRef/>
      </w:r>
      <w:r>
        <w:t xml:space="preserve"> </w:t>
      </w:r>
      <w:r w:rsidRPr="00FA3FE1">
        <w:t>Further</w:t>
      </w:r>
      <w:r w:rsidRPr="002328D7">
        <w:rPr>
          <w:rStyle w:val="FootnoteReference"/>
          <w:sz w:val="18"/>
          <w:vertAlign w:val="baseline"/>
        </w:rPr>
        <w:t xml:space="preserve"> information regarding these </w:t>
      </w:r>
      <w:r>
        <w:rPr>
          <w:rStyle w:val="FootnoteReference"/>
          <w:sz w:val="18"/>
          <w:vertAlign w:val="baseline"/>
        </w:rPr>
        <w:t xml:space="preserve">current and emerging </w:t>
      </w:r>
      <w:r w:rsidRPr="002328D7">
        <w:rPr>
          <w:rStyle w:val="FootnoteReference"/>
          <w:sz w:val="18"/>
          <w:vertAlign w:val="baseline"/>
        </w:rPr>
        <w:t xml:space="preserve">technologies </w:t>
      </w:r>
      <w:r>
        <w:t xml:space="preserve"> </w:t>
      </w:r>
      <w:r w:rsidRPr="002328D7">
        <w:rPr>
          <w:rStyle w:val="FootnoteReference"/>
          <w:sz w:val="18"/>
          <w:vertAlign w:val="baseline"/>
        </w:rPr>
        <w:t>can be found in</w:t>
      </w:r>
      <w:r>
        <w:rPr>
          <w:rStyle w:val="FootnoteReference"/>
          <w:sz w:val="18"/>
          <w:vertAlign w:val="baseline"/>
        </w:rPr>
        <w:t xml:space="preserve">: </w:t>
      </w:r>
      <w:r w:rsidRPr="002328D7">
        <w:rPr>
          <w:rStyle w:val="FootnoteReference"/>
          <w:sz w:val="18"/>
          <w:vertAlign w:val="baseline"/>
        </w:rPr>
        <w:t>UNEP, 2004</w:t>
      </w:r>
      <w:r>
        <w:rPr>
          <w:rStyle w:val="FootnoteReference"/>
          <w:sz w:val="18"/>
          <w:vertAlign w:val="baseline"/>
        </w:rPr>
        <w:t>a</w:t>
      </w:r>
      <w:r w:rsidRPr="002328D7">
        <w:rPr>
          <w:rStyle w:val="FootnoteReference"/>
          <w:sz w:val="18"/>
          <w:vertAlign w:val="baseline"/>
        </w:rPr>
        <w:t xml:space="preserve">; </w:t>
      </w:r>
      <w:r>
        <w:rPr>
          <w:i/>
          <w:color w:val="244061"/>
        </w:rPr>
        <w:t>v</w:t>
      </w:r>
      <w:r w:rsidRPr="005D5789">
        <w:rPr>
          <w:i/>
          <w:color w:val="244061"/>
        </w:rPr>
        <w:t>olumes A and B</w:t>
      </w:r>
      <w:r>
        <w:rPr>
          <w:color w:val="244061"/>
        </w:rPr>
        <w:t xml:space="preserve"> of </w:t>
      </w:r>
      <w:r w:rsidRPr="005D5789">
        <w:rPr>
          <w:color w:val="244061"/>
        </w:rPr>
        <w:t xml:space="preserve">UNEP, </w:t>
      </w:r>
      <w:r w:rsidRPr="005D5789">
        <w:rPr>
          <w:color w:val="244061"/>
          <w:szCs w:val="18"/>
        </w:rPr>
        <w:t>2002</w:t>
      </w:r>
      <w:r>
        <w:rPr>
          <w:color w:val="244061"/>
          <w:szCs w:val="18"/>
        </w:rPr>
        <w:t>a</w:t>
      </w:r>
      <w:r>
        <w:rPr>
          <w:color w:val="244061"/>
        </w:rPr>
        <w:t xml:space="preserve"> (</w:t>
      </w:r>
      <w:r w:rsidRPr="005D5789">
        <w:rPr>
          <w:i/>
          <w:color w:val="244061"/>
        </w:rPr>
        <w:t>currently being updated</w:t>
      </w:r>
      <w:r w:rsidRPr="005D5789">
        <w:rPr>
          <w:color w:val="244061"/>
        </w:rPr>
        <w:t>)</w:t>
      </w:r>
      <w:r w:rsidRPr="005E5BFF">
        <w:t>, STAP, 2011</w:t>
      </w:r>
      <w:r>
        <w:rPr>
          <w:szCs w:val="18"/>
        </w:rPr>
        <w:t>;</w:t>
      </w:r>
      <w:r w:rsidDel="006F170C">
        <w:t xml:space="preserve"> </w:t>
      </w:r>
      <w:r w:rsidRPr="005E5BFF">
        <w:t>UNEP</w:t>
      </w:r>
      <w:r>
        <w:rPr>
          <w:szCs w:val="18"/>
        </w:rPr>
        <w:t>,</w:t>
      </w:r>
      <w:r w:rsidRPr="005E5BFF">
        <w:rPr>
          <w:szCs w:val="18"/>
        </w:rPr>
        <w:t xml:space="preserve"> 200</w:t>
      </w:r>
      <w:r>
        <w:rPr>
          <w:szCs w:val="18"/>
        </w:rPr>
        <w:t xml:space="preserve">7; and at: </w:t>
      </w:r>
      <w:hyperlink r:id="rId5" w:history="1">
        <w:r w:rsidRPr="006C656C">
          <w:rPr>
            <w:rStyle w:val="Hyperlink"/>
            <w:szCs w:val="18"/>
          </w:rPr>
          <w:t>www.synbra.com/en/39/187/raw_materials.aspx</w:t>
        </w:r>
      </w:hyperlink>
      <w:r>
        <w:t xml:space="preserve">. </w:t>
      </w:r>
      <w:r w:rsidRPr="00FB01E2">
        <w:t>For full references</w:t>
      </w:r>
      <w:r w:rsidRPr="00405DFE">
        <w:t>,</w:t>
      </w:r>
      <w:r w:rsidRPr="00FB01E2">
        <w:t xml:space="preserve"> see </w:t>
      </w:r>
      <w:r w:rsidRPr="00405DFE">
        <w:t>a</w:t>
      </w:r>
      <w:r w:rsidRPr="00FB01E2">
        <w:t>nnex III (</w:t>
      </w:r>
      <w:r>
        <w:t>b</w:t>
      </w:r>
      <w:r w:rsidRPr="00FB01E2">
        <w:t>ibliography)</w:t>
      </w:r>
      <w:r w:rsidRPr="00405DFE">
        <w:t xml:space="preserve"> below</w:t>
      </w:r>
      <w:r w:rsidRPr="00FB01E2">
        <w:t>.</w:t>
      </w:r>
    </w:p>
  </w:footnote>
  <w:footnote w:id="50">
    <w:p w:rsidR="009E7C50" w:rsidRPr="00121683" w:rsidRDefault="009E7C50" w:rsidP="00A12DEA">
      <w:pPr>
        <w:pStyle w:val="FootnoteText"/>
        <w:tabs>
          <w:tab w:val="clear" w:pos="1247"/>
          <w:tab w:val="left" w:pos="1134"/>
        </w:tabs>
        <w:ind w:left="1134"/>
        <w:rPr>
          <w:lang w:val="en-US"/>
        </w:rPr>
      </w:pPr>
      <w:r w:rsidRPr="00F37FF8">
        <w:rPr>
          <w:rStyle w:val="FootnoteReference"/>
        </w:rPr>
        <w:footnoteRef/>
      </w:r>
      <w:r w:rsidRPr="00F37FF8">
        <w:t xml:space="preserve"> HBB does not appear in </w:t>
      </w:r>
      <w:r>
        <w:t>t</w:t>
      </w:r>
      <w:r w:rsidRPr="00F37FF8">
        <w:t xml:space="preserve">able </w:t>
      </w:r>
      <w:r>
        <w:t>4</w:t>
      </w:r>
      <w:r w:rsidRPr="00F37FF8">
        <w:t xml:space="preserve"> since </w:t>
      </w:r>
      <w:r>
        <w:t xml:space="preserve">the </w:t>
      </w:r>
      <w:r w:rsidRPr="00F37FF8">
        <w:t xml:space="preserve">information available </w:t>
      </w:r>
      <w:r>
        <w:t xml:space="preserve">is insufficient </w:t>
      </w:r>
      <w:r w:rsidRPr="00F37FF8">
        <w:t>to determine appropriate technologies for its destruction and irreversible transformation. However, hazardous waste incineration is assumed to be adequate.</w:t>
      </w:r>
    </w:p>
  </w:footnote>
  <w:footnote w:id="51">
    <w:p w:rsidR="009E7C50" w:rsidRDefault="009E7C50" w:rsidP="00FA3FE1">
      <w:pPr>
        <w:pStyle w:val="FootnoteText"/>
        <w:tabs>
          <w:tab w:val="clear" w:pos="1247"/>
          <w:tab w:val="left" w:pos="1134"/>
        </w:tabs>
        <w:ind w:left="1134"/>
        <w:rPr>
          <w:rStyle w:val="FootnoteReference"/>
          <w:sz w:val="18"/>
        </w:rPr>
      </w:pPr>
      <w:r>
        <w:rPr>
          <w:rStyle w:val="FootnoteReference"/>
          <w:sz w:val="18"/>
        </w:rPr>
        <w:footnoteRef/>
      </w:r>
      <w:r>
        <w:rPr>
          <w:rStyle w:val="FootnoteReference"/>
          <w:sz w:val="18"/>
        </w:rPr>
        <w:t xml:space="preserve"> </w:t>
      </w:r>
      <w:r w:rsidRPr="00FA3FE1">
        <w:t>Additional</w:t>
      </w:r>
      <w:r w:rsidRPr="005E5BFF">
        <w:rPr>
          <w:rStyle w:val="FootnoteReference"/>
          <w:sz w:val="18"/>
          <w:vertAlign w:val="baseline"/>
        </w:rPr>
        <w:t xml:space="preserve"> information is available </w:t>
      </w:r>
      <w:r>
        <w:rPr>
          <w:rStyle w:val="FootnoteReference"/>
          <w:sz w:val="18"/>
          <w:vertAlign w:val="baseline"/>
        </w:rPr>
        <w:t>in</w:t>
      </w:r>
      <w:r w:rsidRPr="005E5BFF">
        <w:rPr>
          <w:rStyle w:val="FootnoteReference"/>
          <w:sz w:val="18"/>
          <w:vertAlign w:val="baseline"/>
        </w:rPr>
        <w:t xml:space="preserve"> UNEP, 1998b</w:t>
      </w:r>
      <w:r>
        <w:rPr>
          <w:rStyle w:val="FootnoteReference"/>
          <w:sz w:val="18"/>
          <w:vertAlign w:val="baseline"/>
        </w:rPr>
        <w:t>,</w:t>
      </w:r>
      <w:r w:rsidRPr="005E5BFF">
        <w:rPr>
          <w:rStyle w:val="FootnoteReference"/>
          <w:sz w:val="18"/>
          <w:vertAlign w:val="baseline"/>
        </w:rPr>
        <w:t xml:space="preserve"> UNEP, 2000</w:t>
      </w:r>
      <w:r>
        <w:rPr>
          <w:rStyle w:val="FootnoteReference"/>
          <w:sz w:val="18"/>
          <w:vertAlign w:val="baseline"/>
        </w:rPr>
        <w:t>,</w:t>
      </w:r>
      <w:r w:rsidRPr="005E5BFF">
        <w:rPr>
          <w:rStyle w:val="FootnoteReference"/>
          <w:sz w:val="18"/>
          <w:vertAlign w:val="baseline"/>
        </w:rPr>
        <w:t xml:space="preserve"> and UNEP, 2004</w:t>
      </w:r>
      <w:r>
        <w:rPr>
          <w:rStyle w:val="FootnoteReference"/>
          <w:sz w:val="18"/>
          <w:vertAlign w:val="baseline"/>
        </w:rPr>
        <w:t>a</w:t>
      </w:r>
      <w:r w:rsidRPr="005E5BFF">
        <w:rPr>
          <w:rStyle w:val="FootnoteReference"/>
          <w:sz w:val="18"/>
          <w:vertAlign w:val="baseline"/>
        </w:rPr>
        <w:t>.</w:t>
      </w:r>
      <w:r>
        <w:rPr>
          <w:rStyle w:val="FootnoteReference"/>
          <w:sz w:val="18"/>
        </w:rPr>
        <w:t xml:space="preserve"> </w:t>
      </w:r>
    </w:p>
  </w:footnote>
  <w:footnote w:id="52">
    <w:p w:rsidR="009E7C50" w:rsidRPr="001763B3" w:rsidRDefault="009E7C50" w:rsidP="00FA3FE1">
      <w:pPr>
        <w:pStyle w:val="FootnoteText"/>
        <w:tabs>
          <w:tab w:val="clear" w:pos="1247"/>
          <w:tab w:val="left" w:pos="1134"/>
        </w:tabs>
        <w:ind w:left="1134"/>
        <w:rPr>
          <w:rStyle w:val="FootnoteReference"/>
          <w:sz w:val="18"/>
          <w:lang w:val="fr-CH"/>
        </w:rPr>
      </w:pPr>
      <w:r>
        <w:rPr>
          <w:rStyle w:val="FootnoteReference"/>
          <w:sz w:val="18"/>
        </w:rPr>
        <w:footnoteRef/>
      </w:r>
      <w:r w:rsidRPr="00605389">
        <w:rPr>
          <w:rStyle w:val="FootnoteReference"/>
          <w:sz w:val="18"/>
          <w:lang w:val="fr-CH"/>
        </w:rPr>
        <w:t xml:space="preserve"> </w:t>
      </w:r>
      <w:proofErr w:type="spellStart"/>
      <w:r w:rsidRPr="00605389">
        <w:rPr>
          <w:lang w:val="fr-CH"/>
        </w:rPr>
        <w:t>Ariizumi</w:t>
      </w:r>
      <w:proofErr w:type="spellEnd"/>
      <w:r w:rsidRPr="00605389">
        <w:rPr>
          <w:rStyle w:val="FootnoteReference"/>
          <w:sz w:val="18"/>
          <w:vertAlign w:val="baseline"/>
          <w:lang w:val="fr-CH"/>
        </w:rPr>
        <w:t xml:space="preserve"> et al, 1997</w:t>
      </w:r>
      <w:r w:rsidRPr="00605389">
        <w:rPr>
          <w:lang w:val="fr-CH"/>
        </w:rPr>
        <w:t xml:space="preserve">. </w:t>
      </w:r>
    </w:p>
  </w:footnote>
  <w:footnote w:id="53">
    <w:p w:rsidR="009E7C50" w:rsidRPr="00FA3FE1" w:rsidRDefault="009E7C50" w:rsidP="00FA3FE1">
      <w:pPr>
        <w:pStyle w:val="FootnoteText"/>
        <w:tabs>
          <w:tab w:val="clear" w:pos="1247"/>
          <w:tab w:val="left" w:pos="1134"/>
        </w:tabs>
        <w:ind w:left="1134"/>
        <w:rPr>
          <w:rFonts w:eastAsia="PMingLiU"/>
          <w:lang w:eastAsia="zh-HK"/>
        </w:rPr>
      </w:pPr>
      <w:r>
        <w:rPr>
          <w:rStyle w:val="FootnoteReference"/>
        </w:rPr>
        <w:footnoteRef/>
      </w:r>
      <w:r w:rsidRPr="00605389">
        <w:rPr>
          <w:lang w:val="fr-CH"/>
        </w:rPr>
        <w:t xml:space="preserve"> </w:t>
      </w:r>
      <w:proofErr w:type="spellStart"/>
      <w:r w:rsidRPr="00605389">
        <w:rPr>
          <w:lang w:val="fr-CH"/>
        </w:rPr>
        <w:t>See</w:t>
      </w:r>
      <w:proofErr w:type="spellEnd"/>
      <w:r w:rsidRPr="00605389">
        <w:rPr>
          <w:lang w:val="fr-CH"/>
        </w:rPr>
        <w:t xml:space="preserve"> EU Directive 2010/75/EU on </w:t>
      </w:r>
      <w:proofErr w:type="spellStart"/>
      <w:r w:rsidRPr="00605389">
        <w:rPr>
          <w:lang w:val="fr-CH"/>
        </w:rPr>
        <w:t>industrial</w:t>
      </w:r>
      <w:proofErr w:type="spellEnd"/>
      <w:r w:rsidRPr="00605389">
        <w:rPr>
          <w:lang w:val="fr-CH"/>
        </w:rPr>
        <w:t xml:space="preserve"> </w:t>
      </w:r>
      <w:proofErr w:type="spellStart"/>
      <w:r w:rsidRPr="00605389">
        <w:rPr>
          <w:lang w:val="fr-CH"/>
        </w:rPr>
        <w:t>emissions</w:t>
      </w:r>
      <w:proofErr w:type="spellEnd"/>
      <w:r w:rsidRPr="00605389">
        <w:rPr>
          <w:lang w:val="fr-CH"/>
        </w:rPr>
        <w:t xml:space="preserve">, </w:t>
      </w:r>
      <w:proofErr w:type="spellStart"/>
      <w:r w:rsidRPr="00605389">
        <w:rPr>
          <w:lang w:val="fr-CH"/>
        </w:rPr>
        <w:t>chapter</w:t>
      </w:r>
      <w:proofErr w:type="spellEnd"/>
      <w:r w:rsidRPr="00605389">
        <w:rPr>
          <w:lang w:val="fr-CH"/>
        </w:rPr>
        <w:t xml:space="preserve"> 4. </w:t>
      </w:r>
      <w:r>
        <w:t xml:space="preserve">The directive </w:t>
      </w:r>
      <w:r>
        <w:rPr>
          <w:szCs w:val="18"/>
        </w:rPr>
        <w:t>succeeded Directive 2008/1/EC (integrated pollution prevention and control) and is aimed at minimizing pollution from various industrial sources throughout the European Union. Operators of industrial installations engaged in activities covered under Annex I to the Directive are required to obtain an integrated permit from the authorities of EU countries</w:t>
      </w:r>
      <w:r>
        <w:rPr>
          <w:rFonts w:eastAsia="PMingLiU" w:hint="eastAsia"/>
          <w:szCs w:val="18"/>
          <w:lang w:eastAsia="zh-HK"/>
        </w:rPr>
        <w:t>.</w:t>
      </w:r>
      <w:r>
        <w:rPr>
          <w:rFonts w:eastAsia="PMingLiU"/>
          <w:szCs w:val="18"/>
          <w:lang w:eastAsia="zh-HK"/>
        </w:rPr>
        <w:t xml:space="preserve"> </w:t>
      </w:r>
    </w:p>
  </w:footnote>
  <w:footnote w:id="54">
    <w:p w:rsidR="009E7C50" w:rsidRDefault="009E7C50" w:rsidP="00FA3FE1">
      <w:pPr>
        <w:pStyle w:val="FootnoteText"/>
        <w:tabs>
          <w:tab w:val="clear" w:pos="1247"/>
          <w:tab w:val="left" w:pos="1134"/>
        </w:tabs>
        <w:ind w:left="1134"/>
        <w:rPr>
          <w:rFonts w:cs="Cambria"/>
          <w:szCs w:val="18"/>
        </w:rPr>
      </w:pPr>
      <w:r w:rsidRPr="00CF592C">
        <w:rPr>
          <w:vertAlign w:val="superscript"/>
        </w:rPr>
        <w:footnoteRef/>
      </w:r>
      <w:r w:rsidRPr="00CF592C">
        <w:rPr>
          <w:vertAlign w:val="superscript"/>
        </w:rPr>
        <w:t xml:space="preserve"> </w:t>
      </w:r>
      <w:proofErr w:type="gramStart"/>
      <w:r w:rsidRPr="00FA3FE1">
        <w:t>See</w:t>
      </w:r>
      <w:r w:rsidRPr="00CF592C">
        <w:t xml:space="preserve"> Austrian Federal Ministry of Agriculture, Forestry, Environment and Water Management, 2010</w:t>
      </w:r>
      <w:r>
        <w:t>.</w:t>
      </w:r>
      <w:proofErr w:type="gramEnd"/>
      <w:r w:rsidRPr="00CF592C">
        <w:t xml:space="preserve"> </w:t>
      </w:r>
    </w:p>
  </w:footnote>
  <w:footnote w:id="55">
    <w:p w:rsidR="009E7C50" w:rsidRDefault="009E7C50" w:rsidP="00FA3FE1">
      <w:pPr>
        <w:pStyle w:val="FootnoteText"/>
        <w:tabs>
          <w:tab w:val="clear" w:pos="1247"/>
          <w:tab w:val="left" w:pos="1134"/>
        </w:tabs>
        <w:ind w:left="1134"/>
        <w:rPr>
          <w:rFonts w:cs="Cambria"/>
          <w:szCs w:val="18"/>
        </w:rPr>
      </w:pPr>
      <w:r w:rsidRPr="00CF592C">
        <w:rPr>
          <w:rFonts w:cs="Cambria"/>
          <w:szCs w:val="18"/>
          <w:vertAlign w:val="superscript"/>
        </w:rPr>
        <w:footnoteRef/>
      </w:r>
      <w:r w:rsidRPr="00CF592C">
        <w:rPr>
          <w:rFonts w:cs="Cambria"/>
          <w:szCs w:val="18"/>
          <w:vertAlign w:val="superscript"/>
        </w:rPr>
        <w:t xml:space="preserve"> </w:t>
      </w:r>
      <w:r w:rsidRPr="00FA3FE1">
        <w:t>See</w:t>
      </w:r>
      <w:r w:rsidRPr="00CF592C">
        <w:rPr>
          <w:rFonts w:cs="Cambria"/>
          <w:szCs w:val="18"/>
        </w:rPr>
        <w:t xml:space="preserve"> </w:t>
      </w:r>
      <w:proofErr w:type="spellStart"/>
      <w:r w:rsidRPr="009B4C51">
        <w:rPr>
          <w:rFonts w:eastAsia="Calibri"/>
          <w:lang w:val="en-US"/>
        </w:rPr>
        <w:t>BiPRO</w:t>
      </w:r>
      <w:proofErr w:type="spellEnd"/>
      <w:r w:rsidRPr="009B4C51">
        <w:rPr>
          <w:rFonts w:eastAsia="Calibri"/>
          <w:lang w:val="en-US"/>
        </w:rPr>
        <w:t xml:space="preserve"> GmbH</w:t>
      </w:r>
      <w:r w:rsidRPr="00CF592C">
        <w:rPr>
          <w:rFonts w:cs="Cambria"/>
          <w:szCs w:val="18"/>
        </w:rPr>
        <w:t xml:space="preserve">, 2005. </w:t>
      </w:r>
    </w:p>
  </w:footnote>
  <w:footnote w:id="56">
    <w:p w:rsidR="009E7C50" w:rsidRDefault="009E7C50" w:rsidP="00FE5173">
      <w:pPr>
        <w:pStyle w:val="FootnoteText"/>
        <w:tabs>
          <w:tab w:val="clear" w:pos="1247"/>
          <w:tab w:val="left" w:pos="1134"/>
        </w:tabs>
        <w:ind w:left="1134"/>
        <w:rPr>
          <w:rFonts w:cs="Arial"/>
          <w:szCs w:val="18"/>
        </w:rPr>
      </w:pPr>
      <w:r w:rsidRPr="00CF592C">
        <w:rPr>
          <w:rStyle w:val="FootnoteReference"/>
          <w:sz w:val="18"/>
        </w:rPr>
        <w:footnoteRef/>
      </w:r>
      <w:r w:rsidRPr="00CF592C">
        <w:rPr>
          <w:szCs w:val="18"/>
        </w:rPr>
        <w:t xml:space="preserve"> </w:t>
      </w:r>
      <w:r w:rsidRPr="00FA3FE1">
        <w:t>See</w:t>
      </w:r>
      <w:r w:rsidRPr="00CF592C">
        <w:rPr>
          <w:rFonts w:cs="Cambria"/>
          <w:szCs w:val="18"/>
        </w:rPr>
        <w:t xml:space="preserve"> </w:t>
      </w:r>
      <w:r w:rsidRPr="00CF592C">
        <w:rPr>
          <w:szCs w:val="18"/>
        </w:rPr>
        <w:t xml:space="preserve">UNEP, 2002b. </w:t>
      </w:r>
    </w:p>
  </w:footnote>
  <w:footnote w:id="57">
    <w:p w:rsidR="009E7C50" w:rsidRPr="00820639" w:rsidRDefault="009E7C50" w:rsidP="00FA3FE1">
      <w:pPr>
        <w:pStyle w:val="FootnoteText"/>
        <w:tabs>
          <w:tab w:val="clear" w:pos="1247"/>
          <w:tab w:val="left" w:pos="1134"/>
        </w:tabs>
        <w:ind w:left="1134"/>
        <w:rPr>
          <w:szCs w:val="18"/>
          <w:lang w:val="en-US"/>
        </w:rPr>
      </w:pPr>
      <w:r w:rsidRPr="00820639">
        <w:rPr>
          <w:rStyle w:val="FootnoteReference"/>
          <w:sz w:val="18"/>
        </w:rPr>
        <w:footnoteRef/>
      </w:r>
      <w:r w:rsidRPr="00820639">
        <w:rPr>
          <w:szCs w:val="18"/>
        </w:rPr>
        <w:t xml:space="preserve"> See </w:t>
      </w:r>
      <w:r w:rsidRPr="00820639">
        <w:rPr>
          <w:iCs/>
          <w:szCs w:val="18"/>
        </w:rPr>
        <w:t>Mark et al., 2015</w:t>
      </w:r>
      <w:r>
        <w:rPr>
          <w:iCs/>
          <w:szCs w:val="18"/>
        </w:rPr>
        <w:t>.</w:t>
      </w:r>
    </w:p>
  </w:footnote>
  <w:footnote w:id="58">
    <w:p w:rsidR="009E7C50" w:rsidRDefault="009E7C50" w:rsidP="00FA3FE1">
      <w:pPr>
        <w:pStyle w:val="FootnoteText"/>
        <w:tabs>
          <w:tab w:val="clear" w:pos="1247"/>
          <w:tab w:val="left" w:pos="1134"/>
        </w:tabs>
        <w:ind w:left="1134"/>
        <w:rPr>
          <w:rFonts w:ascii="Arial" w:hAnsi="Arial" w:cs="Cambria"/>
          <w:szCs w:val="18"/>
          <w:lang w:eastAsia="zh-CN"/>
        </w:rPr>
      </w:pPr>
      <w:r w:rsidRPr="00CF592C">
        <w:rPr>
          <w:rFonts w:cs="Cambria"/>
          <w:szCs w:val="18"/>
          <w:vertAlign w:val="superscript"/>
        </w:rPr>
        <w:footnoteRef/>
      </w:r>
      <w:r w:rsidRPr="00CF592C">
        <w:rPr>
          <w:rFonts w:cs="Cambria"/>
          <w:szCs w:val="18"/>
          <w:vertAlign w:val="superscript"/>
        </w:rPr>
        <w:t xml:space="preserve"> </w:t>
      </w:r>
      <w:r w:rsidRPr="00FA3FE1">
        <w:t>See</w:t>
      </w:r>
      <w:r w:rsidRPr="00CF592C">
        <w:rPr>
          <w:rFonts w:cs="Cambria"/>
          <w:szCs w:val="18"/>
        </w:rPr>
        <w:t xml:space="preserve"> </w:t>
      </w:r>
      <w:r w:rsidRPr="00CF592C">
        <w:rPr>
          <w:szCs w:val="18"/>
        </w:rPr>
        <w:t xml:space="preserve">European Commission, 2006. </w:t>
      </w:r>
    </w:p>
  </w:footnote>
  <w:footnote w:id="59">
    <w:p w:rsidR="009E7C50" w:rsidRPr="006C2BF1" w:rsidRDefault="009E7C50" w:rsidP="00FA3FE1">
      <w:pPr>
        <w:pStyle w:val="FootnoteText"/>
        <w:tabs>
          <w:tab w:val="clear" w:pos="1247"/>
          <w:tab w:val="left" w:pos="1134"/>
        </w:tabs>
        <w:ind w:left="1134"/>
      </w:pPr>
      <w:r w:rsidRPr="00CF592C">
        <w:rPr>
          <w:rStyle w:val="FootnoteReference"/>
          <w:sz w:val="18"/>
        </w:rPr>
        <w:footnoteRef/>
      </w:r>
      <w:r w:rsidRPr="005E5BFF">
        <w:rPr>
          <w:szCs w:val="18"/>
        </w:rPr>
        <w:t xml:space="preserve"> </w:t>
      </w:r>
      <w:r w:rsidRPr="00FA3FE1">
        <w:t>See</w:t>
      </w:r>
      <w:r w:rsidRPr="00CF592C">
        <w:rPr>
          <w:rFonts w:cs="Cambria"/>
          <w:szCs w:val="18"/>
        </w:rPr>
        <w:t xml:space="preserve"> </w:t>
      </w:r>
      <w:r>
        <w:t>Mark et al.</w:t>
      </w:r>
      <w:r w:rsidRPr="006C2BF1">
        <w:rPr>
          <w:iCs/>
        </w:rPr>
        <w:t>, 2015</w:t>
      </w:r>
      <w:r>
        <w:rPr>
          <w:iCs/>
        </w:rPr>
        <w:t>.</w:t>
      </w:r>
    </w:p>
  </w:footnote>
  <w:footnote w:id="60">
    <w:p w:rsidR="009E7C50" w:rsidRPr="00CF592C" w:rsidRDefault="009E7C50" w:rsidP="00FA3FE1">
      <w:pPr>
        <w:pStyle w:val="FootnoteText"/>
        <w:tabs>
          <w:tab w:val="clear" w:pos="1247"/>
          <w:tab w:val="left" w:pos="1134"/>
        </w:tabs>
        <w:ind w:left="1134"/>
        <w:rPr>
          <w:szCs w:val="18"/>
        </w:rPr>
      </w:pPr>
      <w:r w:rsidRPr="00CF592C">
        <w:rPr>
          <w:rStyle w:val="FootnoteReference"/>
          <w:sz w:val="18"/>
        </w:rPr>
        <w:footnoteRef/>
      </w:r>
      <w:r w:rsidRPr="005E5BFF">
        <w:rPr>
          <w:szCs w:val="18"/>
        </w:rPr>
        <w:t xml:space="preserve"> </w:t>
      </w:r>
      <w:r w:rsidRPr="00FA3FE1">
        <w:t>See</w:t>
      </w:r>
      <w:r w:rsidRPr="00CF592C">
        <w:rPr>
          <w:rFonts w:cs="Cambria"/>
          <w:szCs w:val="18"/>
        </w:rPr>
        <w:t xml:space="preserve"> </w:t>
      </w:r>
      <w:r w:rsidRPr="00CF592C">
        <w:rPr>
          <w:szCs w:val="18"/>
        </w:rPr>
        <w:t>European Commission, 2006.</w:t>
      </w:r>
    </w:p>
  </w:footnote>
  <w:footnote w:id="61">
    <w:p w:rsidR="009E7C50" w:rsidRPr="00A6576D" w:rsidRDefault="009E7C50" w:rsidP="00113A47">
      <w:pPr>
        <w:pStyle w:val="FootnoteText"/>
        <w:tabs>
          <w:tab w:val="clear" w:pos="1247"/>
          <w:tab w:val="left" w:pos="1134"/>
        </w:tabs>
        <w:ind w:left="1134"/>
        <w:rPr>
          <w:lang w:val="en-US"/>
        </w:rPr>
      </w:pPr>
      <w:r>
        <w:rPr>
          <w:rStyle w:val="FootnoteReference"/>
        </w:rPr>
        <w:footnoteRef/>
      </w:r>
      <w:r>
        <w:t xml:space="preserve"> </w:t>
      </w:r>
      <w:r w:rsidRPr="00820639">
        <w:rPr>
          <w:szCs w:val="18"/>
        </w:rPr>
        <w:t xml:space="preserve">See </w:t>
      </w:r>
      <w:r w:rsidRPr="00820639">
        <w:rPr>
          <w:iCs/>
          <w:szCs w:val="18"/>
        </w:rPr>
        <w:t>Mark et al., 2015</w:t>
      </w:r>
      <w:r>
        <w:rPr>
          <w:iCs/>
          <w:szCs w:val="18"/>
        </w:rPr>
        <w:t>.</w:t>
      </w:r>
    </w:p>
  </w:footnote>
  <w:footnote w:id="62">
    <w:p w:rsidR="009E7C50" w:rsidRDefault="009E7C50" w:rsidP="00FA3FE1">
      <w:pPr>
        <w:pStyle w:val="FootnoteText"/>
        <w:tabs>
          <w:tab w:val="clear" w:pos="1247"/>
          <w:tab w:val="left" w:pos="1134"/>
        </w:tabs>
        <w:ind w:left="1134"/>
        <w:rPr>
          <w:rFonts w:cs="Arial"/>
          <w:szCs w:val="18"/>
          <w:lang w:val="en-US"/>
        </w:rPr>
      </w:pPr>
      <w:r w:rsidRPr="00CF592C">
        <w:rPr>
          <w:rFonts w:cs="Cambria"/>
          <w:szCs w:val="18"/>
          <w:vertAlign w:val="superscript"/>
        </w:rPr>
        <w:footnoteRef/>
      </w:r>
      <w:r w:rsidRPr="00605389">
        <w:rPr>
          <w:lang w:val="en-US"/>
        </w:rPr>
        <w:t xml:space="preserve"> See UNEP, 2001</w:t>
      </w:r>
      <w:r w:rsidRPr="00CF592C">
        <w:rPr>
          <w:rFonts w:cs="Cambria"/>
          <w:szCs w:val="18"/>
        </w:rPr>
        <w:t>.</w:t>
      </w:r>
    </w:p>
  </w:footnote>
  <w:footnote w:id="63">
    <w:p w:rsidR="009E7C50" w:rsidRPr="00CF592C" w:rsidRDefault="009E7C50" w:rsidP="00FA3FE1">
      <w:pPr>
        <w:pStyle w:val="FootnoteText"/>
        <w:tabs>
          <w:tab w:val="clear" w:pos="1247"/>
          <w:tab w:val="left" w:pos="1134"/>
        </w:tabs>
        <w:ind w:left="1134"/>
        <w:rPr>
          <w:szCs w:val="18"/>
        </w:rPr>
      </w:pPr>
      <w:r w:rsidRPr="00CF592C">
        <w:rPr>
          <w:rStyle w:val="FootnoteReference"/>
          <w:sz w:val="18"/>
        </w:rPr>
        <w:footnoteRef/>
      </w:r>
      <w:r w:rsidRPr="005E5BFF">
        <w:rPr>
          <w:szCs w:val="18"/>
        </w:rPr>
        <w:t xml:space="preserve"> </w:t>
      </w:r>
      <w:r w:rsidRPr="00FA3FE1">
        <w:t>See</w:t>
      </w:r>
      <w:r w:rsidRPr="00CF592C">
        <w:rPr>
          <w:rFonts w:cs="Cambria"/>
          <w:szCs w:val="18"/>
        </w:rPr>
        <w:t xml:space="preserve"> </w:t>
      </w:r>
      <w:proofErr w:type="spellStart"/>
      <w:r w:rsidRPr="009B4C51">
        <w:rPr>
          <w:rFonts w:eastAsia="Calibri"/>
          <w:lang w:val="en-US"/>
        </w:rPr>
        <w:t>BiPRO</w:t>
      </w:r>
      <w:proofErr w:type="spellEnd"/>
      <w:r w:rsidRPr="009B4C51">
        <w:rPr>
          <w:rFonts w:eastAsia="Calibri"/>
          <w:lang w:val="en-US"/>
        </w:rPr>
        <w:t xml:space="preserve"> GmbH</w:t>
      </w:r>
      <w:r w:rsidRPr="00CF592C">
        <w:rPr>
          <w:rFonts w:cs="Cambria"/>
          <w:szCs w:val="18"/>
        </w:rPr>
        <w:t>, 2005.</w:t>
      </w:r>
      <w:r>
        <w:rPr>
          <w:rFonts w:cs="Cambria"/>
          <w:szCs w:val="18"/>
        </w:rPr>
        <w:t xml:space="preserve"> </w:t>
      </w:r>
    </w:p>
  </w:footnote>
  <w:footnote w:id="64">
    <w:p w:rsidR="009E7C50" w:rsidRDefault="009E7C50" w:rsidP="00FA3FE1">
      <w:pPr>
        <w:pStyle w:val="FootnoteText"/>
        <w:tabs>
          <w:tab w:val="clear" w:pos="1247"/>
          <w:tab w:val="left" w:pos="1134"/>
        </w:tabs>
        <w:ind w:left="1134"/>
        <w:rPr>
          <w:rFonts w:ascii="Arial" w:hAnsi="Arial" w:cs="Arial"/>
          <w:lang w:val="en-US" w:eastAsia="zh-CN"/>
        </w:rPr>
      </w:pPr>
      <w:r w:rsidRPr="00CF592C">
        <w:rPr>
          <w:rStyle w:val="FootnoteReference"/>
          <w:sz w:val="18"/>
        </w:rPr>
        <w:footnoteRef/>
      </w:r>
      <w:r w:rsidRPr="00CF592C">
        <w:rPr>
          <w:szCs w:val="18"/>
        </w:rPr>
        <w:t xml:space="preserve"> </w:t>
      </w:r>
      <w:r w:rsidRPr="00FA3FE1">
        <w:t>See</w:t>
      </w:r>
      <w:r w:rsidRPr="00CF592C">
        <w:rPr>
          <w:rFonts w:cs="Cambria"/>
          <w:szCs w:val="18"/>
        </w:rPr>
        <w:t xml:space="preserve"> </w:t>
      </w:r>
      <w:r w:rsidRPr="00CF592C">
        <w:rPr>
          <w:szCs w:val="18"/>
        </w:rPr>
        <w:t>European Commission, 2006.</w:t>
      </w:r>
    </w:p>
  </w:footnote>
  <w:footnote w:id="65">
    <w:p w:rsidR="009E7C50" w:rsidRPr="00CF592C" w:rsidRDefault="009E7C50" w:rsidP="00FA3FE1">
      <w:pPr>
        <w:pStyle w:val="FootnoteText"/>
        <w:tabs>
          <w:tab w:val="clear" w:pos="1247"/>
          <w:tab w:val="left" w:pos="1134"/>
        </w:tabs>
        <w:ind w:left="1134"/>
        <w:rPr>
          <w:rFonts w:ascii="Arial" w:hAnsi="Arial" w:cs="Arial"/>
          <w:szCs w:val="18"/>
          <w:lang w:val="en-US" w:eastAsia="zh-CN"/>
        </w:rPr>
      </w:pPr>
      <w:r w:rsidRPr="00CF592C">
        <w:rPr>
          <w:rStyle w:val="FootnoteReference"/>
          <w:sz w:val="18"/>
        </w:rPr>
        <w:footnoteRef/>
      </w:r>
      <w:r w:rsidRPr="00CF592C">
        <w:rPr>
          <w:szCs w:val="18"/>
        </w:rPr>
        <w:t xml:space="preserve"> </w:t>
      </w:r>
      <w:r w:rsidRPr="00FA3FE1">
        <w:t>See</w:t>
      </w:r>
      <w:r w:rsidRPr="00CF592C">
        <w:rPr>
          <w:rFonts w:cs="Cambria"/>
          <w:szCs w:val="18"/>
        </w:rPr>
        <w:t xml:space="preserve"> </w:t>
      </w:r>
      <w:r w:rsidRPr="00CF592C">
        <w:rPr>
          <w:szCs w:val="18"/>
        </w:rPr>
        <w:t>European Commission, 2006.</w:t>
      </w:r>
    </w:p>
  </w:footnote>
  <w:footnote w:id="66">
    <w:p w:rsidR="009E7C50" w:rsidRPr="009452BC" w:rsidRDefault="009E7C50" w:rsidP="00FA3FE1">
      <w:pPr>
        <w:pStyle w:val="FootnoteText"/>
        <w:tabs>
          <w:tab w:val="clear" w:pos="1247"/>
          <w:tab w:val="left" w:pos="1134"/>
        </w:tabs>
        <w:ind w:left="1134"/>
        <w:rPr>
          <w:rStyle w:val="FootnoteReference"/>
          <w:sz w:val="18"/>
          <w:lang w:val="en-US"/>
        </w:rPr>
      </w:pPr>
      <w:r w:rsidRPr="005E5BFF">
        <w:rPr>
          <w:rStyle w:val="FootnoteReference"/>
          <w:sz w:val="18"/>
        </w:rPr>
        <w:footnoteRef/>
      </w:r>
      <w:r w:rsidRPr="009452BC">
        <w:rPr>
          <w:rStyle w:val="FootnoteReference"/>
          <w:sz w:val="18"/>
          <w:lang w:val="en-US"/>
        </w:rPr>
        <w:t xml:space="preserve"> </w:t>
      </w:r>
      <w:r w:rsidRPr="00FA3FE1">
        <w:t>Additional</w:t>
      </w:r>
      <w:r w:rsidRPr="009452BC">
        <w:rPr>
          <w:rStyle w:val="FootnoteReference"/>
          <w:sz w:val="18"/>
          <w:vertAlign w:val="baseline"/>
          <w:lang w:val="en-US"/>
        </w:rPr>
        <w:t xml:space="preserve"> information is available from CMPS&amp;F – Environment Australia, 1997; Costner, </w:t>
      </w:r>
      <w:proofErr w:type="spellStart"/>
      <w:r w:rsidRPr="009452BC">
        <w:rPr>
          <w:rStyle w:val="FootnoteReference"/>
          <w:sz w:val="18"/>
          <w:vertAlign w:val="baseline"/>
          <w:lang w:val="en-US"/>
        </w:rPr>
        <w:t>Luscombe</w:t>
      </w:r>
      <w:proofErr w:type="spellEnd"/>
      <w:r w:rsidRPr="009452BC">
        <w:rPr>
          <w:rStyle w:val="FootnoteReference"/>
          <w:sz w:val="18"/>
          <w:vertAlign w:val="baseline"/>
          <w:lang w:val="en-US"/>
        </w:rPr>
        <w:t xml:space="preserve"> and Simpson, 1998; Danish Environmental Protection Agency (EPA), 2004; </w:t>
      </w:r>
      <w:proofErr w:type="spellStart"/>
      <w:r w:rsidRPr="009452BC">
        <w:rPr>
          <w:rStyle w:val="FootnoteReference"/>
          <w:sz w:val="18"/>
          <w:vertAlign w:val="baseline"/>
          <w:lang w:val="en-US"/>
        </w:rPr>
        <w:t>Rahuman</w:t>
      </w:r>
      <w:proofErr w:type="spellEnd"/>
      <w:r w:rsidRPr="009452BC">
        <w:rPr>
          <w:rStyle w:val="FootnoteReference"/>
          <w:sz w:val="18"/>
          <w:vertAlign w:val="baseline"/>
          <w:lang w:val="en-US"/>
        </w:rPr>
        <w:t xml:space="preserve">, </w:t>
      </w:r>
      <w:proofErr w:type="spellStart"/>
      <w:r w:rsidRPr="009452BC">
        <w:rPr>
          <w:rStyle w:val="FootnoteReference"/>
          <w:sz w:val="18"/>
          <w:vertAlign w:val="baseline"/>
          <w:lang w:val="en-US"/>
        </w:rPr>
        <w:t>Pistone</w:t>
      </w:r>
      <w:proofErr w:type="spellEnd"/>
      <w:r w:rsidRPr="009452BC">
        <w:rPr>
          <w:rStyle w:val="FootnoteReference"/>
          <w:sz w:val="18"/>
          <w:vertAlign w:val="baseline"/>
          <w:lang w:val="en-US"/>
        </w:rPr>
        <w:t xml:space="preserve">, </w:t>
      </w:r>
      <w:proofErr w:type="spellStart"/>
      <w:r w:rsidRPr="009452BC">
        <w:rPr>
          <w:rStyle w:val="FootnoteReference"/>
          <w:sz w:val="18"/>
          <w:vertAlign w:val="baseline"/>
          <w:lang w:val="en-US"/>
        </w:rPr>
        <w:t>Trifirò</w:t>
      </w:r>
      <w:proofErr w:type="spellEnd"/>
      <w:r w:rsidRPr="009452BC">
        <w:rPr>
          <w:rStyle w:val="FootnoteReference"/>
          <w:sz w:val="18"/>
          <w:vertAlign w:val="baseline"/>
          <w:lang w:val="en-US"/>
        </w:rPr>
        <w:t xml:space="preserve"> and </w:t>
      </w:r>
      <w:proofErr w:type="spellStart"/>
      <w:r w:rsidRPr="009452BC">
        <w:rPr>
          <w:rStyle w:val="FootnoteReference"/>
          <w:sz w:val="18"/>
          <w:vertAlign w:val="baseline"/>
          <w:lang w:val="en-US"/>
        </w:rPr>
        <w:t>Miertu</w:t>
      </w:r>
      <w:proofErr w:type="spellEnd"/>
      <w:r w:rsidRPr="009452BC">
        <w:rPr>
          <w:rStyle w:val="FootnoteReference"/>
          <w:sz w:val="18"/>
          <w:vertAlign w:val="baseline"/>
          <w:lang w:val="en-US"/>
        </w:rPr>
        <w:t>, 2000; UNEP, 1998b; UNEP, 2001; UNEP, 2004</w:t>
      </w:r>
      <w:r>
        <w:rPr>
          <w:lang w:val="en-US"/>
        </w:rPr>
        <w:t>a;</w:t>
      </w:r>
      <w:r w:rsidRPr="009452BC">
        <w:rPr>
          <w:rStyle w:val="FootnoteReference"/>
          <w:sz w:val="18"/>
          <w:vertAlign w:val="baseline"/>
          <w:lang w:val="en-US"/>
        </w:rPr>
        <w:t xml:space="preserve"> and </w:t>
      </w:r>
      <w:proofErr w:type="spellStart"/>
      <w:r w:rsidRPr="009452BC">
        <w:rPr>
          <w:rStyle w:val="FootnoteReference"/>
          <w:sz w:val="18"/>
          <w:vertAlign w:val="baseline"/>
          <w:lang w:val="en-US"/>
        </w:rPr>
        <w:t>Vijgen</w:t>
      </w:r>
      <w:proofErr w:type="spellEnd"/>
      <w:r w:rsidRPr="009452BC">
        <w:rPr>
          <w:rStyle w:val="FootnoteReference"/>
          <w:sz w:val="18"/>
          <w:vertAlign w:val="baseline"/>
          <w:lang w:val="en-US"/>
        </w:rPr>
        <w:t>, 2002.</w:t>
      </w:r>
    </w:p>
  </w:footnote>
  <w:footnote w:id="67">
    <w:p w:rsidR="009E7C50" w:rsidRPr="00B12EBC" w:rsidRDefault="009E7C50" w:rsidP="00FA3FE1">
      <w:pPr>
        <w:pStyle w:val="FootnoteText"/>
        <w:tabs>
          <w:tab w:val="clear" w:pos="1247"/>
          <w:tab w:val="left" w:pos="1134"/>
        </w:tabs>
        <w:ind w:left="1134"/>
        <w:rPr>
          <w:rStyle w:val="FootnoteReference"/>
          <w:sz w:val="18"/>
          <w:lang w:val="fr-CH"/>
        </w:rPr>
      </w:pPr>
      <w:r w:rsidRPr="00B12EBC">
        <w:rPr>
          <w:rStyle w:val="FootnoteReference"/>
          <w:lang w:val="fr-CH"/>
        </w:rPr>
        <w:t>67</w:t>
      </w:r>
      <w:r w:rsidRPr="00B12EBC">
        <w:rPr>
          <w:rStyle w:val="FootnoteReference"/>
          <w:sz w:val="18"/>
          <w:lang w:val="fr-CH"/>
        </w:rPr>
        <w:t xml:space="preserve"> </w:t>
      </w:r>
      <w:proofErr w:type="spellStart"/>
      <w:r w:rsidRPr="00B12EBC">
        <w:rPr>
          <w:lang w:val="fr-CH"/>
        </w:rPr>
        <w:t>Additional</w:t>
      </w:r>
      <w:proofErr w:type="spellEnd"/>
      <w:r w:rsidRPr="00B12EBC">
        <w:rPr>
          <w:rStyle w:val="FootnoteReference"/>
          <w:sz w:val="18"/>
          <w:vertAlign w:val="baseline"/>
          <w:lang w:val="fr-CH"/>
        </w:rPr>
        <w:t xml:space="preserve"> information </w:t>
      </w:r>
      <w:proofErr w:type="spellStart"/>
      <w:r w:rsidRPr="00B12EBC">
        <w:rPr>
          <w:rStyle w:val="FootnoteReference"/>
          <w:sz w:val="18"/>
          <w:vertAlign w:val="baseline"/>
          <w:lang w:val="fr-CH"/>
        </w:rPr>
        <w:t>is</w:t>
      </w:r>
      <w:proofErr w:type="spellEnd"/>
      <w:r w:rsidRPr="00B12EBC">
        <w:rPr>
          <w:rStyle w:val="FootnoteReference"/>
          <w:sz w:val="18"/>
          <w:vertAlign w:val="baseline"/>
          <w:lang w:val="fr-CH"/>
        </w:rPr>
        <w:t xml:space="preserve"> </w:t>
      </w:r>
      <w:proofErr w:type="spellStart"/>
      <w:r w:rsidRPr="00B12EBC">
        <w:rPr>
          <w:rStyle w:val="FootnoteReference"/>
          <w:sz w:val="18"/>
          <w:vertAlign w:val="baseline"/>
          <w:lang w:val="fr-CH"/>
        </w:rPr>
        <w:t>available</w:t>
      </w:r>
      <w:proofErr w:type="spellEnd"/>
      <w:r w:rsidRPr="00B12EBC">
        <w:rPr>
          <w:rStyle w:val="FootnoteReference"/>
          <w:sz w:val="18"/>
          <w:vertAlign w:val="baseline"/>
          <w:lang w:val="fr-CH"/>
        </w:rPr>
        <w:t xml:space="preserve"> </w:t>
      </w:r>
      <w:proofErr w:type="spellStart"/>
      <w:r w:rsidRPr="00B12EBC">
        <w:rPr>
          <w:rStyle w:val="FootnoteReference"/>
          <w:sz w:val="18"/>
          <w:vertAlign w:val="baseline"/>
          <w:lang w:val="fr-CH"/>
        </w:rPr>
        <w:t>from</w:t>
      </w:r>
      <w:proofErr w:type="spellEnd"/>
      <w:r w:rsidRPr="00B12EBC">
        <w:rPr>
          <w:rStyle w:val="FootnoteReference"/>
          <w:sz w:val="18"/>
          <w:vertAlign w:val="baseline"/>
          <w:lang w:val="fr-CH"/>
        </w:rPr>
        <w:t xml:space="preserve"> CMPS&amp;F – </w:t>
      </w:r>
      <w:proofErr w:type="spellStart"/>
      <w:r w:rsidRPr="00B12EBC">
        <w:rPr>
          <w:rStyle w:val="FootnoteReference"/>
          <w:sz w:val="18"/>
          <w:vertAlign w:val="baseline"/>
          <w:lang w:val="fr-CH"/>
        </w:rPr>
        <w:t>Environment</w:t>
      </w:r>
      <w:proofErr w:type="spellEnd"/>
      <w:r w:rsidRPr="00B12EBC">
        <w:rPr>
          <w:rStyle w:val="FootnoteReference"/>
          <w:sz w:val="18"/>
          <w:vertAlign w:val="baseline"/>
          <w:lang w:val="fr-CH"/>
        </w:rPr>
        <w:t xml:space="preserve"> </w:t>
      </w:r>
      <w:proofErr w:type="spellStart"/>
      <w:r w:rsidRPr="00B12EBC">
        <w:rPr>
          <w:rStyle w:val="FootnoteReference"/>
          <w:sz w:val="18"/>
          <w:vertAlign w:val="baseline"/>
          <w:lang w:val="fr-CH"/>
        </w:rPr>
        <w:t>Australia</w:t>
      </w:r>
      <w:proofErr w:type="spellEnd"/>
      <w:r w:rsidRPr="00B12EBC">
        <w:rPr>
          <w:rStyle w:val="FootnoteReference"/>
          <w:sz w:val="18"/>
          <w:vertAlign w:val="baseline"/>
          <w:lang w:val="fr-CH"/>
        </w:rPr>
        <w:t xml:space="preserve">, 1997; Costner et al., 1998; </w:t>
      </w:r>
      <w:proofErr w:type="spellStart"/>
      <w:r w:rsidRPr="00B12EBC">
        <w:rPr>
          <w:rStyle w:val="FootnoteReference"/>
          <w:sz w:val="18"/>
          <w:vertAlign w:val="baseline"/>
          <w:lang w:val="fr-CH"/>
        </w:rPr>
        <w:t>Danish</w:t>
      </w:r>
      <w:proofErr w:type="spellEnd"/>
      <w:r w:rsidRPr="00B12EBC">
        <w:rPr>
          <w:rStyle w:val="FootnoteReference"/>
          <w:sz w:val="18"/>
          <w:vertAlign w:val="baseline"/>
          <w:lang w:val="fr-CH"/>
        </w:rPr>
        <w:t xml:space="preserve"> </w:t>
      </w:r>
      <w:proofErr w:type="spellStart"/>
      <w:r w:rsidRPr="00B12EBC">
        <w:rPr>
          <w:rStyle w:val="FootnoteReference"/>
          <w:sz w:val="18"/>
          <w:vertAlign w:val="baseline"/>
          <w:lang w:val="fr-CH"/>
        </w:rPr>
        <w:t>Environmental</w:t>
      </w:r>
      <w:proofErr w:type="spellEnd"/>
      <w:r w:rsidRPr="00B12EBC">
        <w:rPr>
          <w:rStyle w:val="FootnoteReference"/>
          <w:sz w:val="18"/>
          <w:vertAlign w:val="baseline"/>
          <w:lang w:val="fr-CH"/>
        </w:rPr>
        <w:t xml:space="preserve"> Protection </w:t>
      </w:r>
      <w:proofErr w:type="spellStart"/>
      <w:r w:rsidRPr="00B12EBC">
        <w:rPr>
          <w:rStyle w:val="FootnoteReference"/>
          <w:sz w:val="18"/>
          <w:vertAlign w:val="baseline"/>
          <w:lang w:val="fr-CH"/>
        </w:rPr>
        <w:t>Agency</w:t>
      </w:r>
      <w:proofErr w:type="spellEnd"/>
      <w:r w:rsidRPr="00B12EBC">
        <w:rPr>
          <w:rStyle w:val="FootnoteReference"/>
          <w:sz w:val="18"/>
          <w:vertAlign w:val="baseline"/>
          <w:lang w:val="fr-CH"/>
        </w:rPr>
        <w:t xml:space="preserve">, 2004; </w:t>
      </w:r>
      <w:proofErr w:type="spellStart"/>
      <w:r w:rsidRPr="00B12EBC">
        <w:rPr>
          <w:rStyle w:val="FootnoteReference"/>
          <w:sz w:val="18"/>
          <w:vertAlign w:val="baseline"/>
          <w:lang w:val="fr-CH"/>
        </w:rPr>
        <w:t>Karstensen</w:t>
      </w:r>
      <w:proofErr w:type="spellEnd"/>
      <w:r w:rsidRPr="00B12EBC">
        <w:rPr>
          <w:rStyle w:val="FootnoteReference"/>
          <w:sz w:val="18"/>
          <w:vertAlign w:val="baseline"/>
          <w:lang w:val="fr-CH"/>
        </w:rPr>
        <w:t xml:space="preserve">, 2001; </w:t>
      </w:r>
      <w:proofErr w:type="spellStart"/>
      <w:r w:rsidRPr="00B12EBC">
        <w:rPr>
          <w:rStyle w:val="FootnoteReference"/>
          <w:sz w:val="18"/>
          <w:vertAlign w:val="baseline"/>
          <w:lang w:val="fr-CH"/>
        </w:rPr>
        <w:t>Rahuman</w:t>
      </w:r>
      <w:proofErr w:type="spellEnd"/>
      <w:r w:rsidRPr="00B12EBC">
        <w:rPr>
          <w:rStyle w:val="FootnoteReference"/>
          <w:sz w:val="18"/>
          <w:vertAlign w:val="baseline"/>
          <w:lang w:val="fr-CH"/>
        </w:rPr>
        <w:t xml:space="preserve"> et al., 2000; </w:t>
      </w:r>
      <w:proofErr w:type="spellStart"/>
      <w:r w:rsidRPr="00B12EBC">
        <w:rPr>
          <w:rStyle w:val="FootnoteReference"/>
          <w:sz w:val="18"/>
          <w:vertAlign w:val="baseline"/>
          <w:lang w:val="fr-CH"/>
        </w:rPr>
        <w:t>Stobiecki</w:t>
      </w:r>
      <w:proofErr w:type="spellEnd"/>
      <w:r w:rsidRPr="00B12EBC">
        <w:rPr>
          <w:lang w:val="fr-CH"/>
        </w:rPr>
        <w:t xml:space="preserve"> et al.</w:t>
      </w:r>
      <w:r w:rsidRPr="00B12EBC">
        <w:rPr>
          <w:rStyle w:val="FootnoteReference"/>
          <w:sz w:val="18"/>
          <w:vertAlign w:val="baseline"/>
          <w:lang w:val="fr-CH"/>
        </w:rPr>
        <w:t xml:space="preserve">, 2001 and UNEP, 1998b. In addition, information on BAT and BEP </w:t>
      </w:r>
      <w:proofErr w:type="spellStart"/>
      <w:r w:rsidRPr="00B12EBC">
        <w:rPr>
          <w:rStyle w:val="FootnoteReference"/>
          <w:sz w:val="18"/>
          <w:vertAlign w:val="baseline"/>
          <w:lang w:val="fr-CH"/>
        </w:rPr>
        <w:t>with</w:t>
      </w:r>
      <w:proofErr w:type="spellEnd"/>
      <w:r w:rsidRPr="00B12EBC">
        <w:rPr>
          <w:rStyle w:val="FootnoteReference"/>
          <w:sz w:val="18"/>
          <w:vertAlign w:val="baseline"/>
          <w:lang w:val="fr-CH"/>
        </w:rPr>
        <w:t xml:space="preserve"> respect to </w:t>
      </w:r>
      <w:proofErr w:type="spellStart"/>
      <w:r w:rsidRPr="00B12EBC">
        <w:rPr>
          <w:rStyle w:val="FootnoteReference"/>
          <w:sz w:val="18"/>
          <w:vertAlign w:val="baseline"/>
          <w:lang w:val="fr-CH"/>
        </w:rPr>
        <w:t>cement</w:t>
      </w:r>
      <w:proofErr w:type="spellEnd"/>
      <w:r w:rsidRPr="00B12EBC">
        <w:rPr>
          <w:rStyle w:val="FootnoteReference"/>
          <w:sz w:val="18"/>
          <w:vertAlign w:val="baseline"/>
          <w:lang w:val="fr-CH"/>
        </w:rPr>
        <w:t xml:space="preserve"> </w:t>
      </w:r>
      <w:proofErr w:type="spellStart"/>
      <w:r w:rsidRPr="00B12EBC">
        <w:rPr>
          <w:rStyle w:val="FootnoteReference"/>
          <w:sz w:val="18"/>
          <w:vertAlign w:val="baseline"/>
          <w:lang w:val="fr-CH"/>
        </w:rPr>
        <w:t>kilns</w:t>
      </w:r>
      <w:proofErr w:type="spellEnd"/>
      <w:r w:rsidRPr="00B12EBC">
        <w:rPr>
          <w:rStyle w:val="FootnoteReference"/>
          <w:sz w:val="18"/>
          <w:vertAlign w:val="baseline"/>
          <w:lang w:val="fr-CH"/>
        </w:rPr>
        <w:t xml:space="preserve"> </w:t>
      </w:r>
      <w:proofErr w:type="spellStart"/>
      <w:r w:rsidRPr="00B12EBC">
        <w:rPr>
          <w:rStyle w:val="FootnoteReference"/>
          <w:sz w:val="18"/>
          <w:vertAlign w:val="baseline"/>
          <w:lang w:val="fr-CH"/>
        </w:rPr>
        <w:t>firing</w:t>
      </w:r>
      <w:proofErr w:type="spellEnd"/>
      <w:r w:rsidRPr="00B12EBC">
        <w:rPr>
          <w:rStyle w:val="FootnoteReference"/>
          <w:sz w:val="18"/>
          <w:vertAlign w:val="baseline"/>
          <w:lang w:val="fr-CH"/>
        </w:rPr>
        <w:t xml:space="preserve"> </w:t>
      </w:r>
      <w:proofErr w:type="spellStart"/>
      <w:r w:rsidRPr="00B12EBC">
        <w:rPr>
          <w:rStyle w:val="FootnoteReference"/>
          <w:sz w:val="18"/>
          <w:vertAlign w:val="baseline"/>
          <w:lang w:val="fr-CH"/>
        </w:rPr>
        <w:t>hazardous</w:t>
      </w:r>
      <w:proofErr w:type="spellEnd"/>
      <w:r w:rsidRPr="00B12EBC">
        <w:rPr>
          <w:rStyle w:val="FootnoteReference"/>
          <w:sz w:val="18"/>
          <w:vertAlign w:val="baseline"/>
          <w:lang w:val="fr-CH"/>
        </w:rPr>
        <w:t xml:space="preserve"> </w:t>
      </w:r>
      <w:proofErr w:type="spellStart"/>
      <w:r w:rsidRPr="00B12EBC">
        <w:rPr>
          <w:rStyle w:val="FootnoteReference"/>
          <w:sz w:val="18"/>
          <w:vertAlign w:val="baseline"/>
          <w:lang w:val="fr-CH"/>
        </w:rPr>
        <w:t>waste</w:t>
      </w:r>
      <w:proofErr w:type="spellEnd"/>
      <w:r w:rsidRPr="00B12EBC">
        <w:rPr>
          <w:rStyle w:val="FootnoteReference"/>
          <w:sz w:val="18"/>
          <w:vertAlign w:val="baseline"/>
          <w:lang w:val="fr-CH"/>
        </w:rPr>
        <w:t xml:space="preserve"> </w:t>
      </w:r>
      <w:proofErr w:type="spellStart"/>
      <w:r w:rsidRPr="00B12EBC">
        <w:rPr>
          <w:rStyle w:val="FootnoteReference"/>
          <w:sz w:val="18"/>
          <w:vertAlign w:val="baseline"/>
          <w:lang w:val="fr-CH"/>
        </w:rPr>
        <w:t>is</w:t>
      </w:r>
      <w:proofErr w:type="spellEnd"/>
      <w:r w:rsidRPr="00B12EBC">
        <w:rPr>
          <w:rStyle w:val="FootnoteReference"/>
          <w:sz w:val="18"/>
          <w:vertAlign w:val="baseline"/>
          <w:lang w:val="fr-CH"/>
        </w:rPr>
        <w:t xml:space="preserve"> </w:t>
      </w:r>
      <w:proofErr w:type="spellStart"/>
      <w:r w:rsidRPr="00B12EBC">
        <w:rPr>
          <w:rStyle w:val="FootnoteReference"/>
          <w:sz w:val="18"/>
          <w:vertAlign w:val="baseline"/>
          <w:lang w:val="fr-CH"/>
        </w:rPr>
        <w:t>available</w:t>
      </w:r>
      <w:proofErr w:type="spellEnd"/>
      <w:r w:rsidRPr="00B12EBC">
        <w:rPr>
          <w:rStyle w:val="FootnoteReference"/>
          <w:sz w:val="18"/>
          <w:vertAlign w:val="baseline"/>
          <w:lang w:val="fr-CH"/>
        </w:rPr>
        <w:t xml:space="preserve"> </w:t>
      </w:r>
      <w:proofErr w:type="spellStart"/>
      <w:r w:rsidRPr="00B12EBC">
        <w:rPr>
          <w:rStyle w:val="FootnoteReference"/>
          <w:sz w:val="18"/>
          <w:vertAlign w:val="baseline"/>
          <w:lang w:val="fr-CH"/>
        </w:rPr>
        <w:t>from</w:t>
      </w:r>
      <w:proofErr w:type="spellEnd"/>
      <w:r w:rsidRPr="00B12EBC">
        <w:rPr>
          <w:rStyle w:val="FootnoteReference"/>
          <w:sz w:val="18"/>
          <w:vertAlign w:val="baseline"/>
          <w:lang w:val="fr-CH"/>
        </w:rPr>
        <w:t xml:space="preserve"> the </w:t>
      </w:r>
      <w:proofErr w:type="spellStart"/>
      <w:r w:rsidRPr="00B12EBC">
        <w:rPr>
          <w:rStyle w:val="FootnoteReference"/>
          <w:sz w:val="18"/>
          <w:vertAlign w:val="baseline"/>
          <w:lang w:val="fr-CH"/>
        </w:rPr>
        <w:t>European</w:t>
      </w:r>
      <w:proofErr w:type="spellEnd"/>
      <w:r w:rsidRPr="00B12EBC">
        <w:rPr>
          <w:rStyle w:val="FootnoteReference"/>
          <w:sz w:val="18"/>
          <w:vertAlign w:val="baseline"/>
          <w:lang w:val="fr-CH"/>
        </w:rPr>
        <w:t xml:space="preserve"> Commission.</w:t>
      </w:r>
    </w:p>
  </w:footnote>
  <w:footnote w:id="68">
    <w:p w:rsidR="009E7C50" w:rsidRDefault="009E7C50" w:rsidP="00FA3FE1">
      <w:pPr>
        <w:pStyle w:val="FootnoteText"/>
        <w:tabs>
          <w:tab w:val="clear" w:pos="1247"/>
          <w:tab w:val="left" w:pos="1134"/>
        </w:tabs>
        <w:ind w:left="1134"/>
        <w:rPr>
          <w:rStyle w:val="FootnoteReference"/>
          <w:sz w:val="18"/>
        </w:rPr>
      </w:pPr>
      <w:r>
        <w:rPr>
          <w:rStyle w:val="FootnoteReference"/>
        </w:rPr>
        <w:t>68</w:t>
      </w:r>
      <w:r>
        <w:t xml:space="preserve"> </w:t>
      </w:r>
      <w:r w:rsidRPr="00FA3FE1">
        <w:t>See</w:t>
      </w:r>
      <w:r w:rsidRPr="005E5BFF">
        <w:rPr>
          <w:rStyle w:val="FootnoteReference"/>
          <w:sz w:val="18"/>
          <w:vertAlign w:val="baseline"/>
        </w:rPr>
        <w:t xml:space="preserve"> CMPS&amp;F – Environment Australia, 1997 an</w:t>
      </w:r>
      <w:r w:rsidRPr="007614EF">
        <w:rPr>
          <w:rStyle w:val="FootnoteReference"/>
          <w:sz w:val="18"/>
          <w:vertAlign w:val="baseline"/>
        </w:rPr>
        <w:t>d UNEP, 2004</w:t>
      </w:r>
      <w:r>
        <w:rPr>
          <w:rStyle w:val="FootnoteReference"/>
          <w:sz w:val="18"/>
          <w:vertAlign w:val="baseline"/>
        </w:rPr>
        <w:t>b</w:t>
      </w:r>
      <w:r w:rsidRPr="007614EF">
        <w:rPr>
          <w:rStyle w:val="FootnoteReference"/>
          <w:sz w:val="18"/>
          <w:vertAlign w:val="baseline"/>
        </w:rPr>
        <w:t>.</w:t>
      </w:r>
    </w:p>
  </w:footnote>
  <w:footnote w:id="69">
    <w:p w:rsidR="009E7C50" w:rsidRDefault="009E7C50" w:rsidP="00FA3FE1">
      <w:pPr>
        <w:pStyle w:val="FootnoteText"/>
        <w:tabs>
          <w:tab w:val="clear" w:pos="1247"/>
          <w:tab w:val="left" w:pos="1134"/>
        </w:tabs>
        <w:ind w:left="1134"/>
        <w:rPr>
          <w:szCs w:val="18"/>
          <w:lang w:val="en-US"/>
        </w:rPr>
      </w:pPr>
      <w:r>
        <w:rPr>
          <w:rStyle w:val="FootnoteReference"/>
        </w:rPr>
        <w:t>69</w:t>
      </w:r>
      <w:r w:rsidRPr="005E5BFF">
        <w:rPr>
          <w:szCs w:val="18"/>
        </w:rPr>
        <w:t xml:space="preserve"> </w:t>
      </w:r>
      <w:proofErr w:type="gramStart"/>
      <w:r w:rsidRPr="00FA3FE1">
        <w:t>UNEP</w:t>
      </w:r>
      <w:r w:rsidRPr="005E5BFF">
        <w:rPr>
          <w:szCs w:val="18"/>
        </w:rPr>
        <w:t>/CHW.10/6/Add.3/Rev.1 p.22</w:t>
      </w:r>
      <w:r>
        <w:rPr>
          <w:szCs w:val="18"/>
        </w:rPr>
        <w:t xml:space="preserve"> and </w:t>
      </w:r>
      <w:proofErr w:type="spellStart"/>
      <w:r>
        <w:rPr>
          <w:szCs w:val="18"/>
        </w:rPr>
        <w:t>Karstensen</w:t>
      </w:r>
      <w:proofErr w:type="spellEnd"/>
      <w:r>
        <w:rPr>
          <w:szCs w:val="18"/>
        </w:rPr>
        <w:t xml:space="preserve"> et al, 2009.</w:t>
      </w:r>
      <w:proofErr w:type="gramEnd"/>
    </w:p>
  </w:footnote>
  <w:footnote w:id="70">
    <w:p w:rsidR="009E7C50" w:rsidRPr="009452BC" w:rsidRDefault="009E7C50" w:rsidP="00FA3FE1">
      <w:pPr>
        <w:pStyle w:val="FootnoteText"/>
        <w:tabs>
          <w:tab w:val="clear" w:pos="1247"/>
          <w:tab w:val="left" w:pos="1134"/>
        </w:tabs>
        <w:ind w:left="1134"/>
        <w:rPr>
          <w:rStyle w:val="FootnoteReference"/>
          <w:sz w:val="18"/>
          <w:lang w:val="en-US"/>
        </w:rPr>
      </w:pPr>
      <w:r>
        <w:rPr>
          <w:rStyle w:val="FootnoteReference"/>
        </w:rPr>
        <w:t>70</w:t>
      </w:r>
      <w:r w:rsidRPr="009452BC">
        <w:rPr>
          <w:rStyle w:val="FootnoteReference"/>
          <w:sz w:val="18"/>
          <w:lang w:val="en-US"/>
        </w:rPr>
        <w:t xml:space="preserve"> </w:t>
      </w:r>
      <w:r w:rsidRPr="00FA3FE1">
        <w:t>See</w:t>
      </w:r>
      <w:r w:rsidRPr="009452BC">
        <w:rPr>
          <w:rStyle w:val="FootnoteReference"/>
          <w:sz w:val="18"/>
          <w:vertAlign w:val="baseline"/>
          <w:lang w:val="en-US"/>
        </w:rPr>
        <w:t xml:space="preserve"> CMPS&amp;F – Environment Australia, 1997; </w:t>
      </w:r>
      <w:proofErr w:type="spellStart"/>
      <w:r w:rsidRPr="009452BC">
        <w:rPr>
          <w:rStyle w:val="FootnoteReference"/>
          <w:sz w:val="18"/>
          <w:vertAlign w:val="baseline"/>
          <w:lang w:val="en-US"/>
        </w:rPr>
        <w:t>Rahuman</w:t>
      </w:r>
      <w:proofErr w:type="spellEnd"/>
      <w:r w:rsidRPr="009452BC">
        <w:rPr>
          <w:rStyle w:val="FootnoteReference"/>
          <w:sz w:val="18"/>
          <w:vertAlign w:val="baseline"/>
          <w:lang w:val="en-US"/>
        </w:rPr>
        <w:t xml:space="preserve"> et al., 2000</w:t>
      </w:r>
      <w:r w:rsidRPr="009452BC">
        <w:rPr>
          <w:lang w:val="en-US"/>
        </w:rPr>
        <w:t xml:space="preserve">, </w:t>
      </w:r>
      <w:r w:rsidRPr="009452BC">
        <w:rPr>
          <w:rStyle w:val="FootnoteReference"/>
          <w:sz w:val="18"/>
          <w:vertAlign w:val="baseline"/>
          <w:lang w:val="en-US"/>
        </w:rPr>
        <w:t>UNEP, 2004</w:t>
      </w:r>
      <w:r>
        <w:rPr>
          <w:lang w:val="en-US"/>
        </w:rPr>
        <w:t>b</w:t>
      </w:r>
      <w:r w:rsidRPr="009452BC">
        <w:rPr>
          <w:lang w:val="en-US"/>
        </w:rPr>
        <w:t xml:space="preserve"> and </w:t>
      </w:r>
      <w:proofErr w:type="spellStart"/>
      <w:r w:rsidRPr="009452BC">
        <w:rPr>
          <w:lang w:val="en-US"/>
        </w:rPr>
        <w:t>Karstensen</w:t>
      </w:r>
      <w:proofErr w:type="spellEnd"/>
      <w:r w:rsidRPr="009452BC">
        <w:rPr>
          <w:lang w:val="en-US"/>
        </w:rPr>
        <w:t xml:space="preserve"> et al, 2006</w:t>
      </w:r>
      <w:r w:rsidRPr="009452BC">
        <w:rPr>
          <w:rStyle w:val="FootnoteReference"/>
          <w:sz w:val="18"/>
          <w:vertAlign w:val="baseline"/>
          <w:lang w:val="en-US"/>
        </w:rPr>
        <w:t>.</w:t>
      </w:r>
    </w:p>
  </w:footnote>
  <w:footnote w:id="71">
    <w:p w:rsidR="009E7C50" w:rsidRPr="00AE78A9" w:rsidRDefault="009E7C50" w:rsidP="00FA3FE1">
      <w:pPr>
        <w:pStyle w:val="FootnoteText"/>
        <w:tabs>
          <w:tab w:val="clear" w:pos="1247"/>
          <w:tab w:val="left" w:pos="1134"/>
        </w:tabs>
        <w:ind w:left="1134"/>
        <w:rPr>
          <w:rStyle w:val="FootnoteReference"/>
          <w:lang w:val="en-US"/>
        </w:rPr>
      </w:pPr>
      <w:r w:rsidRPr="00402927">
        <w:rPr>
          <w:rStyle w:val="FootnoteReference"/>
          <w:lang w:val="fr-CH"/>
        </w:rPr>
        <w:t>71</w:t>
      </w:r>
      <w:r w:rsidRPr="00AE705B">
        <w:rPr>
          <w:lang w:val="fr-CA"/>
        </w:rPr>
        <w:t xml:space="preserve"> </w:t>
      </w:r>
      <w:proofErr w:type="spellStart"/>
      <w:r w:rsidRPr="00AE705B">
        <w:rPr>
          <w:rStyle w:val="FootnoteReference"/>
          <w:sz w:val="18"/>
          <w:vertAlign w:val="baseline"/>
          <w:lang w:val="fr-CA"/>
        </w:rPr>
        <w:t>See</w:t>
      </w:r>
      <w:proofErr w:type="spellEnd"/>
      <w:r w:rsidRPr="00AE705B">
        <w:rPr>
          <w:rStyle w:val="FootnoteReference"/>
          <w:sz w:val="18"/>
          <w:vertAlign w:val="baseline"/>
          <w:lang w:val="fr-CA"/>
        </w:rPr>
        <w:t xml:space="preserve"> CMPS&amp;F – </w:t>
      </w:r>
      <w:proofErr w:type="spellStart"/>
      <w:r w:rsidRPr="00AE705B">
        <w:rPr>
          <w:rStyle w:val="FootnoteReference"/>
          <w:sz w:val="18"/>
          <w:vertAlign w:val="baseline"/>
          <w:lang w:val="fr-CA"/>
        </w:rPr>
        <w:t>Environment</w:t>
      </w:r>
      <w:proofErr w:type="spellEnd"/>
      <w:r w:rsidRPr="00AE705B">
        <w:rPr>
          <w:rStyle w:val="FootnoteReference"/>
          <w:sz w:val="18"/>
          <w:vertAlign w:val="baseline"/>
          <w:lang w:val="fr-CA"/>
        </w:rPr>
        <w:t xml:space="preserve"> </w:t>
      </w:r>
      <w:proofErr w:type="spellStart"/>
      <w:r w:rsidRPr="00AE705B">
        <w:rPr>
          <w:rStyle w:val="FootnoteReference"/>
          <w:sz w:val="18"/>
          <w:vertAlign w:val="baseline"/>
          <w:lang w:val="fr-CA"/>
        </w:rPr>
        <w:t>Australia</w:t>
      </w:r>
      <w:proofErr w:type="spellEnd"/>
      <w:r w:rsidRPr="00AE705B">
        <w:rPr>
          <w:rStyle w:val="FootnoteReference"/>
          <w:sz w:val="18"/>
          <w:vertAlign w:val="baseline"/>
          <w:lang w:val="fr-CA"/>
        </w:rPr>
        <w:t xml:space="preserve">, 1997; </w:t>
      </w:r>
      <w:proofErr w:type="spellStart"/>
      <w:r w:rsidRPr="00AE705B">
        <w:rPr>
          <w:rStyle w:val="FootnoteReference"/>
          <w:sz w:val="18"/>
          <w:vertAlign w:val="baseline"/>
          <w:lang w:val="fr-CA"/>
        </w:rPr>
        <w:t>Karstensen</w:t>
      </w:r>
      <w:proofErr w:type="spellEnd"/>
      <w:r w:rsidRPr="00AE705B">
        <w:rPr>
          <w:lang w:val="fr-CA"/>
        </w:rPr>
        <w:t xml:space="preserve"> </w:t>
      </w:r>
      <w:proofErr w:type="gramStart"/>
      <w:r w:rsidRPr="00AE705B">
        <w:rPr>
          <w:lang w:val="fr-CA"/>
        </w:rPr>
        <w:t>et</w:t>
      </w:r>
      <w:proofErr w:type="gramEnd"/>
      <w:r w:rsidRPr="00AE705B">
        <w:rPr>
          <w:lang w:val="fr-CA"/>
        </w:rPr>
        <w:t xml:space="preserve"> al.</w:t>
      </w:r>
      <w:r w:rsidRPr="00AE705B">
        <w:rPr>
          <w:rStyle w:val="FootnoteReference"/>
          <w:sz w:val="18"/>
          <w:vertAlign w:val="baseline"/>
          <w:lang w:val="fr-CA"/>
        </w:rPr>
        <w:t>, 200</w:t>
      </w:r>
      <w:r w:rsidRPr="00AE78A9">
        <w:rPr>
          <w:szCs w:val="18"/>
          <w:lang w:val="en-US"/>
        </w:rPr>
        <w:t>6</w:t>
      </w:r>
      <w:r w:rsidRPr="00AE78A9">
        <w:rPr>
          <w:rStyle w:val="FootnoteReference"/>
          <w:sz w:val="18"/>
          <w:vertAlign w:val="baseline"/>
          <w:lang w:val="en-US"/>
        </w:rPr>
        <w:t xml:space="preserve"> and UNEP, 2004</w:t>
      </w:r>
      <w:r>
        <w:rPr>
          <w:rStyle w:val="FootnoteReference"/>
          <w:sz w:val="18"/>
          <w:vertAlign w:val="baseline"/>
          <w:lang w:val="en-US"/>
        </w:rPr>
        <w:t>b</w:t>
      </w:r>
      <w:r w:rsidRPr="00AE78A9">
        <w:rPr>
          <w:rStyle w:val="FootnoteReference"/>
          <w:sz w:val="18"/>
          <w:vertAlign w:val="baseline"/>
          <w:lang w:val="en-US"/>
        </w:rPr>
        <w:t>.</w:t>
      </w:r>
    </w:p>
  </w:footnote>
  <w:footnote w:id="72">
    <w:p w:rsidR="009E7C50" w:rsidRDefault="009E7C50" w:rsidP="00FA3FE1">
      <w:pPr>
        <w:pStyle w:val="FootnoteText"/>
        <w:tabs>
          <w:tab w:val="clear" w:pos="1247"/>
          <w:tab w:val="left" w:pos="1134"/>
        </w:tabs>
        <w:ind w:left="1134"/>
        <w:rPr>
          <w:rStyle w:val="FootnoteReference"/>
          <w:sz w:val="18"/>
        </w:rPr>
      </w:pPr>
      <w:r>
        <w:rPr>
          <w:rStyle w:val="FootnoteReference"/>
        </w:rPr>
        <w:t>72</w:t>
      </w:r>
      <w:r w:rsidRPr="005E5BFF">
        <w:rPr>
          <w:rStyle w:val="FootnoteReference"/>
          <w:sz w:val="18"/>
        </w:rPr>
        <w:t xml:space="preserve"> </w:t>
      </w:r>
      <w:r w:rsidRPr="00FA3FE1">
        <w:t>Additional</w:t>
      </w:r>
      <w:r w:rsidRPr="005E5BFF">
        <w:rPr>
          <w:rStyle w:val="FootnoteReference"/>
          <w:sz w:val="18"/>
          <w:vertAlign w:val="baseline"/>
        </w:rPr>
        <w:t xml:space="preserve"> information is available from CMPS&amp;F – Environment Australia, 1997; Costner et al., 1998; Danish Environmental Protection Agency, 2004; </w:t>
      </w:r>
      <w:proofErr w:type="spellStart"/>
      <w:r w:rsidRPr="005E5BFF">
        <w:rPr>
          <w:rStyle w:val="FootnoteReference"/>
          <w:sz w:val="18"/>
          <w:vertAlign w:val="baseline"/>
        </w:rPr>
        <w:t>Kümmling</w:t>
      </w:r>
      <w:proofErr w:type="spellEnd"/>
      <w:r>
        <w:rPr>
          <w:rStyle w:val="FootnoteReference"/>
          <w:sz w:val="18"/>
          <w:vertAlign w:val="baseline"/>
        </w:rPr>
        <w:t xml:space="preserve"> et al</w:t>
      </w:r>
      <w:r w:rsidRPr="005E5BFF">
        <w:rPr>
          <w:rStyle w:val="FootnoteReference"/>
          <w:sz w:val="18"/>
          <w:vertAlign w:val="baseline"/>
        </w:rPr>
        <w:t xml:space="preserve">, 2001; </w:t>
      </w:r>
      <w:proofErr w:type="spellStart"/>
      <w:r w:rsidRPr="005E5BFF">
        <w:rPr>
          <w:rStyle w:val="FootnoteReference"/>
          <w:sz w:val="18"/>
          <w:vertAlign w:val="baseline"/>
        </w:rPr>
        <w:t>Rahuman</w:t>
      </w:r>
      <w:proofErr w:type="spellEnd"/>
      <w:r w:rsidRPr="005E5BFF">
        <w:rPr>
          <w:rStyle w:val="FootnoteReference"/>
          <w:sz w:val="18"/>
          <w:vertAlign w:val="baseline"/>
        </w:rPr>
        <w:t xml:space="preserve"> et al., 2000; Ray, 2001; UNEP, 2001; UNEP, 2004</w:t>
      </w:r>
      <w:r>
        <w:rPr>
          <w:rStyle w:val="FootnoteReference"/>
          <w:sz w:val="18"/>
          <w:vertAlign w:val="baseline"/>
        </w:rPr>
        <w:t>a</w:t>
      </w:r>
      <w:r w:rsidRPr="005E5BFF">
        <w:rPr>
          <w:rStyle w:val="FootnoteReference"/>
          <w:sz w:val="18"/>
          <w:vertAlign w:val="baseline"/>
        </w:rPr>
        <w:t xml:space="preserve">; and </w:t>
      </w:r>
      <w:proofErr w:type="spellStart"/>
      <w:r w:rsidRPr="005E5BFF">
        <w:rPr>
          <w:rStyle w:val="FootnoteReference"/>
          <w:sz w:val="18"/>
          <w:vertAlign w:val="baseline"/>
        </w:rPr>
        <w:t>Vijgen</w:t>
      </w:r>
      <w:proofErr w:type="spellEnd"/>
      <w:r w:rsidRPr="005E5BFF">
        <w:rPr>
          <w:rStyle w:val="FootnoteReference"/>
          <w:sz w:val="18"/>
          <w:vertAlign w:val="baseline"/>
        </w:rPr>
        <w:t>, 2002.</w:t>
      </w:r>
      <w:r w:rsidRPr="005E5BFF">
        <w:rPr>
          <w:rStyle w:val="FootnoteReference"/>
          <w:sz w:val="18"/>
        </w:rPr>
        <w:t xml:space="preserve"> </w:t>
      </w:r>
    </w:p>
  </w:footnote>
  <w:footnote w:id="73">
    <w:p w:rsidR="009E7C50" w:rsidRPr="00AE705B" w:rsidRDefault="009E7C50" w:rsidP="00FA3FE1">
      <w:pPr>
        <w:pStyle w:val="FootnoteText"/>
        <w:tabs>
          <w:tab w:val="clear" w:pos="1247"/>
          <w:tab w:val="left" w:pos="1134"/>
        </w:tabs>
        <w:ind w:left="1134"/>
        <w:rPr>
          <w:rStyle w:val="FootnoteReference"/>
          <w:sz w:val="18"/>
          <w:lang w:val="fr-CA"/>
        </w:rPr>
      </w:pPr>
      <w:r w:rsidRPr="00402927">
        <w:rPr>
          <w:rStyle w:val="FootnoteReference"/>
          <w:lang w:val="fr-CH"/>
        </w:rPr>
        <w:t>73</w:t>
      </w:r>
      <w:r w:rsidRPr="00AE705B">
        <w:rPr>
          <w:lang w:val="fr-CA"/>
        </w:rPr>
        <w:t xml:space="preserve"> </w:t>
      </w:r>
      <w:proofErr w:type="spellStart"/>
      <w:r w:rsidRPr="00AE705B">
        <w:rPr>
          <w:rStyle w:val="FootnoteReference"/>
          <w:sz w:val="18"/>
          <w:vertAlign w:val="baseline"/>
          <w:lang w:val="fr-CA"/>
        </w:rPr>
        <w:t>See</w:t>
      </w:r>
      <w:proofErr w:type="spellEnd"/>
      <w:r w:rsidRPr="00AE705B">
        <w:rPr>
          <w:rStyle w:val="FootnoteReference"/>
          <w:sz w:val="18"/>
          <w:vertAlign w:val="baseline"/>
          <w:lang w:val="fr-CA"/>
        </w:rPr>
        <w:t xml:space="preserve"> CMPS&amp;F – </w:t>
      </w:r>
      <w:proofErr w:type="spellStart"/>
      <w:r w:rsidRPr="00AE705B">
        <w:rPr>
          <w:rStyle w:val="FootnoteReference"/>
          <w:sz w:val="18"/>
          <w:vertAlign w:val="baseline"/>
          <w:lang w:val="fr-CA"/>
        </w:rPr>
        <w:t>Environment</w:t>
      </w:r>
      <w:proofErr w:type="spellEnd"/>
      <w:r w:rsidRPr="00AE705B">
        <w:rPr>
          <w:rStyle w:val="FootnoteReference"/>
          <w:sz w:val="18"/>
          <w:vertAlign w:val="baseline"/>
          <w:lang w:val="fr-CA"/>
        </w:rPr>
        <w:t xml:space="preserve"> </w:t>
      </w:r>
      <w:proofErr w:type="spellStart"/>
      <w:r w:rsidRPr="00AE705B">
        <w:rPr>
          <w:rStyle w:val="FootnoteReference"/>
          <w:sz w:val="18"/>
          <w:vertAlign w:val="baseline"/>
          <w:lang w:val="fr-CA"/>
        </w:rPr>
        <w:t>Australia</w:t>
      </w:r>
      <w:proofErr w:type="spellEnd"/>
      <w:r w:rsidRPr="00AE705B">
        <w:rPr>
          <w:rStyle w:val="FootnoteReference"/>
          <w:sz w:val="18"/>
          <w:vertAlign w:val="baseline"/>
          <w:lang w:val="fr-CA"/>
        </w:rPr>
        <w:t xml:space="preserve">, 1997; </w:t>
      </w:r>
      <w:proofErr w:type="spellStart"/>
      <w:r w:rsidRPr="00AE705B">
        <w:rPr>
          <w:rStyle w:val="FootnoteReference"/>
          <w:sz w:val="18"/>
          <w:vertAlign w:val="baseline"/>
          <w:lang w:val="fr-CA"/>
        </w:rPr>
        <w:t>Kümmling</w:t>
      </w:r>
      <w:proofErr w:type="spellEnd"/>
      <w:r w:rsidRPr="00AE705B">
        <w:rPr>
          <w:lang w:val="fr-CA"/>
        </w:rPr>
        <w:t xml:space="preserve"> </w:t>
      </w:r>
      <w:proofErr w:type="gramStart"/>
      <w:r w:rsidRPr="00AE705B">
        <w:rPr>
          <w:lang w:val="fr-CA"/>
        </w:rPr>
        <w:t>et</w:t>
      </w:r>
      <w:proofErr w:type="gramEnd"/>
      <w:r w:rsidRPr="00AE705B">
        <w:rPr>
          <w:lang w:val="fr-CA"/>
        </w:rPr>
        <w:t xml:space="preserve"> al.</w:t>
      </w:r>
      <w:r w:rsidRPr="00AE705B">
        <w:rPr>
          <w:rStyle w:val="FootnoteReference"/>
          <w:sz w:val="18"/>
          <w:vertAlign w:val="baseline"/>
          <w:lang w:val="fr-CA"/>
        </w:rPr>
        <w:t xml:space="preserve">, 2001; </w:t>
      </w:r>
      <w:proofErr w:type="spellStart"/>
      <w:r w:rsidRPr="00AE705B">
        <w:rPr>
          <w:rStyle w:val="FootnoteReference"/>
          <w:sz w:val="18"/>
          <w:vertAlign w:val="baseline"/>
          <w:lang w:val="fr-CA"/>
        </w:rPr>
        <w:t>Rahuman</w:t>
      </w:r>
      <w:proofErr w:type="spellEnd"/>
      <w:r w:rsidRPr="00AE705B">
        <w:rPr>
          <w:rStyle w:val="FootnoteReference"/>
          <w:sz w:val="18"/>
          <w:vertAlign w:val="baseline"/>
          <w:lang w:val="fr-CA"/>
        </w:rPr>
        <w:t xml:space="preserve"> et al., 2000; UNEP, 2004</w:t>
      </w:r>
      <w:r>
        <w:rPr>
          <w:rStyle w:val="FootnoteReference"/>
          <w:sz w:val="18"/>
          <w:vertAlign w:val="baseline"/>
          <w:lang w:val="fr-CA"/>
        </w:rPr>
        <w:t>a</w:t>
      </w:r>
      <w:r w:rsidRPr="00AE705B">
        <w:rPr>
          <w:rStyle w:val="FootnoteReference"/>
          <w:sz w:val="18"/>
          <w:vertAlign w:val="baseline"/>
          <w:lang w:val="fr-CA"/>
        </w:rPr>
        <w:t xml:space="preserve"> and </w:t>
      </w:r>
      <w:proofErr w:type="spellStart"/>
      <w:r w:rsidRPr="00AE705B">
        <w:rPr>
          <w:rStyle w:val="FootnoteReference"/>
          <w:sz w:val="18"/>
          <w:vertAlign w:val="baseline"/>
          <w:lang w:val="fr-CA"/>
        </w:rPr>
        <w:t>Vijgen</w:t>
      </w:r>
      <w:proofErr w:type="spellEnd"/>
      <w:r w:rsidRPr="00AE705B">
        <w:rPr>
          <w:rStyle w:val="FootnoteReference"/>
          <w:sz w:val="18"/>
          <w:vertAlign w:val="baseline"/>
          <w:lang w:val="fr-CA"/>
        </w:rPr>
        <w:t>, 2002.</w:t>
      </w:r>
    </w:p>
  </w:footnote>
  <w:footnote w:id="74">
    <w:p w:rsidR="009E7C50" w:rsidRDefault="009E7C50" w:rsidP="00FA3FE1">
      <w:pPr>
        <w:pStyle w:val="FootnoteText"/>
        <w:tabs>
          <w:tab w:val="clear" w:pos="1247"/>
          <w:tab w:val="left" w:pos="1134"/>
        </w:tabs>
        <w:ind w:left="1134"/>
        <w:rPr>
          <w:rStyle w:val="FootnoteReference"/>
          <w:sz w:val="18"/>
        </w:rPr>
      </w:pPr>
      <w:r>
        <w:rPr>
          <w:rStyle w:val="FootnoteReference"/>
        </w:rPr>
        <w:t>74</w:t>
      </w:r>
      <w:r w:rsidRPr="005E5BFF">
        <w:rPr>
          <w:rStyle w:val="FootnoteReference"/>
          <w:sz w:val="18"/>
        </w:rPr>
        <w:t xml:space="preserve"> </w:t>
      </w:r>
      <w:r w:rsidRPr="005E5BFF">
        <w:rPr>
          <w:rStyle w:val="FootnoteReference"/>
          <w:sz w:val="18"/>
          <w:vertAlign w:val="baseline"/>
        </w:rPr>
        <w:t>See CMPS&amp;F – Environment Australia, 1997; UNEP, 2004</w:t>
      </w:r>
      <w:r>
        <w:t>a</w:t>
      </w:r>
      <w:r w:rsidRPr="005E5BFF">
        <w:rPr>
          <w:rStyle w:val="FootnoteReference"/>
          <w:sz w:val="18"/>
          <w:vertAlign w:val="baseline"/>
        </w:rPr>
        <w:t xml:space="preserve"> and </w:t>
      </w:r>
      <w:proofErr w:type="spellStart"/>
      <w:r w:rsidRPr="005E5BFF">
        <w:rPr>
          <w:rStyle w:val="FootnoteReference"/>
          <w:sz w:val="18"/>
          <w:vertAlign w:val="baseline"/>
        </w:rPr>
        <w:t>Vijgen</w:t>
      </w:r>
      <w:proofErr w:type="spellEnd"/>
      <w:r w:rsidRPr="005E5BFF">
        <w:rPr>
          <w:rStyle w:val="FootnoteReference"/>
          <w:sz w:val="18"/>
          <w:vertAlign w:val="baseline"/>
        </w:rPr>
        <w:t>, 2002.</w:t>
      </w:r>
    </w:p>
  </w:footnote>
  <w:footnote w:id="75">
    <w:p w:rsidR="009E7C50" w:rsidRDefault="009E7C50" w:rsidP="00A12DEA">
      <w:pPr>
        <w:pStyle w:val="FootnoteText"/>
        <w:tabs>
          <w:tab w:val="clear" w:pos="1247"/>
          <w:tab w:val="left" w:pos="1134"/>
        </w:tabs>
        <w:ind w:left="1134"/>
        <w:rPr>
          <w:rStyle w:val="FootnoteReference"/>
          <w:sz w:val="18"/>
        </w:rPr>
      </w:pPr>
      <w:r>
        <w:rPr>
          <w:rStyle w:val="FootnoteReference"/>
        </w:rPr>
        <w:t>75</w:t>
      </w:r>
      <w:r>
        <w:t xml:space="preserve"> </w:t>
      </w:r>
      <w:r>
        <w:rPr>
          <w:rStyle w:val="FootnoteReference"/>
          <w:i/>
          <w:sz w:val="18"/>
          <w:vertAlign w:val="baseline"/>
        </w:rPr>
        <w:t xml:space="preserve">Ibid. </w:t>
      </w:r>
    </w:p>
  </w:footnote>
  <w:footnote w:id="76">
    <w:p w:rsidR="009E7C50" w:rsidRDefault="009E7C50" w:rsidP="00FA3FE1">
      <w:pPr>
        <w:pStyle w:val="FootnoteText"/>
        <w:tabs>
          <w:tab w:val="clear" w:pos="1247"/>
          <w:tab w:val="left" w:pos="1134"/>
        </w:tabs>
        <w:ind w:left="1134"/>
        <w:rPr>
          <w:rStyle w:val="FootnoteReference"/>
          <w:sz w:val="18"/>
        </w:rPr>
      </w:pPr>
      <w:r>
        <w:rPr>
          <w:rStyle w:val="FootnoteReference"/>
        </w:rPr>
        <w:t>76</w:t>
      </w:r>
      <w:r w:rsidRPr="005E5BFF">
        <w:rPr>
          <w:rStyle w:val="FootnoteReference"/>
          <w:sz w:val="18"/>
        </w:rPr>
        <w:t xml:space="preserve"> </w:t>
      </w:r>
      <w:r w:rsidRPr="00FA3FE1">
        <w:t>See</w:t>
      </w:r>
      <w:r w:rsidRPr="005E5BFF">
        <w:rPr>
          <w:rStyle w:val="FootnoteReference"/>
          <w:sz w:val="18"/>
          <w:vertAlign w:val="baseline"/>
        </w:rPr>
        <w:t xml:space="preserve"> CMPS&amp;F – Environment Australia, 1997; </w:t>
      </w:r>
      <w:proofErr w:type="spellStart"/>
      <w:r w:rsidRPr="005E5BFF">
        <w:rPr>
          <w:rStyle w:val="FootnoteReference"/>
          <w:sz w:val="18"/>
          <w:vertAlign w:val="baseline"/>
        </w:rPr>
        <w:t>Kümmling</w:t>
      </w:r>
      <w:proofErr w:type="spellEnd"/>
      <w:r w:rsidRPr="005E5BFF">
        <w:rPr>
          <w:rStyle w:val="FootnoteReference"/>
          <w:sz w:val="18"/>
          <w:vertAlign w:val="baseline"/>
        </w:rPr>
        <w:t xml:space="preserve"> et al., 2001; UNEP, 2001; UNEP, 2004</w:t>
      </w:r>
      <w:r>
        <w:rPr>
          <w:rStyle w:val="FootnoteReference"/>
          <w:sz w:val="18"/>
          <w:vertAlign w:val="baseline"/>
        </w:rPr>
        <w:t>a</w:t>
      </w:r>
      <w:r w:rsidRPr="005E5BFF">
        <w:rPr>
          <w:rStyle w:val="FootnoteReference"/>
          <w:sz w:val="18"/>
          <w:vertAlign w:val="baseline"/>
        </w:rPr>
        <w:t>.</w:t>
      </w:r>
    </w:p>
  </w:footnote>
  <w:footnote w:id="77">
    <w:p w:rsidR="009E7C50" w:rsidRDefault="009E7C50" w:rsidP="00FA3FE1">
      <w:pPr>
        <w:pStyle w:val="FootnoteText"/>
        <w:tabs>
          <w:tab w:val="clear" w:pos="1247"/>
          <w:tab w:val="left" w:pos="1134"/>
        </w:tabs>
        <w:ind w:left="1134"/>
        <w:rPr>
          <w:rStyle w:val="FootnoteReference"/>
          <w:sz w:val="18"/>
        </w:rPr>
      </w:pPr>
      <w:r>
        <w:rPr>
          <w:rStyle w:val="FootnoteReference"/>
        </w:rPr>
        <w:t>77</w:t>
      </w:r>
      <w:r w:rsidRPr="005E5BFF">
        <w:rPr>
          <w:rStyle w:val="FootnoteReference"/>
          <w:sz w:val="18"/>
        </w:rPr>
        <w:t xml:space="preserve"> </w:t>
      </w:r>
      <w:r w:rsidRPr="00FA3FE1">
        <w:t>See</w:t>
      </w:r>
      <w:r w:rsidRPr="005E5BFF">
        <w:rPr>
          <w:rStyle w:val="FootnoteReference"/>
          <w:sz w:val="18"/>
          <w:vertAlign w:val="baseline"/>
        </w:rPr>
        <w:t xml:space="preserve"> CMPS&amp;F – Environment Australia, 1997.</w:t>
      </w:r>
    </w:p>
  </w:footnote>
  <w:footnote w:id="78">
    <w:p w:rsidR="009E7C50" w:rsidRDefault="009E7C50" w:rsidP="00FA3FE1">
      <w:pPr>
        <w:pStyle w:val="FootnoteText"/>
        <w:tabs>
          <w:tab w:val="clear" w:pos="1247"/>
          <w:tab w:val="left" w:pos="1134"/>
        </w:tabs>
        <w:ind w:left="1134"/>
        <w:rPr>
          <w:rStyle w:val="FootnoteReference"/>
          <w:sz w:val="18"/>
        </w:rPr>
      </w:pPr>
      <w:r>
        <w:rPr>
          <w:rStyle w:val="FootnoteReference"/>
        </w:rPr>
        <w:t>78</w:t>
      </w:r>
      <w:r>
        <w:t xml:space="preserve"> </w:t>
      </w:r>
      <w:r w:rsidRPr="00FA3FE1">
        <w:t>See</w:t>
      </w:r>
      <w:r w:rsidRPr="005E5BFF">
        <w:rPr>
          <w:rStyle w:val="FootnoteReference"/>
          <w:sz w:val="18"/>
          <w:vertAlign w:val="baseline"/>
        </w:rPr>
        <w:t xml:space="preserve"> UNEP, 2004</w:t>
      </w:r>
      <w:r>
        <w:rPr>
          <w:rStyle w:val="FootnoteReference"/>
          <w:sz w:val="18"/>
          <w:vertAlign w:val="baseline"/>
        </w:rPr>
        <w:t>a</w:t>
      </w:r>
      <w:r w:rsidRPr="005E5BFF">
        <w:rPr>
          <w:rStyle w:val="FootnoteReference"/>
          <w:sz w:val="18"/>
          <w:vertAlign w:val="baseline"/>
        </w:rPr>
        <w:t xml:space="preserve"> and </w:t>
      </w:r>
      <w:proofErr w:type="spellStart"/>
      <w:r w:rsidRPr="005E5BFF">
        <w:rPr>
          <w:rStyle w:val="FootnoteReference"/>
          <w:sz w:val="18"/>
          <w:vertAlign w:val="baseline"/>
        </w:rPr>
        <w:t>Vijgen</w:t>
      </w:r>
      <w:proofErr w:type="spellEnd"/>
      <w:r w:rsidRPr="005E5BFF">
        <w:rPr>
          <w:rStyle w:val="FootnoteReference"/>
          <w:sz w:val="18"/>
          <w:vertAlign w:val="baseline"/>
        </w:rPr>
        <w:t>, 2002.</w:t>
      </w:r>
    </w:p>
  </w:footnote>
  <w:footnote w:id="79">
    <w:p w:rsidR="009E7C50" w:rsidRDefault="009E7C50" w:rsidP="00FA3FE1">
      <w:pPr>
        <w:pStyle w:val="FootnoteText"/>
        <w:tabs>
          <w:tab w:val="clear" w:pos="1247"/>
          <w:tab w:val="left" w:pos="1134"/>
        </w:tabs>
        <w:ind w:left="1134"/>
        <w:rPr>
          <w:rStyle w:val="FootnoteReference"/>
          <w:sz w:val="18"/>
        </w:rPr>
      </w:pPr>
      <w:r>
        <w:rPr>
          <w:rStyle w:val="FootnoteReference"/>
        </w:rPr>
        <w:t>79</w:t>
      </w:r>
      <w:r>
        <w:t xml:space="preserve"> </w:t>
      </w:r>
      <w:r w:rsidRPr="00FA3FE1">
        <w:t>See</w:t>
      </w:r>
      <w:r w:rsidRPr="005E5BFF">
        <w:rPr>
          <w:rStyle w:val="FootnoteReference"/>
          <w:sz w:val="18"/>
          <w:vertAlign w:val="baseline"/>
        </w:rPr>
        <w:t xml:space="preserve"> CMPS&amp;F – Environment Australia, 1997</w:t>
      </w:r>
      <w:r>
        <w:rPr>
          <w:rStyle w:val="FootnoteReference"/>
          <w:sz w:val="18"/>
          <w:vertAlign w:val="baseline"/>
        </w:rPr>
        <w:t>;</w:t>
      </w:r>
      <w:r w:rsidRPr="005E5BFF">
        <w:rPr>
          <w:rStyle w:val="FootnoteReference"/>
          <w:sz w:val="18"/>
          <w:vertAlign w:val="baseline"/>
        </w:rPr>
        <w:t xml:space="preserve"> and </w:t>
      </w:r>
      <w:proofErr w:type="spellStart"/>
      <w:r w:rsidRPr="005E5BFF">
        <w:rPr>
          <w:rStyle w:val="FootnoteReference"/>
          <w:sz w:val="18"/>
          <w:vertAlign w:val="baseline"/>
        </w:rPr>
        <w:t>Rahuman</w:t>
      </w:r>
      <w:proofErr w:type="spellEnd"/>
      <w:r w:rsidRPr="005E5BFF">
        <w:rPr>
          <w:rStyle w:val="FootnoteReference"/>
          <w:sz w:val="18"/>
          <w:vertAlign w:val="baseline"/>
        </w:rPr>
        <w:t xml:space="preserve"> et al., 2000.</w:t>
      </w:r>
    </w:p>
  </w:footnote>
  <w:footnote w:id="80">
    <w:p w:rsidR="009E7C50" w:rsidRDefault="009E7C50" w:rsidP="00FA3FE1">
      <w:pPr>
        <w:pStyle w:val="FootnoteText"/>
        <w:tabs>
          <w:tab w:val="clear" w:pos="1247"/>
          <w:tab w:val="left" w:pos="1134"/>
        </w:tabs>
        <w:ind w:left="1134"/>
        <w:rPr>
          <w:rStyle w:val="FootnoteReference"/>
          <w:sz w:val="18"/>
        </w:rPr>
      </w:pPr>
      <w:r>
        <w:rPr>
          <w:rStyle w:val="FootnoteReference"/>
        </w:rPr>
        <w:t>80</w:t>
      </w:r>
      <w:r w:rsidRPr="005E5BFF">
        <w:rPr>
          <w:rStyle w:val="FootnoteReference"/>
          <w:sz w:val="18"/>
        </w:rPr>
        <w:t xml:space="preserve"> </w:t>
      </w:r>
      <w:r w:rsidRPr="00FA3FE1">
        <w:t>See</w:t>
      </w:r>
      <w:r w:rsidRPr="005E5BFF">
        <w:rPr>
          <w:rStyle w:val="FootnoteReference"/>
          <w:sz w:val="18"/>
          <w:vertAlign w:val="baseline"/>
        </w:rPr>
        <w:t xml:space="preserve"> </w:t>
      </w:r>
      <w:proofErr w:type="spellStart"/>
      <w:r w:rsidRPr="005E5BFF">
        <w:rPr>
          <w:rStyle w:val="FootnoteReference"/>
          <w:sz w:val="18"/>
          <w:vertAlign w:val="baseline"/>
        </w:rPr>
        <w:t>Kümmling</w:t>
      </w:r>
      <w:proofErr w:type="spellEnd"/>
      <w:r w:rsidRPr="005E5BFF">
        <w:rPr>
          <w:rStyle w:val="FootnoteReference"/>
          <w:sz w:val="18"/>
          <w:vertAlign w:val="baseline"/>
        </w:rPr>
        <w:t xml:space="preserve"> et al., 2001; CMPS&amp;F – Environment Australia, 1997</w:t>
      </w:r>
      <w:r>
        <w:rPr>
          <w:rStyle w:val="FootnoteReference"/>
          <w:sz w:val="18"/>
          <w:vertAlign w:val="baseline"/>
        </w:rPr>
        <w:t>;</w:t>
      </w:r>
      <w:r w:rsidRPr="005E5BFF">
        <w:rPr>
          <w:rStyle w:val="FootnoteReference"/>
          <w:sz w:val="18"/>
          <w:vertAlign w:val="baseline"/>
        </w:rPr>
        <w:t xml:space="preserve"> and </w:t>
      </w:r>
      <w:proofErr w:type="spellStart"/>
      <w:r w:rsidRPr="005E5BFF">
        <w:rPr>
          <w:rStyle w:val="FootnoteReference"/>
          <w:sz w:val="18"/>
          <w:vertAlign w:val="baseline"/>
        </w:rPr>
        <w:t>Rahuman</w:t>
      </w:r>
      <w:proofErr w:type="spellEnd"/>
      <w:r w:rsidRPr="005E5BFF">
        <w:rPr>
          <w:rStyle w:val="FootnoteReference"/>
          <w:sz w:val="18"/>
          <w:vertAlign w:val="baseline"/>
        </w:rPr>
        <w:t xml:space="preserve"> et al., 2000.</w:t>
      </w:r>
    </w:p>
  </w:footnote>
  <w:footnote w:id="81">
    <w:p w:rsidR="009E7C50" w:rsidRDefault="009E7C50" w:rsidP="00FA3FE1">
      <w:pPr>
        <w:pStyle w:val="FootnoteText"/>
        <w:tabs>
          <w:tab w:val="clear" w:pos="1247"/>
          <w:tab w:val="left" w:pos="1134"/>
        </w:tabs>
        <w:ind w:left="1134"/>
        <w:rPr>
          <w:rStyle w:val="FootnoteReference"/>
          <w:sz w:val="18"/>
        </w:rPr>
      </w:pPr>
      <w:r>
        <w:rPr>
          <w:rStyle w:val="FootnoteReference"/>
        </w:rPr>
        <w:t>81</w:t>
      </w:r>
      <w:r w:rsidRPr="005E5BFF">
        <w:rPr>
          <w:rStyle w:val="FootnoteReference"/>
          <w:sz w:val="18"/>
        </w:rPr>
        <w:t xml:space="preserve"> </w:t>
      </w:r>
      <w:r w:rsidRPr="00FA3FE1">
        <w:t>See</w:t>
      </w:r>
      <w:r w:rsidRPr="005E5BFF">
        <w:rPr>
          <w:rStyle w:val="FootnoteReference"/>
          <w:sz w:val="18"/>
          <w:vertAlign w:val="baseline"/>
        </w:rPr>
        <w:t xml:space="preserve"> </w:t>
      </w:r>
      <w:proofErr w:type="spellStart"/>
      <w:r w:rsidRPr="005E5BFF">
        <w:rPr>
          <w:rStyle w:val="FootnoteReference"/>
          <w:sz w:val="18"/>
          <w:vertAlign w:val="baseline"/>
        </w:rPr>
        <w:t>Rahuman</w:t>
      </w:r>
      <w:proofErr w:type="spellEnd"/>
      <w:r w:rsidRPr="005E5BFF">
        <w:rPr>
          <w:rStyle w:val="FootnoteReference"/>
          <w:sz w:val="18"/>
          <w:vertAlign w:val="baseline"/>
        </w:rPr>
        <w:t xml:space="preserve"> et.al, 2000 and </w:t>
      </w:r>
      <w:proofErr w:type="spellStart"/>
      <w:r w:rsidRPr="005E5BFF">
        <w:rPr>
          <w:rStyle w:val="FootnoteReference"/>
          <w:sz w:val="18"/>
          <w:vertAlign w:val="baseline"/>
        </w:rPr>
        <w:t>Vijgen</w:t>
      </w:r>
      <w:proofErr w:type="spellEnd"/>
      <w:r w:rsidRPr="005E5BFF">
        <w:rPr>
          <w:rStyle w:val="FootnoteReference"/>
          <w:sz w:val="18"/>
          <w:vertAlign w:val="baseline"/>
        </w:rPr>
        <w:t>, 2002.</w:t>
      </w:r>
    </w:p>
  </w:footnote>
  <w:footnote w:id="82">
    <w:p w:rsidR="009E7C50" w:rsidRDefault="009E7C50" w:rsidP="00FA3FE1">
      <w:pPr>
        <w:pStyle w:val="FootnoteText"/>
        <w:tabs>
          <w:tab w:val="clear" w:pos="1247"/>
          <w:tab w:val="left" w:pos="1134"/>
        </w:tabs>
        <w:ind w:left="1134"/>
        <w:rPr>
          <w:rStyle w:val="FootnoteReference"/>
          <w:sz w:val="18"/>
        </w:rPr>
      </w:pPr>
      <w:r>
        <w:rPr>
          <w:rStyle w:val="FootnoteReference"/>
        </w:rPr>
        <w:t>82</w:t>
      </w:r>
      <w:r w:rsidRPr="005E5BFF">
        <w:rPr>
          <w:rStyle w:val="FootnoteReference"/>
          <w:sz w:val="18"/>
        </w:rPr>
        <w:t xml:space="preserve"> </w:t>
      </w:r>
      <w:r w:rsidRPr="00FA3FE1">
        <w:t>See</w:t>
      </w:r>
      <w:r w:rsidRPr="005E5BFF">
        <w:rPr>
          <w:rStyle w:val="FootnoteReference"/>
          <w:sz w:val="18"/>
          <w:vertAlign w:val="baseline"/>
        </w:rPr>
        <w:t xml:space="preserve"> UNEP, 2004</w:t>
      </w:r>
      <w:r>
        <w:t>a</w:t>
      </w:r>
      <w:r w:rsidRPr="005E5BFF">
        <w:rPr>
          <w:rStyle w:val="FootnoteReference"/>
          <w:sz w:val="18"/>
          <w:vertAlign w:val="baseline"/>
        </w:rPr>
        <w:t>.</w:t>
      </w:r>
    </w:p>
  </w:footnote>
  <w:footnote w:id="83">
    <w:p w:rsidR="009E7C50" w:rsidRDefault="009E7C50" w:rsidP="00FA3FE1">
      <w:pPr>
        <w:pStyle w:val="FootnoteText"/>
        <w:tabs>
          <w:tab w:val="clear" w:pos="1247"/>
          <w:tab w:val="left" w:pos="1134"/>
        </w:tabs>
        <w:ind w:left="1134"/>
        <w:rPr>
          <w:rStyle w:val="FootnoteReference"/>
          <w:sz w:val="18"/>
        </w:rPr>
      </w:pPr>
      <w:r>
        <w:rPr>
          <w:rStyle w:val="FootnoteReference"/>
        </w:rPr>
        <w:t>83</w:t>
      </w:r>
      <w:r>
        <w:t xml:space="preserve"> </w:t>
      </w:r>
      <w:r w:rsidRPr="00FA3FE1">
        <w:t>See</w:t>
      </w:r>
      <w:r w:rsidRPr="005E5BFF">
        <w:rPr>
          <w:rStyle w:val="FootnoteReference"/>
          <w:sz w:val="18"/>
          <w:vertAlign w:val="baseline"/>
        </w:rPr>
        <w:t xml:space="preserve"> CMPS&amp;F – Environment Australia, 1997; </w:t>
      </w:r>
      <w:proofErr w:type="spellStart"/>
      <w:r w:rsidRPr="005E5BFF">
        <w:rPr>
          <w:rStyle w:val="FootnoteReference"/>
          <w:sz w:val="18"/>
          <w:vertAlign w:val="baseline"/>
        </w:rPr>
        <w:t>Rahuman</w:t>
      </w:r>
      <w:proofErr w:type="spellEnd"/>
      <w:r w:rsidRPr="005E5BFF">
        <w:rPr>
          <w:rStyle w:val="FootnoteReference"/>
          <w:sz w:val="18"/>
          <w:vertAlign w:val="baseline"/>
        </w:rPr>
        <w:t xml:space="preserve"> et al., 2000; UNEP, 2001; UNEP, 2004</w:t>
      </w:r>
      <w:r>
        <w:rPr>
          <w:rStyle w:val="FootnoteReference"/>
          <w:sz w:val="18"/>
          <w:vertAlign w:val="baseline"/>
        </w:rPr>
        <w:t>a;</w:t>
      </w:r>
      <w:r w:rsidRPr="005E5BFF">
        <w:rPr>
          <w:rStyle w:val="FootnoteReference"/>
          <w:sz w:val="18"/>
          <w:vertAlign w:val="baseline"/>
        </w:rPr>
        <w:t xml:space="preserve"> and </w:t>
      </w:r>
      <w:proofErr w:type="spellStart"/>
      <w:r w:rsidRPr="005E5BFF">
        <w:rPr>
          <w:rStyle w:val="FootnoteReference"/>
          <w:sz w:val="18"/>
          <w:vertAlign w:val="baseline"/>
        </w:rPr>
        <w:t>Vijgen</w:t>
      </w:r>
      <w:proofErr w:type="spellEnd"/>
      <w:r w:rsidRPr="005E5BFF">
        <w:rPr>
          <w:rStyle w:val="FootnoteReference"/>
          <w:sz w:val="18"/>
          <w:vertAlign w:val="baseline"/>
        </w:rPr>
        <w:t>, 2002.</w:t>
      </w:r>
    </w:p>
  </w:footnote>
  <w:footnote w:id="84">
    <w:p w:rsidR="009E7C50" w:rsidRDefault="009E7C50" w:rsidP="00FA3FE1">
      <w:pPr>
        <w:pStyle w:val="FootnoteText"/>
        <w:tabs>
          <w:tab w:val="clear" w:pos="1247"/>
          <w:tab w:val="left" w:pos="1134"/>
        </w:tabs>
        <w:ind w:left="1134"/>
        <w:rPr>
          <w:rStyle w:val="FootnoteReference"/>
          <w:sz w:val="18"/>
        </w:rPr>
      </w:pPr>
      <w:r>
        <w:rPr>
          <w:rStyle w:val="FootnoteReference"/>
        </w:rPr>
        <w:t>84</w:t>
      </w:r>
      <w:r>
        <w:t xml:space="preserve"> </w:t>
      </w:r>
      <w:r w:rsidRPr="00FA3FE1">
        <w:t>CMPS</w:t>
      </w:r>
      <w:r w:rsidRPr="005E5BFF">
        <w:rPr>
          <w:rStyle w:val="FootnoteReference"/>
          <w:sz w:val="18"/>
          <w:vertAlign w:val="baseline"/>
        </w:rPr>
        <w:t>&amp;F – Environment Australia, 1997.</w:t>
      </w:r>
    </w:p>
  </w:footnote>
  <w:footnote w:id="85">
    <w:p w:rsidR="009E7C50" w:rsidRDefault="009E7C50" w:rsidP="00FA3FE1">
      <w:pPr>
        <w:pStyle w:val="FootnoteText"/>
        <w:tabs>
          <w:tab w:val="clear" w:pos="1247"/>
          <w:tab w:val="left" w:pos="1134"/>
        </w:tabs>
        <w:ind w:left="1134"/>
        <w:rPr>
          <w:rStyle w:val="FootnoteReference"/>
          <w:sz w:val="18"/>
        </w:rPr>
      </w:pPr>
      <w:r>
        <w:rPr>
          <w:rStyle w:val="FootnoteReference"/>
        </w:rPr>
        <w:t>85</w:t>
      </w:r>
      <w:r>
        <w:t xml:space="preserve"> </w:t>
      </w:r>
      <w:r w:rsidRPr="00FA3FE1">
        <w:t>See</w:t>
      </w:r>
      <w:r w:rsidRPr="005E5BFF">
        <w:rPr>
          <w:rStyle w:val="FootnoteReference"/>
          <w:sz w:val="18"/>
          <w:vertAlign w:val="baseline"/>
        </w:rPr>
        <w:t xml:space="preserve"> CMPS&amp;F – Environment Australia, 1997; </w:t>
      </w:r>
      <w:proofErr w:type="spellStart"/>
      <w:r w:rsidRPr="005E5BFF">
        <w:rPr>
          <w:rStyle w:val="FootnoteReference"/>
          <w:sz w:val="18"/>
          <w:vertAlign w:val="baseline"/>
        </w:rPr>
        <w:t>Rahuman</w:t>
      </w:r>
      <w:proofErr w:type="spellEnd"/>
      <w:r w:rsidRPr="005E5BFF">
        <w:rPr>
          <w:rStyle w:val="FootnoteReference"/>
          <w:sz w:val="18"/>
          <w:vertAlign w:val="baseline"/>
        </w:rPr>
        <w:t xml:space="preserve"> et al., 2000; UNEP, 2004</w:t>
      </w:r>
      <w:r>
        <w:rPr>
          <w:rStyle w:val="FootnoteReference"/>
          <w:sz w:val="18"/>
          <w:vertAlign w:val="baseline"/>
        </w:rPr>
        <w:t>a;</w:t>
      </w:r>
      <w:r w:rsidRPr="005E5BFF">
        <w:rPr>
          <w:rStyle w:val="FootnoteReference"/>
          <w:sz w:val="18"/>
          <w:vertAlign w:val="baseline"/>
        </w:rPr>
        <w:t xml:space="preserve"> and </w:t>
      </w:r>
      <w:proofErr w:type="spellStart"/>
      <w:r w:rsidRPr="005E5BFF">
        <w:rPr>
          <w:rStyle w:val="FootnoteReference"/>
          <w:sz w:val="18"/>
          <w:vertAlign w:val="baseline"/>
        </w:rPr>
        <w:t>Vijgen</w:t>
      </w:r>
      <w:proofErr w:type="spellEnd"/>
      <w:r w:rsidRPr="005E5BFF">
        <w:rPr>
          <w:rStyle w:val="FootnoteReference"/>
          <w:sz w:val="18"/>
          <w:vertAlign w:val="baseline"/>
        </w:rPr>
        <w:t>, 2002.</w:t>
      </w:r>
    </w:p>
  </w:footnote>
  <w:footnote w:id="86">
    <w:p w:rsidR="009E7C50" w:rsidRDefault="009E7C50" w:rsidP="00FA3FE1">
      <w:pPr>
        <w:pStyle w:val="FootnoteText"/>
        <w:tabs>
          <w:tab w:val="clear" w:pos="1247"/>
          <w:tab w:val="left" w:pos="1134"/>
        </w:tabs>
        <w:ind w:left="1134"/>
        <w:rPr>
          <w:rStyle w:val="FootnoteReference"/>
          <w:sz w:val="18"/>
        </w:rPr>
      </w:pPr>
      <w:r>
        <w:rPr>
          <w:rStyle w:val="FootnoteReference"/>
        </w:rPr>
        <w:t>86</w:t>
      </w:r>
      <w:r w:rsidRPr="005E5BFF">
        <w:rPr>
          <w:rStyle w:val="FootnoteReference"/>
          <w:sz w:val="18"/>
        </w:rPr>
        <w:t xml:space="preserve"> </w:t>
      </w:r>
      <w:r w:rsidRPr="00FA3FE1">
        <w:t>See</w:t>
      </w:r>
      <w:r w:rsidRPr="005E5BFF">
        <w:rPr>
          <w:rStyle w:val="FootnoteReference"/>
          <w:sz w:val="18"/>
          <w:vertAlign w:val="baseline"/>
        </w:rPr>
        <w:t xml:space="preserve"> CMPS&amp;F – Environment Australia, 1997</w:t>
      </w:r>
      <w:r>
        <w:rPr>
          <w:rStyle w:val="FootnoteReference"/>
          <w:sz w:val="18"/>
          <w:vertAlign w:val="baseline"/>
        </w:rPr>
        <w:t>.</w:t>
      </w:r>
      <w:r w:rsidRPr="005E5BFF">
        <w:rPr>
          <w:rStyle w:val="FootnoteReference"/>
          <w:sz w:val="18"/>
          <w:vertAlign w:val="baseline"/>
        </w:rPr>
        <w:t xml:space="preserve"> </w:t>
      </w:r>
    </w:p>
  </w:footnote>
  <w:footnote w:id="87">
    <w:p w:rsidR="009E7C50" w:rsidRDefault="009E7C50" w:rsidP="00FA3FE1">
      <w:pPr>
        <w:pStyle w:val="FootnoteText"/>
        <w:tabs>
          <w:tab w:val="clear" w:pos="1247"/>
          <w:tab w:val="left" w:pos="1134"/>
        </w:tabs>
        <w:ind w:left="1134"/>
        <w:rPr>
          <w:rStyle w:val="FootnoteReference"/>
          <w:sz w:val="18"/>
        </w:rPr>
      </w:pPr>
      <w:r>
        <w:rPr>
          <w:rStyle w:val="FootnoteReference"/>
        </w:rPr>
        <w:t>87</w:t>
      </w:r>
      <w:r>
        <w:t xml:space="preserve"> </w:t>
      </w:r>
      <w:r w:rsidRPr="00FA3FE1">
        <w:t>See</w:t>
      </w:r>
      <w:r w:rsidRPr="005E5BFF">
        <w:rPr>
          <w:rStyle w:val="FootnoteReference"/>
          <w:sz w:val="18"/>
          <w:vertAlign w:val="baseline"/>
        </w:rPr>
        <w:t xml:space="preserve"> UNEP, 2004</w:t>
      </w:r>
      <w:r>
        <w:t>a</w:t>
      </w:r>
      <w:r w:rsidRPr="005E5BFF">
        <w:rPr>
          <w:rStyle w:val="FootnoteReference"/>
          <w:sz w:val="18"/>
          <w:vertAlign w:val="baseline"/>
        </w:rPr>
        <w:t>.</w:t>
      </w:r>
    </w:p>
  </w:footnote>
  <w:footnote w:id="88">
    <w:p w:rsidR="009E7C50" w:rsidRDefault="009E7C50" w:rsidP="00FA3FE1">
      <w:pPr>
        <w:pStyle w:val="FootnoteText"/>
        <w:tabs>
          <w:tab w:val="clear" w:pos="1247"/>
          <w:tab w:val="left" w:pos="1134"/>
        </w:tabs>
        <w:ind w:left="1134"/>
        <w:rPr>
          <w:rStyle w:val="FootnoteReference"/>
          <w:sz w:val="18"/>
        </w:rPr>
      </w:pPr>
      <w:r>
        <w:rPr>
          <w:rStyle w:val="FootnoteReference"/>
        </w:rPr>
        <w:t>88</w:t>
      </w:r>
      <w:r>
        <w:t xml:space="preserve"> </w:t>
      </w:r>
      <w:r w:rsidRPr="00FA3FE1">
        <w:t>See</w:t>
      </w:r>
      <w:r w:rsidRPr="005E5BFF">
        <w:rPr>
          <w:rStyle w:val="FootnoteReference"/>
          <w:sz w:val="18"/>
          <w:vertAlign w:val="baseline"/>
        </w:rPr>
        <w:t xml:space="preserve"> UNEP, 2001; UNEP, 2004</w:t>
      </w:r>
      <w:r>
        <w:rPr>
          <w:rStyle w:val="FootnoteReference"/>
          <w:sz w:val="18"/>
          <w:vertAlign w:val="baseline"/>
        </w:rPr>
        <w:t>a;</w:t>
      </w:r>
      <w:r w:rsidRPr="005E5BFF">
        <w:rPr>
          <w:rStyle w:val="FootnoteReference"/>
          <w:sz w:val="18"/>
          <w:vertAlign w:val="baseline"/>
        </w:rPr>
        <w:t xml:space="preserve"> and </w:t>
      </w:r>
      <w:proofErr w:type="spellStart"/>
      <w:r w:rsidRPr="005E5BFF">
        <w:rPr>
          <w:rStyle w:val="FootnoteReference"/>
          <w:sz w:val="18"/>
          <w:vertAlign w:val="baseline"/>
        </w:rPr>
        <w:t>Vijgen</w:t>
      </w:r>
      <w:proofErr w:type="spellEnd"/>
      <w:r w:rsidRPr="005E5BFF">
        <w:rPr>
          <w:rStyle w:val="FootnoteReference"/>
          <w:sz w:val="18"/>
          <w:vertAlign w:val="baseline"/>
        </w:rPr>
        <w:t>, 2002.</w:t>
      </w:r>
    </w:p>
  </w:footnote>
  <w:footnote w:id="89">
    <w:p w:rsidR="009E7C50" w:rsidRDefault="009E7C50" w:rsidP="00FA3FE1">
      <w:pPr>
        <w:pStyle w:val="FootnoteText"/>
        <w:tabs>
          <w:tab w:val="clear" w:pos="1247"/>
          <w:tab w:val="left" w:pos="1134"/>
        </w:tabs>
        <w:ind w:left="1134"/>
        <w:rPr>
          <w:rStyle w:val="FootnoteReference"/>
          <w:sz w:val="18"/>
        </w:rPr>
      </w:pPr>
      <w:r>
        <w:rPr>
          <w:rStyle w:val="FootnoteReference"/>
        </w:rPr>
        <w:t>89</w:t>
      </w:r>
      <w:r>
        <w:t xml:space="preserve"> </w:t>
      </w:r>
      <w:r w:rsidRPr="00FA3FE1">
        <w:t>See</w:t>
      </w:r>
      <w:r w:rsidRPr="005E5BFF">
        <w:rPr>
          <w:rStyle w:val="FootnoteReference"/>
          <w:sz w:val="18"/>
          <w:vertAlign w:val="baseline"/>
        </w:rPr>
        <w:t xml:space="preserve"> CMPS&amp;F – Environment Australia, 1997.</w:t>
      </w:r>
    </w:p>
  </w:footnote>
  <w:footnote w:id="90">
    <w:p w:rsidR="009E7C50" w:rsidRDefault="009E7C50" w:rsidP="00FA3FE1">
      <w:pPr>
        <w:pStyle w:val="FootnoteText"/>
        <w:tabs>
          <w:tab w:val="clear" w:pos="1247"/>
          <w:tab w:val="left" w:pos="1134"/>
        </w:tabs>
        <w:ind w:left="1134"/>
        <w:rPr>
          <w:rStyle w:val="FootnoteReference"/>
          <w:sz w:val="18"/>
        </w:rPr>
      </w:pPr>
      <w:r>
        <w:rPr>
          <w:rStyle w:val="FootnoteReference"/>
        </w:rPr>
        <w:t>90</w:t>
      </w:r>
      <w:r>
        <w:t xml:space="preserve"> </w:t>
      </w:r>
      <w:r w:rsidRPr="00FA3FE1">
        <w:t>See</w:t>
      </w:r>
      <w:r w:rsidRPr="005E5BFF">
        <w:rPr>
          <w:rStyle w:val="FootnoteReference"/>
          <w:sz w:val="18"/>
          <w:vertAlign w:val="baseline"/>
        </w:rPr>
        <w:t xml:space="preserve"> CMPS&amp;F – Environment Australia, 1997 and UNEP, 2004</w:t>
      </w:r>
      <w:r>
        <w:rPr>
          <w:rStyle w:val="FootnoteReference"/>
          <w:sz w:val="18"/>
          <w:vertAlign w:val="baseline"/>
        </w:rPr>
        <w:t>a</w:t>
      </w:r>
      <w:r w:rsidRPr="005E5BFF">
        <w:rPr>
          <w:rStyle w:val="FootnoteReference"/>
          <w:sz w:val="18"/>
          <w:vertAlign w:val="baseline"/>
        </w:rPr>
        <w:t>.</w:t>
      </w:r>
    </w:p>
  </w:footnote>
  <w:footnote w:id="91">
    <w:p w:rsidR="009E7C50" w:rsidRDefault="009E7C50" w:rsidP="00FA3FE1">
      <w:pPr>
        <w:pStyle w:val="FootnoteText"/>
        <w:tabs>
          <w:tab w:val="clear" w:pos="1247"/>
          <w:tab w:val="left" w:pos="1134"/>
        </w:tabs>
        <w:ind w:left="1134"/>
        <w:rPr>
          <w:rStyle w:val="FootnoteReference"/>
          <w:sz w:val="18"/>
        </w:rPr>
      </w:pPr>
      <w:r>
        <w:rPr>
          <w:rStyle w:val="FootnoteReference"/>
        </w:rPr>
        <w:t>91</w:t>
      </w:r>
      <w:r>
        <w:t xml:space="preserve"> </w:t>
      </w:r>
      <w:r w:rsidRPr="005E5BFF">
        <w:rPr>
          <w:rStyle w:val="FootnoteReference"/>
          <w:sz w:val="18"/>
          <w:vertAlign w:val="baseline"/>
        </w:rPr>
        <w:t>See CMPS&amp;F – Environment Australia, 1997.</w:t>
      </w:r>
    </w:p>
  </w:footnote>
  <w:footnote w:id="92">
    <w:p w:rsidR="009E7C50" w:rsidRDefault="009E7C50" w:rsidP="00FA3FE1">
      <w:pPr>
        <w:pStyle w:val="FootnoteText"/>
        <w:tabs>
          <w:tab w:val="clear" w:pos="1247"/>
          <w:tab w:val="left" w:pos="1134"/>
        </w:tabs>
        <w:ind w:left="1134"/>
        <w:rPr>
          <w:rStyle w:val="FootnoteReference"/>
        </w:rPr>
      </w:pPr>
      <w:r>
        <w:rPr>
          <w:rStyle w:val="FootnoteReference"/>
        </w:rPr>
        <w:t>92</w:t>
      </w:r>
      <w:r>
        <w:t xml:space="preserve"> </w:t>
      </w:r>
      <w:r w:rsidRPr="005E5BFF">
        <w:rPr>
          <w:rStyle w:val="FootnoteReference"/>
          <w:sz w:val="18"/>
          <w:vertAlign w:val="baseline"/>
        </w:rPr>
        <w:t xml:space="preserve">See CMPS&amp;F – Environment Australia, 1997; </w:t>
      </w:r>
      <w:proofErr w:type="spellStart"/>
      <w:r w:rsidRPr="005E5BFF">
        <w:rPr>
          <w:rStyle w:val="FootnoteReference"/>
          <w:sz w:val="18"/>
          <w:vertAlign w:val="baseline"/>
        </w:rPr>
        <w:t>Kümmling</w:t>
      </w:r>
      <w:proofErr w:type="spellEnd"/>
      <w:r w:rsidRPr="005E5BFF">
        <w:rPr>
          <w:rStyle w:val="FootnoteReference"/>
          <w:sz w:val="18"/>
          <w:vertAlign w:val="baseline"/>
        </w:rPr>
        <w:t xml:space="preserve"> et al., 2001; Ray, 2001; UNEP, 2004</w:t>
      </w:r>
      <w:r>
        <w:t>a</w:t>
      </w:r>
      <w:r w:rsidRPr="005E5BFF">
        <w:rPr>
          <w:rStyle w:val="FootnoteReference"/>
          <w:sz w:val="18"/>
          <w:vertAlign w:val="baseline"/>
        </w:rPr>
        <w:t xml:space="preserve"> and </w:t>
      </w:r>
      <w:proofErr w:type="spellStart"/>
      <w:r w:rsidRPr="005E5BFF">
        <w:rPr>
          <w:rStyle w:val="FootnoteReference"/>
          <w:sz w:val="18"/>
          <w:vertAlign w:val="baseline"/>
        </w:rPr>
        <w:t>Vijgen</w:t>
      </w:r>
      <w:proofErr w:type="spellEnd"/>
      <w:r w:rsidRPr="005E5BFF">
        <w:rPr>
          <w:rStyle w:val="FootnoteReference"/>
          <w:sz w:val="18"/>
          <w:vertAlign w:val="baseline"/>
        </w:rPr>
        <w:t>, 2002.</w:t>
      </w:r>
    </w:p>
  </w:footnote>
  <w:footnote w:id="93">
    <w:p w:rsidR="009E7C50" w:rsidRDefault="009E7C50" w:rsidP="00FA3FE1">
      <w:pPr>
        <w:pStyle w:val="FootnoteText"/>
        <w:tabs>
          <w:tab w:val="clear" w:pos="1247"/>
          <w:tab w:val="left" w:pos="1134"/>
        </w:tabs>
        <w:ind w:left="1134"/>
        <w:rPr>
          <w:rStyle w:val="FootnoteReference"/>
          <w:sz w:val="18"/>
        </w:rPr>
      </w:pPr>
      <w:r>
        <w:rPr>
          <w:rStyle w:val="FootnoteReference"/>
        </w:rPr>
        <w:t>93</w:t>
      </w:r>
      <w:r w:rsidRPr="005E5BFF">
        <w:rPr>
          <w:szCs w:val="18"/>
        </w:rPr>
        <w:t xml:space="preserve"> </w:t>
      </w:r>
      <w:r w:rsidRPr="005E5BFF">
        <w:t>Additional information is available from</w:t>
      </w:r>
      <w:r>
        <w:t xml:space="preserve"> </w:t>
      </w:r>
      <w:r w:rsidRPr="005E5BFF">
        <w:t>Danish Environmental Protection Agency, 2004; Federal Remediation Technolog</w:t>
      </w:r>
      <w:r>
        <w:t>y</w:t>
      </w:r>
      <w:r w:rsidRPr="005E5BFF">
        <w:t xml:space="preserve"> Roundtable (FRTR), 2002; </w:t>
      </w:r>
      <w:proofErr w:type="spellStart"/>
      <w:r w:rsidRPr="005E5BFF">
        <w:t>Rahuman</w:t>
      </w:r>
      <w:proofErr w:type="spellEnd"/>
      <w:r w:rsidRPr="005E5BFF">
        <w:t xml:space="preserve"> et al., 2000; UNEP, 1995</w:t>
      </w:r>
      <w:r>
        <w:t>b</w:t>
      </w:r>
      <w:r w:rsidRPr="005E5BFF">
        <w:t>; UNEP, 1998b; UNEP, 2001</w:t>
      </w:r>
      <w:r>
        <w:t>;</w:t>
      </w:r>
      <w:r w:rsidRPr="005E5BFF">
        <w:t xml:space="preserve"> and United States Army Corps of Engineers, 2003. In addition, information on BAT and BEP with respect to hazardous waste incinerators is available from UNEP</w:t>
      </w:r>
      <w:r>
        <w:t>,</w:t>
      </w:r>
      <w:r w:rsidRPr="005E5BFF">
        <w:t xml:space="preserve"> </w:t>
      </w:r>
      <w:r>
        <w:t>2015</w:t>
      </w:r>
      <w:r w:rsidRPr="005E5BFF">
        <w:t>.</w:t>
      </w:r>
      <w:r w:rsidRPr="005E5BFF">
        <w:rPr>
          <w:rStyle w:val="FootnoteReference"/>
          <w:sz w:val="18"/>
        </w:rPr>
        <w:t xml:space="preserve"> </w:t>
      </w:r>
    </w:p>
  </w:footnote>
  <w:footnote w:id="94">
    <w:p w:rsidR="009E7C50" w:rsidRDefault="009E7C50" w:rsidP="00FA3FE1">
      <w:pPr>
        <w:pStyle w:val="FootnoteText"/>
        <w:tabs>
          <w:tab w:val="clear" w:pos="1247"/>
          <w:tab w:val="left" w:pos="1134"/>
        </w:tabs>
        <w:ind w:left="1134"/>
        <w:rPr>
          <w:rStyle w:val="FootnoteReference"/>
          <w:sz w:val="18"/>
        </w:rPr>
      </w:pPr>
      <w:r>
        <w:rPr>
          <w:rStyle w:val="FootnoteReference"/>
        </w:rPr>
        <w:t>94</w:t>
      </w:r>
      <w:r w:rsidRPr="005E5BFF">
        <w:rPr>
          <w:rStyle w:val="FootnoteReference"/>
          <w:sz w:val="18"/>
        </w:rPr>
        <w:t xml:space="preserve"> </w:t>
      </w:r>
      <w:r w:rsidRPr="005E5BFF">
        <w:t xml:space="preserve">See FRTR, 2002; </w:t>
      </w:r>
      <w:proofErr w:type="spellStart"/>
      <w:r w:rsidRPr="005E5BFF">
        <w:t>Rahuman</w:t>
      </w:r>
      <w:proofErr w:type="spellEnd"/>
      <w:r w:rsidRPr="005E5BFF">
        <w:t xml:space="preserve"> et al., 2000; UNEP, 1998b and UNEP, 2001.</w:t>
      </w:r>
    </w:p>
  </w:footnote>
  <w:footnote w:id="95">
    <w:p w:rsidR="009E7C50" w:rsidRDefault="009E7C50" w:rsidP="00FA3FE1">
      <w:pPr>
        <w:pStyle w:val="FootnoteText"/>
        <w:tabs>
          <w:tab w:val="clear" w:pos="1247"/>
          <w:tab w:val="left" w:pos="1134"/>
        </w:tabs>
        <w:ind w:left="1134"/>
        <w:rPr>
          <w:rStyle w:val="FootnoteReference"/>
          <w:sz w:val="18"/>
        </w:rPr>
      </w:pPr>
      <w:r>
        <w:rPr>
          <w:rStyle w:val="FootnoteReference"/>
        </w:rPr>
        <w:t>95</w:t>
      </w:r>
      <w:r w:rsidRPr="005E5BFF">
        <w:rPr>
          <w:rStyle w:val="FootnoteReference"/>
          <w:sz w:val="18"/>
        </w:rPr>
        <w:t xml:space="preserve"> </w:t>
      </w:r>
      <w:r w:rsidRPr="005E5BFF">
        <w:t>See UNEP, 1995</w:t>
      </w:r>
      <w:r>
        <w:t>b</w:t>
      </w:r>
      <w:r w:rsidRPr="005E5BFF">
        <w:t>.</w:t>
      </w:r>
    </w:p>
  </w:footnote>
  <w:footnote w:id="96">
    <w:p w:rsidR="009E7C50" w:rsidRDefault="009E7C50" w:rsidP="00FA3FE1">
      <w:pPr>
        <w:pStyle w:val="FootnoteText"/>
        <w:tabs>
          <w:tab w:val="clear" w:pos="1247"/>
          <w:tab w:val="left" w:pos="1134"/>
        </w:tabs>
        <w:ind w:left="1134"/>
        <w:rPr>
          <w:rStyle w:val="FootnoteReference"/>
          <w:sz w:val="18"/>
        </w:rPr>
      </w:pPr>
      <w:r>
        <w:rPr>
          <w:rStyle w:val="FootnoteReference"/>
        </w:rPr>
        <w:t>96</w:t>
      </w:r>
      <w:r w:rsidRPr="005E5BFF">
        <w:rPr>
          <w:szCs w:val="18"/>
        </w:rPr>
        <w:t xml:space="preserve"> </w:t>
      </w:r>
      <w:r w:rsidRPr="005E5BFF">
        <w:t>See UNEP, 1995</w:t>
      </w:r>
      <w:r>
        <w:t>b</w:t>
      </w:r>
      <w:r w:rsidRPr="005E5BFF">
        <w:t xml:space="preserve">; UNEP, 1998b and </w:t>
      </w:r>
      <w:r w:rsidRPr="007614EF">
        <w:t>UNEP, 2004</w:t>
      </w:r>
      <w:r>
        <w:t>b</w:t>
      </w:r>
      <w:r w:rsidRPr="005E5BFF">
        <w:t>.</w:t>
      </w:r>
    </w:p>
  </w:footnote>
  <w:footnote w:id="97">
    <w:p w:rsidR="009E7C50" w:rsidRDefault="009E7C50" w:rsidP="00FA3FE1">
      <w:pPr>
        <w:pStyle w:val="FootnoteText"/>
        <w:tabs>
          <w:tab w:val="clear" w:pos="1247"/>
          <w:tab w:val="left" w:pos="1134"/>
        </w:tabs>
        <w:ind w:left="1134"/>
        <w:rPr>
          <w:rStyle w:val="FootnoteReference"/>
          <w:sz w:val="18"/>
        </w:rPr>
      </w:pPr>
      <w:r>
        <w:rPr>
          <w:rStyle w:val="FootnoteReference"/>
        </w:rPr>
        <w:t>97</w:t>
      </w:r>
      <w:r w:rsidRPr="005E5BFF">
        <w:rPr>
          <w:szCs w:val="18"/>
        </w:rPr>
        <w:t xml:space="preserve"> </w:t>
      </w:r>
      <w:r w:rsidRPr="005E5BFF">
        <w:t>See UNEP, 1995</w:t>
      </w:r>
      <w:r>
        <w:t>b</w:t>
      </w:r>
      <w:r w:rsidRPr="005E5BFF">
        <w:t xml:space="preserve">; UNEP, 1998b and </w:t>
      </w:r>
      <w:r w:rsidRPr="007614EF">
        <w:t>UNEP, 2004</w:t>
      </w:r>
      <w:r>
        <w:t>b</w:t>
      </w:r>
      <w:r w:rsidRPr="005E5BFF">
        <w:t>.</w:t>
      </w:r>
    </w:p>
  </w:footnote>
  <w:footnote w:id="98">
    <w:p w:rsidR="009E7C50" w:rsidRPr="00AE78A9" w:rsidRDefault="009E7C50" w:rsidP="00FA3FE1">
      <w:pPr>
        <w:pStyle w:val="FootnoteText"/>
        <w:tabs>
          <w:tab w:val="clear" w:pos="1247"/>
          <w:tab w:val="left" w:pos="1134"/>
        </w:tabs>
        <w:ind w:left="1134"/>
        <w:rPr>
          <w:rStyle w:val="FootnoteReference"/>
          <w:lang w:val="en-US"/>
        </w:rPr>
      </w:pPr>
      <w:r>
        <w:rPr>
          <w:rStyle w:val="FootnoteReference"/>
        </w:rPr>
        <w:t>98</w:t>
      </w:r>
      <w:r w:rsidRPr="00AE78A9">
        <w:rPr>
          <w:szCs w:val="18"/>
          <w:lang w:val="en-US"/>
        </w:rPr>
        <w:t xml:space="preserve"> </w:t>
      </w:r>
      <w:proofErr w:type="gramStart"/>
      <w:r w:rsidRPr="00041F1F">
        <w:t>UNEP</w:t>
      </w:r>
      <w:r w:rsidRPr="00041F1F">
        <w:rPr>
          <w:lang w:val="en-US"/>
        </w:rPr>
        <w:t>, 2001.</w:t>
      </w:r>
      <w:proofErr w:type="gramEnd"/>
    </w:p>
  </w:footnote>
  <w:footnote w:id="99">
    <w:p w:rsidR="009E7C50" w:rsidRPr="001763B3" w:rsidRDefault="009E7C50" w:rsidP="00FA3FE1">
      <w:pPr>
        <w:pStyle w:val="FootnoteText"/>
        <w:tabs>
          <w:tab w:val="clear" w:pos="1247"/>
          <w:tab w:val="left" w:pos="1134"/>
        </w:tabs>
        <w:ind w:left="1134"/>
        <w:rPr>
          <w:rStyle w:val="FootnoteReference"/>
          <w:sz w:val="18"/>
          <w:lang w:val="en-US"/>
        </w:rPr>
      </w:pPr>
      <w:r>
        <w:rPr>
          <w:rStyle w:val="FootnoteReference"/>
        </w:rPr>
        <w:t>99</w:t>
      </w:r>
      <w:r w:rsidRPr="00605389">
        <w:rPr>
          <w:lang w:val="en-US"/>
        </w:rPr>
        <w:t xml:space="preserve"> </w:t>
      </w:r>
      <w:proofErr w:type="gramStart"/>
      <w:r w:rsidRPr="00605389">
        <w:rPr>
          <w:lang w:val="en-US"/>
        </w:rPr>
        <w:t>UNEP</w:t>
      </w:r>
      <w:r w:rsidRPr="00605389">
        <w:rPr>
          <w:rStyle w:val="FootnoteReference"/>
          <w:sz w:val="18"/>
          <w:vertAlign w:val="baseline"/>
          <w:lang w:val="en-US"/>
        </w:rPr>
        <w:t>, 2004b</w:t>
      </w:r>
      <w:r w:rsidRPr="00605389">
        <w:rPr>
          <w:lang w:val="en-US"/>
        </w:rPr>
        <w:t>.</w:t>
      </w:r>
      <w:proofErr w:type="gramEnd"/>
    </w:p>
  </w:footnote>
  <w:footnote w:id="100">
    <w:p w:rsidR="009E7C50" w:rsidRPr="001763B3" w:rsidRDefault="009E7C50" w:rsidP="00FA3FE1">
      <w:pPr>
        <w:pStyle w:val="FootnoteText"/>
        <w:tabs>
          <w:tab w:val="clear" w:pos="1247"/>
          <w:tab w:val="left" w:pos="1134"/>
        </w:tabs>
        <w:ind w:left="1134"/>
        <w:rPr>
          <w:rStyle w:val="FootnoteReference"/>
          <w:sz w:val="18"/>
          <w:lang w:val="en-US"/>
        </w:rPr>
      </w:pPr>
      <w:r>
        <w:rPr>
          <w:rStyle w:val="FootnoteReference"/>
        </w:rPr>
        <w:t>100</w:t>
      </w:r>
      <w:r w:rsidRPr="00605389">
        <w:rPr>
          <w:lang w:val="en-US"/>
        </w:rPr>
        <w:t xml:space="preserve"> </w:t>
      </w:r>
      <w:r w:rsidRPr="00605389">
        <w:rPr>
          <w:rStyle w:val="FootnoteReference"/>
          <w:sz w:val="18"/>
          <w:vertAlign w:val="baseline"/>
          <w:lang w:val="en-US"/>
        </w:rPr>
        <w:t>See United States Army Corps of Engineers, 2003.</w:t>
      </w:r>
    </w:p>
  </w:footnote>
  <w:footnote w:id="101">
    <w:p w:rsidR="009E7C50" w:rsidRPr="009452BC" w:rsidRDefault="009E7C50" w:rsidP="00FA3FE1">
      <w:pPr>
        <w:pStyle w:val="FootnoteText"/>
        <w:tabs>
          <w:tab w:val="clear" w:pos="1247"/>
          <w:tab w:val="left" w:pos="1134"/>
        </w:tabs>
        <w:ind w:left="1134"/>
        <w:rPr>
          <w:rStyle w:val="FootnoteReference"/>
          <w:sz w:val="18"/>
          <w:lang w:val="en-US"/>
        </w:rPr>
      </w:pPr>
      <w:r>
        <w:rPr>
          <w:rStyle w:val="FootnoteReference"/>
        </w:rPr>
        <w:t>101</w:t>
      </w:r>
      <w:r w:rsidRPr="009452BC">
        <w:rPr>
          <w:lang w:val="en-US"/>
        </w:rPr>
        <w:t xml:space="preserve"> </w:t>
      </w:r>
      <w:r w:rsidRPr="00405DFE">
        <w:rPr>
          <w:i/>
        </w:rPr>
        <w:t>Ibid</w:t>
      </w:r>
      <w:r w:rsidRPr="009452BC">
        <w:rPr>
          <w:rStyle w:val="FootnoteReference"/>
          <w:sz w:val="18"/>
          <w:vertAlign w:val="baseline"/>
          <w:lang w:val="en-US"/>
        </w:rPr>
        <w:t>.</w:t>
      </w:r>
    </w:p>
  </w:footnote>
  <w:footnote w:id="102">
    <w:p w:rsidR="009E7C50" w:rsidRPr="009452BC" w:rsidRDefault="009E7C50" w:rsidP="00FA3FE1">
      <w:pPr>
        <w:pStyle w:val="FootnoteText"/>
        <w:tabs>
          <w:tab w:val="clear" w:pos="1247"/>
          <w:tab w:val="left" w:pos="1134"/>
        </w:tabs>
        <w:ind w:left="1134"/>
        <w:rPr>
          <w:rStyle w:val="FootnoteReference"/>
          <w:sz w:val="18"/>
          <w:lang w:val="en-US"/>
        </w:rPr>
      </w:pPr>
      <w:r>
        <w:rPr>
          <w:rStyle w:val="FootnoteReference"/>
        </w:rPr>
        <w:t>102</w:t>
      </w:r>
      <w:r w:rsidRPr="009452BC">
        <w:rPr>
          <w:lang w:val="en-US"/>
        </w:rPr>
        <w:t xml:space="preserve"> </w:t>
      </w:r>
      <w:r w:rsidRPr="00FA3FE1">
        <w:t>See</w:t>
      </w:r>
      <w:r w:rsidRPr="009452BC">
        <w:rPr>
          <w:rStyle w:val="FootnoteReference"/>
          <w:sz w:val="18"/>
          <w:vertAlign w:val="baseline"/>
          <w:lang w:val="en-US"/>
        </w:rPr>
        <w:t xml:space="preserve"> UNEP, 2004</w:t>
      </w:r>
      <w:r>
        <w:rPr>
          <w:lang w:val="en-US"/>
        </w:rPr>
        <w:t>b</w:t>
      </w:r>
      <w:r w:rsidRPr="009452BC">
        <w:rPr>
          <w:rStyle w:val="FootnoteReference"/>
          <w:sz w:val="18"/>
          <w:vertAlign w:val="baseline"/>
          <w:lang w:val="en-US"/>
        </w:rPr>
        <w:t>.</w:t>
      </w:r>
    </w:p>
  </w:footnote>
  <w:footnote w:id="103">
    <w:p w:rsidR="009E7C50" w:rsidRPr="009452BC" w:rsidRDefault="009E7C50" w:rsidP="00FA3FE1">
      <w:pPr>
        <w:pStyle w:val="FootnoteText"/>
        <w:tabs>
          <w:tab w:val="clear" w:pos="1247"/>
          <w:tab w:val="left" w:pos="1134"/>
        </w:tabs>
        <w:ind w:left="1134"/>
        <w:rPr>
          <w:rStyle w:val="FootnoteReference"/>
          <w:sz w:val="18"/>
          <w:lang w:val="en-US"/>
        </w:rPr>
      </w:pPr>
      <w:r>
        <w:rPr>
          <w:rStyle w:val="FootnoteReference"/>
        </w:rPr>
        <w:t>103</w:t>
      </w:r>
      <w:r w:rsidRPr="009452BC">
        <w:rPr>
          <w:lang w:val="en-US"/>
        </w:rPr>
        <w:t xml:space="preserve"> </w:t>
      </w:r>
      <w:r w:rsidRPr="00FA3FE1">
        <w:t>See</w:t>
      </w:r>
      <w:r w:rsidRPr="009452BC">
        <w:rPr>
          <w:rStyle w:val="FootnoteReference"/>
          <w:sz w:val="18"/>
          <w:vertAlign w:val="baseline"/>
          <w:lang w:val="en-US"/>
        </w:rPr>
        <w:t xml:space="preserve"> UNEP, 2001.</w:t>
      </w:r>
    </w:p>
  </w:footnote>
  <w:footnote w:id="104">
    <w:p w:rsidR="009E7C50" w:rsidRPr="009452BC" w:rsidRDefault="009E7C50" w:rsidP="00FA3FE1">
      <w:pPr>
        <w:pStyle w:val="FootnoteText"/>
        <w:tabs>
          <w:tab w:val="clear" w:pos="1247"/>
          <w:tab w:val="left" w:pos="1134"/>
        </w:tabs>
        <w:ind w:left="1134"/>
        <w:rPr>
          <w:rStyle w:val="FootnoteReference"/>
          <w:sz w:val="18"/>
          <w:lang w:val="en-US"/>
        </w:rPr>
      </w:pPr>
      <w:r>
        <w:rPr>
          <w:rStyle w:val="FootnoteReference"/>
        </w:rPr>
        <w:t>104</w:t>
      </w:r>
      <w:r w:rsidRPr="009452BC">
        <w:rPr>
          <w:rStyle w:val="FootnoteReference"/>
          <w:sz w:val="18"/>
          <w:lang w:val="en-US"/>
        </w:rPr>
        <w:t xml:space="preserve"> </w:t>
      </w:r>
      <w:r w:rsidRPr="00FA3FE1">
        <w:t>Additional</w:t>
      </w:r>
      <w:r w:rsidRPr="009452BC">
        <w:rPr>
          <w:rStyle w:val="FootnoteReference"/>
          <w:sz w:val="18"/>
          <w:vertAlign w:val="baseline"/>
          <w:lang w:val="en-US"/>
        </w:rPr>
        <w:t xml:space="preserve"> information is available from CMPS&amp;F – Environment Australia, 1997; Costner et al., 1998; </w:t>
      </w:r>
      <w:proofErr w:type="spellStart"/>
      <w:r w:rsidRPr="009452BC">
        <w:rPr>
          <w:rStyle w:val="FootnoteReference"/>
          <w:sz w:val="18"/>
          <w:vertAlign w:val="baseline"/>
          <w:lang w:val="en-US"/>
        </w:rPr>
        <w:t>Rahuman</w:t>
      </w:r>
      <w:proofErr w:type="spellEnd"/>
      <w:r w:rsidRPr="009452BC">
        <w:rPr>
          <w:rStyle w:val="FootnoteReference"/>
          <w:sz w:val="18"/>
          <w:vertAlign w:val="baseline"/>
          <w:lang w:val="en-US"/>
        </w:rPr>
        <w:t xml:space="preserve"> et al., 2000; Ray, 2001; UNEP, 1998b; </w:t>
      </w:r>
      <w:r w:rsidRPr="00A6576D">
        <w:rPr>
          <w:rStyle w:val="FootnoteReference"/>
          <w:sz w:val="18"/>
          <w:vertAlign w:val="baseline"/>
          <w:lang w:val="en-US"/>
        </w:rPr>
        <w:t>UNEP, 2000; UNEP</w:t>
      </w:r>
      <w:r w:rsidRPr="009452BC">
        <w:rPr>
          <w:rStyle w:val="FootnoteReference"/>
          <w:sz w:val="18"/>
          <w:vertAlign w:val="baseline"/>
          <w:lang w:val="en-US"/>
        </w:rPr>
        <w:t>, 2001 and UNEP, 2004</w:t>
      </w:r>
      <w:r>
        <w:rPr>
          <w:rStyle w:val="FootnoteReference"/>
          <w:sz w:val="18"/>
          <w:vertAlign w:val="baseline"/>
          <w:lang w:val="en-US"/>
        </w:rPr>
        <w:t>a</w:t>
      </w:r>
      <w:r w:rsidRPr="009452BC">
        <w:rPr>
          <w:rStyle w:val="FootnoteReference"/>
          <w:sz w:val="18"/>
          <w:vertAlign w:val="baseline"/>
          <w:lang w:val="en-US"/>
        </w:rPr>
        <w:t>.</w:t>
      </w:r>
    </w:p>
  </w:footnote>
  <w:footnote w:id="105">
    <w:p w:rsidR="009E7C50" w:rsidRDefault="009E7C50" w:rsidP="00FA3FE1">
      <w:pPr>
        <w:pStyle w:val="FootnoteText"/>
        <w:tabs>
          <w:tab w:val="clear" w:pos="1247"/>
          <w:tab w:val="left" w:pos="1134"/>
        </w:tabs>
        <w:ind w:left="1134"/>
        <w:rPr>
          <w:rStyle w:val="FootnoteReference"/>
          <w:sz w:val="18"/>
        </w:rPr>
      </w:pPr>
      <w:r>
        <w:rPr>
          <w:rStyle w:val="FootnoteReference"/>
        </w:rPr>
        <w:t>105</w:t>
      </w:r>
      <w:r>
        <w:rPr>
          <w:rStyle w:val="FootnoteReference"/>
          <w:sz w:val="18"/>
        </w:rPr>
        <w:t xml:space="preserve"> </w:t>
      </w:r>
      <w:r w:rsidRPr="00FA3FE1">
        <w:t>See</w:t>
      </w:r>
      <w:r w:rsidRPr="005E5BFF">
        <w:rPr>
          <w:rStyle w:val="FootnoteReference"/>
          <w:sz w:val="18"/>
          <w:vertAlign w:val="baseline"/>
        </w:rPr>
        <w:t xml:space="preserve"> CMPS&amp;F – Environment Australia, 1997.</w:t>
      </w:r>
    </w:p>
  </w:footnote>
  <w:footnote w:id="106">
    <w:p w:rsidR="009E7C50" w:rsidRDefault="009E7C50" w:rsidP="00FA3FE1">
      <w:pPr>
        <w:pStyle w:val="FootnoteText"/>
        <w:tabs>
          <w:tab w:val="clear" w:pos="1247"/>
          <w:tab w:val="left" w:pos="1134"/>
        </w:tabs>
        <w:ind w:left="1134"/>
        <w:rPr>
          <w:rStyle w:val="FootnoteReference"/>
          <w:sz w:val="18"/>
        </w:rPr>
      </w:pPr>
      <w:r>
        <w:rPr>
          <w:rStyle w:val="FootnoteReference"/>
        </w:rPr>
        <w:t>106</w:t>
      </w:r>
      <w:r>
        <w:t xml:space="preserve"> </w:t>
      </w:r>
      <w:r w:rsidRPr="00FA3FE1">
        <w:t>See</w:t>
      </w:r>
      <w:r w:rsidRPr="005E5BFF">
        <w:rPr>
          <w:rStyle w:val="FootnoteReference"/>
          <w:sz w:val="18"/>
          <w:vertAlign w:val="baseline"/>
        </w:rPr>
        <w:t xml:space="preserve"> </w:t>
      </w:r>
      <w:proofErr w:type="spellStart"/>
      <w:r w:rsidRPr="005E5BFF">
        <w:rPr>
          <w:rStyle w:val="FootnoteReference"/>
          <w:sz w:val="18"/>
          <w:vertAlign w:val="baseline"/>
        </w:rPr>
        <w:t>Rahuman</w:t>
      </w:r>
      <w:proofErr w:type="spellEnd"/>
      <w:r w:rsidRPr="005E5BFF">
        <w:rPr>
          <w:rStyle w:val="FootnoteReference"/>
          <w:sz w:val="18"/>
          <w:vertAlign w:val="baseline"/>
        </w:rPr>
        <w:t xml:space="preserve"> et al., 2000 and UNEP, 2004</w:t>
      </w:r>
      <w:r>
        <w:rPr>
          <w:rStyle w:val="FootnoteReference"/>
          <w:sz w:val="18"/>
          <w:vertAlign w:val="baseline"/>
        </w:rPr>
        <w:t>a</w:t>
      </w:r>
      <w:r w:rsidRPr="005E5BFF">
        <w:rPr>
          <w:rStyle w:val="FootnoteReference"/>
          <w:sz w:val="18"/>
          <w:vertAlign w:val="baseline"/>
        </w:rPr>
        <w:t>.</w:t>
      </w:r>
      <w:r>
        <w:t xml:space="preserve"> </w:t>
      </w:r>
    </w:p>
  </w:footnote>
  <w:footnote w:id="107">
    <w:p w:rsidR="009E7C50" w:rsidRPr="001763B3" w:rsidRDefault="009E7C50" w:rsidP="00FA3FE1">
      <w:pPr>
        <w:pStyle w:val="FootnoteText"/>
        <w:tabs>
          <w:tab w:val="clear" w:pos="1247"/>
          <w:tab w:val="left" w:pos="1134"/>
        </w:tabs>
        <w:ind w:left="1134"/>
        <w:rPr>
          <w:rStyle w:val="FootnoteReference"/>
          <w:sz w:val="18"/>
          <w:lang w:val="es-ES"/>
        </w:rPr>
      </w:pPr>
      <w:r w:rsidRPr="0030027B">
        <w:rPr>
          <w:rStyle w:val="FootnoteReference"/>
          <w:lang w:val="es-ES"/>
        </w:rPr>
        <w:t>107</w:t>
      </w:r>
      <w:r w:rsidRPr="00605389">
        <w:rPr>
          <w:lang w:val="es-ES"/>
        </w:rPr>
        <w:t xml:space="preserve"> </w:t>
      </w:r>
      <w:proofErr w:type="spellStart"/>
      <w:r w:rsidRPr="00605389">
        <w:rPr>
          <w:rStyle w:val="FootnoteReference"/>
          <w:sz w:val="18"/>
          <w:vertAlign w:val="baseline"/>
          <w:lang w:val="es-ES"/>
        </w:rPr>
        <w:t>See</w:t>
      </w:r>
      <w:proofErr w:type="spellEnd"/>
      <w:r w:rsidRPr="00605389">
        <w:rPr>
          <w:rStyle w:val="FootnoteReference"/>
          <w:sz w:val="18"/>
          <w:vertAlign w:val="baseline"/>
          <w:lang w:val="es-ES"/>
        </w:rPr>
        <w:t xml:space="preserve"> CMPS&amp;F – </w:t>
      </w:r>
      <w:proofErr w:type="spellStart"/>
      <w:r w:rsidRPr="00605389">
        <w:rPr>
          <w:rStyle w:val="FootnoteReference"/>
          <w:sz w:val="18"/>
          <w:vertAlign w:val="baseline"/>
          <w:lang w:val="es-ES"/>
        </w:rPr>
        <w:t>Environment</w:t>
      </w:r>
      <w:proofErr w:type="spellEnd"/>
      <w:r w:rsidRPr="00605389">
        <w:rPr>
          <w:rStyle w:val="FootnoteReference"/>
          <w:sz w:val="18"/>
          <w:vertAlign w:val="baseline"/>
          <w:lang w:val="es-ES"/>
        </w:rPr>
        <w:t xml:space="preserve"> Australia, 1997 and UNEP, 2004</w:t>
      </w:r>
      <w:r w:rsidRPr="00605389">
        <w:rPr>
          <w:lang w:val="es-ES"/>
        </w:rPr>
        <w:t>a</w:t>
      </w:r>
      <w:r w:rsidRPr="00605389">
        <w:rPr>
          <w:rStyle w:val="FootnoteReference"/>
          <w:sz w:val="18"/>
          <w:vertAlign w:val="baseline"/>
          <w:lang w:val="es-ES"/>
        </w:rPr>
        <w:t>.</w:t>
      </w:r>
      <w:r w:rsidRPr="00605389">
        <w:rPr>
          <w:lang w:val="es-ES"/>
        </w:rPr>
        <w:t xml:space="preserve"> </w:t>
      </w:r>
    </w:p>
  </w:footnote>
  <w:footnote w:id="108">
    <w:p w:rsidR="009E7C50" w:rsidRPr="006149BF" w:rsidRDefault="009E7C50" w:rsidP="00FA3FE1">
      <w:pPr>
        <w:pStyle w:val="FootnoteText"/>
        <w:tabs>
          <w:tab w:val="clear" w:pos="1247"/>
          <w:tab w:val="left" w:pos="1134"/>
        </w:tabs>
        <w:ind w:left="1134"/>
        <w:rPr>
          <w:rStyle w:val="FootnoteReference"/>
          <w:sz w:val="18"/>
          <w:lang w:val="es-ES"/>
        </w:rPr>
      </w:pPr>
      <w:r w:rsidRPr="006149BF">
        <w:rPr>
          <w:rStyle w:val="FootnoteReference"/>
          <w:lang w:val="es-ES"/>
        </w:rPr>
        <w:t>108</w:t>
      </w:r>
      <w:r w:rsidRPr="006149BF">
        <w:rPr>
          <w:lang w:val="es-ES"/>
        </w:rPr>
        <w:t xml:space="preserve"> </w:t>
      </w:r>
      <w:r w:rsidRPr="006149BF">
        <w:rPr>
          <w:i/>
          <w:lang w:val="es-ES"/>
        </w:rPr>
        <w:t>Ibid</w:t>
      </w:r>
      <w:r w:rsidRPr="006149BF">
        <w:rPr>
          <w:rStyle w:val="FootnoteReference"/>
          <w:sz w:val="18"/>
          <w:vertAlign w:val="baseline"/>
          <w:lang w:val="es-ES"/>
        </w:rPr>
        <w:t>.</w:t>
      </w:r>
    </w:p>
  </w:footnote>
  <w:footnote w:id="109">
    <w:p w:rsidR="009E7C50" w:rsidRDefault="009E7C50" w:rsidP="00FA3FE1">
      <w:pPr>
        <w:pStyle w:val="FootnoteText"/>
        <w:tabs>
          <w:tab w:val="clear" w:pos="1247"/>
          <w:tab w:val="left" w:pos="1134"/>
        </w:tabs>
        <w:ind w:left="1134"/>
        <w:rPr>
          <w:rStyle w:val="FootnoteReference"/>
        </w:rPr>
      </w:pPr>
      <w:r>
        <w:rPr>
          <w:rStyle w:val="FootnoteReference"/>
        </w:rPr>
        <w:t>109</w:t>
      </w:r>
      <w:r w:rsidRPr="005E5BFF">
        <w:rPr>
          <w:rStyle w:val="FootnoteReference"/>
          <w:sz w:val="18"/>
        </w:rPr>
        <w:t xml:space="preserve"> </w:t>
      </w:r>
      <w:r w:rsidRPr="00CF284D">
        <w:rPr>
          <w:i/>
        </w:rPr>
        <w:t xml:space="preserve">Ibid </w:t>
      </w:r>
      <w:r w:rsidRPr="00CF284D">
        <w:t>107</w:t>
      </w:r>
      <w:r w:rsidRPr="00CF284D">
        <w:rPr>
          <w:rStyle w:val="FootnoteReference"/>
          <w:sz w:val="18"/>
          <w:vertAlign w:val="baseline"/>
        </w:rPr>
        <w:t>.</w:t>
      </w:r>
    </w:p>
  </w:footnote>
  <w:footnote w:id="110">
    <w:p w:rsidR="009E7C50" w:rsidRDefault="009E7C50" w:rsidP="00FA3FE1">
      <w:pPr>
        <w:pStyle w:val="FootnoteText"/>
        <w:tabs>
          <w:tab w:val="clear" w:pos="1247"/>
          <w:tab w:val="left" w:pos="1134"/>
        </w:tabs>
        <w:ind w:left="1134"/>
        <w:rPr>
          <w:szCs w:val="18"/>
        </w:rPr>
      </w:pPr>
      <w:r>
        <w:rPr>
          <w:rStyle w:val="FootnoteReference"/>
        </w:rPr>
        <w:t>110</w:t>
      </w:r>
      <w:r w:rsidRPr="00CF592C">
        <w:rPr>
          <w:szCs w:val="18"/>
        </w:rPr>
        <w:t xml:space="preserve"> See CMPS&amp;F – Environment Australia, 1997.</w:t>
      </w:r>
    </w:p>
  </w:footnote>
  <w:footnote w:id="111">
    <w:p w:rsidR="009E7C50" w:rsidRDefault="009E7C50" w:rsidP="00FA3FE1">
      <w:pPr>
        <w:pStyle w:val="FootnoteText"/>
        <w:tabs>
          <w:tab w:val="clear" w:pos="1247"/>
          <w:tab w:val="left" w:pos="1134"/>
        </w:tabs>
        <w:ind w:left="1134"/>
        <w:rPr>
          <w:rStyle w:val="FootnoteReference"/>
          <w:sz w:val="18"/>
        </w:rPr>
      </w:pPr>
      <w:r>
        <w:rPr>
          <w:rStyle w:val="FootnoteReference"/>
        </w:rPr>
        <w:t>111</w:t>
      </w:r>
      <w:r w:rsidRPr="005E5BFF">
        <w:rPr>
          <w:rStyle w:val="FootnoteReference"/>
          <w:sz w:val="18"/>
        </w:rPr>
        <w:t xml:space="preserve"> </w:t>
      </w:r>
      <w:r w:rsidRPr="005E5BFF">
        <w:t>See CMPS&amp;F – Environment Australia, 1997 and UNEP, 2004</w:t>
      </w:r>
      <w:r>
        <w:t>a</w:t>
      </w:r>
      <w:r w:rsidRPr="005E5BFF">
        <w:t>.</w:t>
      </w:r>
    </w:p>
  </w:footnote>
  <w:footnote w:id="112">
    <w:p w:rsidR="009E7C50" w:rsidRDefault="009E7C50" w:rsidP="00FA3FE1">
      <w:pPr>
        <w:pStyle w:val="FootnoteText"/>
        <w:tabs>
          <w:tab w:val="clear" w:pos="1247"/>
          <w:tab w:val="left" w:pos="1134"/>
        </w:tabs>
        <w:ind w:left="1134"/>
        <w:rPr>
          <w:rStyle w:val="FootnoteReference"/>
          <w:sz w:val="18"/>
        </w:rPr>
      </w:pPr>
      <w:r>
        <w:rPr>
          <w:rStyle w:val="FootnoteReference"/>
        </w:rPr>
        <w:t>112</w:t>
      </w:r>
      <w:r w:rsidRPr="005E5BFF">
        <w:rPr>
          <w:rStyle w:val="FootnoteReference"/>
          <w:sz w:val="18"/>
        </w:rPr>
        <w:t xml:space="preserve"> </w:t>
      </w:r>
      <w:r w:rsidRPr="005E5BFF">
        <w:t>See UNEP, 2004</w:t>
      </w:r>
      <w:r>
        <w:t>a</w:t>
      </w:r>
      <w:r w:rsidRPr="005E5BFF">
        <w:t>.</w:t>
      </w:r>
    </w:p>
  </w:footnote>
  <w:footnote w:id="113">
    <w:p w:rsidR="009E7C50" w:rsidRDefault="009E7C50" w:rsidP="00FA3FE1">
      <w:pPr>
        <w:pStyle w:val="FootnoteText"/>
        <w:tabs>
          <w:tab w:val="clear" w:pos="1247"/>
          <w:tab w:val="left" w:pos="1134"/>
        </w:tabs>
        <w:ind w:left="1134"/>
        <w:rPr>
          <w:rStyle w:val="FootnoteReference"/>
          <w:sz w:val="18"/>
        </w:rPr>
      </w:pPr>
      <w:r>
        <w:rPr>
          <w:rStyle w:val="FootnoteReference"/>
        </w:rPr>
        <w:t>113</w:t>
      </w:r>
      <w:r w:rsidRPr="005E5BFF">
        <w:rPr>
          <w:rStyle w:val="FootnoteReference"/>
          <w:sz w:val="18"/>
        </w:rPr>
        <w:t xml:space="preserve"> </w:t>
      </w:r>
      <w:r w:rsidRPr="005E5BFF">
        <w:t>See CMPS&amp;F – Environment Australia, 1997 and UNEP, 2004</w:t>
      </w:r>
      <w:r>
        <w:t>a</w:t>
      </w:r>
      <w:r w:rsidRPr="005E5BFF">
        <w:t>.</w:t>
      </w:r>
    </w:p>
  </w:footnote>
  <w:footnote w:id="114">
    <w:p w:rsidR="009E7C50" w:rsidRDefault="009E7C50" w:rsidP="00FA3FE1">
      <w:pPr>
        <w:pStyle w:val="FootnoteText"/>
        <w:tabs>
          <w:tab w:val="clear" w:pos="1247"/>
          <w:tab w:val="left" w:pos="1134"/>
        </w:tabs>
        <w:ind w:left="1134"/>
        <w:rPr>
          <w:rStyle w:val="FootnoteReference"/>
          <w:sz w:val="18"/>
        </w:rPr>
      </w:pPr>
      <w:r>
        <w:rPr>
          <w:rStyle w:val="FootnoteReference"/>
        </w:rPr>
        <w:t>114</w:t>
      </w:r>
      <w:r w:rsidRPr="005E5BFF">
        <w:rPr>
          <w:rStyle w:val="FootnoteReference"/>
          <w:sz w:val="18"/>
        </w:rPr>
        <w:t xml:space="preserve"> </w:t>
      </w:r>
      <w:r w:rsidRPr="00405DFE">
        <w:rPr>
          <w:i/>
        </w:rPr>
        <w:t>Ibid</w:t>
      </w:r>
      <w:r w:rsidRPr="005E5BFF">
        <w:t>.</w:t>
      </w:r>
    </w:p>
  </w:footnote>
  <w:footnote w:id="115">
    <w:p w:rsidR="009E7C50" w:rsidRDefault="009E7C50" w:rsidP="00FA3FE1">
      <w:pPr>
        <w:pStyle w:val="FootnoteText"/>
        <w:tabs>
          <w:tab w:val="clear" w:pos="1247"/>
          <w:tab w:val="left" w:pos="1134"/>
        </w:tabs>
        <w:ind w:left="1134"/>
        <w:rPr>
          <w:rStyle w:val="FootnoteReference"/>
          <w:sz w:val="18"/>
          <w:lang w:val="pt-PT"/>
        </w:rPr>
      </w:pPr>
      <w:r>
        <w:rPr>
          <w:rStyle w:val="FootnoteReference"/>
        </w:rPr>
        <w:t>115</w:t>
      </w:r>
      <w:r w:rsidRPr="005E5BFF">
        <w:rPr>
          <w:rStyle w:val="FootnoteReference"/>
          <w:sz w:val="18"/>
          <w:lang w:val="pt-PT"/>
        </w:rPr>
        <w:t xml:space="preserve"> </w:t>
      </w:r>
      <w:r w:rsidRPr="005E5BFF">
        <w:t xml:space="preserve">Additional information is available from CMPS&amp;F – Environment Australia, 1997; Costner et al., 1998; </w:t>
      </w:r>
      <w:proofErr w:type="spellStart"/>
      <w:r w:rsidRPr="005E5BFF">
        <w:t>Rahuman</w:t>
      </w:r>
      <w:proofErr w:type="spellEnd"/>
      <w:r w:rsidRPr="005E5BFF">
        <w:t xml:space="preserve"> et al., 2000; UNEP, 2001</w:t>
      </w:r>
      <w:r>
        <w:t>;</w:t>
      </w:r>
      <w:r w:rsidRPr="005E5BFF">
        <w:t xml:space="preserve"> and UNEP, 2004</w:t>
      </w:r>
      <w:r>
        <w:t>a</w:t>
      </w:r>
      <w:r w:rsidRPr="005E5BFF">
        <w:t>.</w:t>
      </w:r>
    </w:p>
  </w:footnote>
  <w:footnote w:id="116">
    <w:p w:rsidR="009E7C50" w:rsidRDefault="009E7C50" w:rsidP="00FA3FE1">
      <w:pPr>
        <w:pStyle w:val="FootnoteText"/>
        <w:tabs>
          <w:tab w:val="clear" w:pos="1247"/>
          <w:tab w:val="left" w:pos="1134"/>
        </w:tabs>
        <w:ind w:left="1134"/>
        <w:rPr>
          <w:rStyle w:val="FootnoteReference"/>
          <w:sz w:val="18"/>
        </w:rPr>
      </w:pPr>
      <w:r>
        <w:rPr>
          <w:rStyle w:val="FootnoteReference"/>
        </w:rPr>
        <w:t>116</w:t>
      </w:r>
      <w:r w:rsidRPr="005E5BFF">
        <w:rPr>
          <w:rStyle w:val="FootnoteReference"/>
          <w:sz w:val="18"/>
        </w:rPr>
        <w:t xml:space="preserve"> </w:t>
      </w:r>
      <w:proofErr w:type="gramStart"/>
      <w:r w:rsidRPr="005E5BFF">
        <w:t xml:space="preserve">See CMPS&amp;F – Environment Australia, 1997; </w:t>
      </w:r>
      <w:proofErr w:type="spellStart"/>
      <w:r w:rsidRPr="005E5BFF">
        <w:t>Rahuman</w:t>
      </w:r>
      <w:proofErr w:type="spellEnd"/>
      <w:r w:rsidRPr="005E5BFF">
        <w:t xml:space="preserve"> et al., 2000</w:t>
      </w:r>
      <w:r>
        <w:t>;</w:t>
      </w:r>
      <w:r w:rsidRPr="005E5BFF">
        <w:t xml:space="preserve"> and </w:t>
      </w:r>
      <w:proofErr w:type="spellStart"/>
      <w:r w:rsidRPr="005E5BFF">
        <w:t>Vijgen</w:t>
      </w:r>
      <w:proofErr w:type="spellEnd"/>
      <w:r w:rsidRPr="005E5BFF">
        <w:t>, 2002.</w:t>
      </w:r>
      <w:proofErr w:type="gramEnd"/>
    </w:p>
  </w:footnote>
  <w:footnote w:id="117">
    <w:p w:rsidR="009E7C50" w:rsidRDefault="009E7C50" w:rsidP="00053A2C">
      <w:pPr>
        <w:pStyle w:val="FootnoteText"/>
        <w:tabs>
          <w:tab w:val="clear" w:pos="1247"/>
          <w:tab w:val="left" w:pos="1134"/>
        </w:tabs>
        <w:ind w:left="1134"/>
        <w:rPr>
          <w:rStyle w:val="FootnoteReference"/>
          <w:sz w:val="18"/>
        </w:rPr>
      </w:pPr>
      <w:r>
        <w:rPr>
          <w:rStyle w:val="FootnoteReference"/>
        </w:rPr>
        <w:t>117</w:t>
      </w:r>
      <w:r w:rsidRPr="005E5BFF">
        <w:rPr>
          <w:rStyle w:val="FootnoteReference"/>
          <w:sz w:val="18"/>
        </w:rPr>
        <w:t xml:space="preserve"> </w:t>
      </w:r>
      <w:r>
        <w:t>See UNEP, 2004a</w:t>
      </w:r>
      <w:r w:rsidRPr="005E5BFF">
        <w:t>.</w:t>
      </w:r>
    </w:p>
  </w:footnote>
  <w:footnote w:id="118">
    <w:p w:rsidR="009E7C50" w:rsidRDefault="009E7C50" w:rsidP="00FA3FE1">
      <w:pPr>
        <w:pStyle w:val="FootnoteText"/>
        <w:tabs>
          <w:tab w:val="clear" w:pos="1247"/>
          <w:tab w:val="left" w:pos="1134"/>
        </w:tabs>
        <w:ind w:left="1134"/>
        <w:rPr>
          <w:rStyle w:val="FootnoteReference"/>
        </w:rPr>
      </w:pPr>
      <w:r>
        <w:rPr>
          <w:rStyle w:val="FootnoteReference"/>
        </w:rPr>
        <w:t>118</w:t>
      </w:r>
      <w:r w:rsidRPr="005E5BFF">
        <w:rPr>
          <w:rStyle w:val="FootnoteReference"/>
          <w:sz w:val="18"/>
        </w:rPr>
        <w:t xml:space="preserve"> </w:t>
      </w:r>
      <w:proofErr w:type="gramStart"/>
      <w:r w:rsidRPr="005E5BFF">
        <w:t xml:space="preserve">See CMPS&amp;F – Environment Australia, 1997; </w:t>
      </w:r>
      <w:proofErr w:type="spellStart"/>
      <w:r w:rsidRPr="005E5BFF">
        <w:t>Rahuman</w:t>
      </w:r>
      <w:proofErr w:type="spellEnd"/>
      <w:r w:rsidRPr="005E5BFF">
        <w:t xml:space="preserve"> et al., 2000</w:t>
      </w:r>
      <w:r>
        <w:t>;</w:t>
      </w:r>
      <w:r w:rsidRPr="005E5BFF">
        <w:t xml:space="preserve"> and </w:t>
      </w:r>
      <w:proofErr w:type="spellStart"/>
      <w:r w:rsidRPr="005E5BFF">
        <w:t>Vijgen</w:t>
      </w:r>
      <w:proofErr w:type="spellEnd"/>
      <w:r w:rsidRPr="005E5BFF">
        <w:t>, 2002.</w:t>
      </w:r>
      <w:proofErr w:type="gramEnd"/>
    </w:p>
  </w:footnote>
  <w:footnote w:id="119">
    <w:p w:rsidR="009E7C50" w:rsidRDefault="009E7C50" w:rsidP="00FA3FE1">
      <w:pPr>
        <w:pStyle w:val="FootnoteText"/>
        <w:tabs>
          <w:tab w:val="clear" w:pos="1247"/>
          <w:tab w:val="left" w:pos="1134"/>
        </w:tabs>
        <w:ind w:left="1134"/>
        <w:rPr>
          <w:rStyle w:val="FootnoteReference"/>
          <w:sz w:val="18"/>
        </w:rPr>
      </w:pPr>
      <w:r>
        <w:rPr>
          <w:rStyle w:val="FootnoteReference"/>
        </w:rPr>
        <w:t>119</w:t>
      </w:r>
      <w:r w:rsidRPr="005E5BFF">
        <w:rPr>
          <w:rStyle w:val="FootnoteReference"/>
          <w:sz w:val="18"/>
        </w:rPr>
        <w:t xml:space="preserve"> </w:t>
      </w:r>
      <w:r w:rsidRPr="00FA3FE1">
        <w:t>See</w:t>
      </w:r>
      <w:r w:rsidRPr="005E5BFF">
        <w:rPr>
          <w:rStyle w:val="FootnoteReference"/>
          <w:sz w:val="18"/>
          <w:vertAlign w:val="baseline"/>
        </w:rPr>
        <w:t xml:space="preserve"> CMPS&amp;F – Environment Australia, 1997.</w:t>
      </w:r>
    </w:p>
  </w:footnote>
  <w:footnote w:id="120">
    <w:p w:rsidR="009E7C50" w:rsidRDefault="009E7C50" w:rsidP="00FA3FE1">
      <w:pPr>
        <w:pStyle w:val="FootnoteText"/>
        <w:tabs>
          <w:tab w:val="clear" w:pos="1247"/>
          <w:tab w:val="left" w:pos="1134"/>
        </w:tabs>
        <w:ind w:left="1134"/>
        <w:rPr>
          <w:rStyle w:val="FootnoteReference"/>
          <w:sz w:val="18"/>
        </w:rPr>
      </w:pPr>
      <w:r>
        <w:rPr>
          <w:rStyle w:val="FootnoteReference"/>
        </w:rPr>
        <w:t>120</w:t>
      </w:r>
      <w:r w:rsidRPr="005E5BFF">
        <w:rPr>
          <w:rStyle w:val="FootnoteReference"/>
          <w:sz w:val="18"/>
        </w:rPr>
        <w:t xml:space="preserve"> </w:t>
      </w:r>
      <w:r w:rsidRPr="00FA3FE1">
        <w:t>See</w:t>
      </w:r>
      <w:r w:rsidRPr="005E5BFF">
        <w:rPr>
          <w:rStyle w:val="FootnoteReference"/>
          <w:sz w:val="18"/>
          <w:vertAlign w:val="baseline"/>
        </w:rPr>
        <w:t xml:space="preserve"> CMPS&amp;F – Environment Australia, 1997 and UNEP, 2004</w:t>
      </w:r>
      <w:r>
        <w:t>a</w:t>
      </w:r>
      <w:r w:rsidRPr="005E5BFF">
        <w:rPr>
          <w:rStyle w:val="FootnoteReference"/>
          <w:sz w:val="18"/>
          <w:vertAlign w:val="baseline"/>
        </w:rPr>
        <w:t>.</w:t>
      </w:r>
    </w:p>
  </w:footnote>
  <w:footnote w:id="121">
    <w:p w:rsidR="009E7C50" w:rsidRDefault="009E7C50" w:rsidP="00FA3FE1">
      <w:pPr>
        <w:pStyle w:val="FootnoteText"/>
        <w:tabs>
          <w:tab w:val="clear" w:pos="1247"/>
          <w:tab w:val="left" w:pos="1134"/>
        </w:tabs>
        <w:ind w:left="1134"/>
        <w:rPr>
          <w:rStyle w:val="FootnoteReference"/>
          <w:sz w:val="18"/>
        </w:rPr>
      </w:pPr>
      <w:r>
        <w:rPr>
          <w:rStyle w:val="FootnoteReference"/>
        </w:rPr>
        <w:t>121</w:t>
      </w:r>
      <w:r w:rsidRPr="005E5BFF">
        <w:rPr>
          <w:rStyle w:val="FootnoteReference"/>
          <w:sz w:val="18"/>
        </w:rPr>
        <w:t xml:space="preserve"> </w:t>
      </w:r>
      <w:r w:rsidRPr="00FA3FE1">
        <w:t>See</w:t>
      </w:r>
      <w:r w:rsidRPr="005E5BFF">
        <w:rPr>
          <w:rStyle w:val="FootnoteReference"/>
          <w:sz w:val="18"/>
          <w:vertAlign w:val="baseline"/>
        </w:rPr>
        <w:t xml:space="preserve"> UNEP, 2004</w:t>
      </w:r>
      <w:r>
        <w:rPr>
          <w:rStyle w:val="FootnoteReference"/>
          <w:sz w:val="18"/>
          <w:vertAlign w:val="baseline"/>
        </w:rPr>
        <w:t>a</w:t>
      </w:r>
      <w:r w:rsidRPr="005E5BFF">
        <w:rPr>
          <w:rStyle w:val="FootnoteReference"/>
          <w:sz w:val="18"/>
          <w:vertAlign w:val="baseline"/>
        </w:rPr>
        <w:t>.</w:t>
      </w:r>
    </w:p>
  </w:footnote>
  <w:footnote w:id="122">
    <w:p w:rsidR="009E7C50" w:rsidRDefault="009E7C50" w:rsidP="00FA3FE1">
      <w:pPr>
        <w:pStyle w:val="FootnoteText"/>
        <w:tabs>
          <w:tab w:val="clear" w:pos="1247"/>
          <w:tab w:val="left" w:pos="1134"/>
        </w:tabs>
        <w:ind w:left="1134"/>
        <w:rPr>
          <w:rStyle w:val="FootnoteReference"/>
          <w:sz w:val="18"/>
        </w:rPr>
      </w:pPr>
      <w:r>
        <w:rPr>
          <w:rStyle w:val="FootnoteReference"/>
        </w:rPr>
        <w:t>122</w:t>
      </w:r>
      <w:r w:rsidRPr="005E5BFF">
        <w:rPr>
          <w:rStyle w:val="FootnoteReference"/>
          <w:sz w:val="18"/>
        </w:rPr>
        <w:t xml:space="preserve"> </w:t>
      </w:r>
      <w:r w:rsidRPr="005E5BFF">
        <w:rPr>
          <w:rStyle w:val="FootnoteReference"/>
          <w:sz w:val="18"/>
          <w:vertAlign w:val="baseline"/>
        </w:rPr>
        <w:t xml:space="preserve">See </w:t>
      </w:r>
      <w:proofErr w:type="spellStart"/>
      <w:r w:rsidRPr="00FA3FE1">
        <w:t>Rahuman</w:t>
      </w:r>
      <w:proofErr w:type="spellEnd"/>
      <w:r w:rsidRPr="005E5BFF">
        <w:rPr>
          <w:rStyle w:val="FootnoteReference"/>
          <w:sz w:val="18"/>
          <w:vertAlign w:val="baseline"/>
        </w:rPr>
        <w:t xml:space="preserve"> et al., 2000.</w:t>
      </w:r>
    </w:p>
  </w:footnote>
  <w:footnote w:id="123">
    <w:p w:rsidR="009E7C50" w:rsidRDefault="009E7C50" w:rsidP="00FA3FE1">
      <w:pPr>
        <w:pStyle w:val="FootnoteText"/>
        <w:tabs>
          <w:tab w:val="clear" w:pos="1247"/>
          <w:tab w:val="left" w:pos="1134"/>
        </w:tabs>
        <w:ind w:left="1134"/>
        <w:rPr>
          <w:rStyle w:val="FootnoteReference"/>
          <w:sz w:val="18"/>
        </w:rPr>
      </w:pPr>
      <w:r>
        <w:rPr>
          <w:rStyle w:val="FootnoteReference"/>
        </w:rPr>
        <w:t>123</w:t>
      </w:r>
      <w:r w:rsidRPr="005E5BFF">
        <w:rPr>
          <w:rStyle w:val="FootnoteReference"/>
          <w:sz w:val="18"/>
        </w:rPr>
        <w:t xml:space="preserve"> </w:t>
      </w:r>
      <w:r w:rsidRPr="005E5BFF">
        <w:rPr>
          <w:rStyle w:val="FootnoteReference"/>
          <w:sz w:val="18"/>
          <w:vertAlign w:val="baseline"/>
        </w:rPr>
        <w:t xml:space="preserve">See </w:t>
      </w:r>
      <w:proofErr w:type="spellStart"/>
      <w:r w:rsidRPr="005E5BFF">
        <w:rPr>
          <w:rStyle w:val="FootnoteReference"/>
          <w:sz w:val="18"/>
          <w:vertAlign w:val="baseline"/>
        </w:rPr>
        <w:t>Vijgen</w:t>
      </w:r>
      <w:proofErr w:type="spellEnd"/>
      <w:r w:rsidRPr="005E5BFF">
        <w:rPr>
          <w:rStyle w:val="FootnoteReference"/>
          <w:sz w:val="18"/>
          <w:vertAlign w:val="baseline"/>
        </w:rPr>
        <w:t>, 2002.</w:t>
      </w:r>
    </w:p>
  </w:footnote>
  <w:footnote w:id="124">
    <w:p w:rsidR="009E7C50" w:rsidRDefault="009E7C50" w:rsidP="00FA3FE1">
      <w:pPr>
        <w:pStyle w:val="FootnoteText"/>
        <w:tabs>
          <w:tab w:val="clear" w:pos="1247"/>
          <w:tab w:val="left" w:pos="1134"/>
        </w:tabs>
        <w:ind w:left="1134"/>
        <w:rPr>
          <w:rStyle w:val="FootnoteReference"/>
          <w:sz w:val="18"/>
        </w:rPr>
      </w:pPr>
      <w:r>
        <w:rPr>
          <w:rStyle w:val="FootnoteReference"/>
        </w:rPr>
        <w:t>124</w:t>
      </w:r>
      <w:r w:rsidRPr="005E5BFF">
        <w:rPr>
          <w:rStyle w:val="FootnoteReference"/>
          <w:sz w:val="18"/>
        </w:rPr>
        <w:t xml:space="preserve"> </w:t>
      </w:r>
      <w:r w:rsidRPr="00405DFE">
        <w:rPr>
          <w:i/>
        </w:rPr>
        <w:t>Ibid</w:t>
      </w:r>
      <w:r w:rsidRPr="005E5BFF">
        <w:rPr>
          <w:rStyle w:val="FootnoteReference"/>
          <w:sz w:val="18"/>
          <w:vertAlign w:val="baseline"/>
        </w:rPr>
        <w:t>.</w:t>
      </w:r>
    </w:p>
  </w:footnote>
  <w:footnote w:id="125">
    <w:p w:rsidR="009E7C50" w:rsidRDefault="009E7C50" w:rsidP="00FA3FE1">
      <w:pPr>
        <w:pStyle w:val="FootnoteText"/>
        <w:tabs>
          <w:tab w:val="clear" w:pos="1247"/>
          <w:tab w:val="left" w:pos="1134"/>
        </w:tabs>
        <w:ind w:left="1134"/>
        <w:rPr>
          <w:rStyle w:val="FootnoteReference"/>
          <w:sz w:val="18"/>
        </w:rPr>
      </w:pPr>
      <w:r>
        <w:rPr>
          <w:rStyle w:val="FootnoteReference"/>
        </w:rPr>
        <w:t>125</w:t>
      </w:r>
      <w:r w:rsidRPr="005E5BFF">
        <w:rPr>
          <w:rStyle w:val="FootnoteReference"/>
          <w:sz w:val="18"/>
        </w:rPr>
        <w:t xml:space="preserve"> </w:t>
      </w:r>
      <w:r w:rsidRPr="005E5BFF">
        <w:rPr>
          <w:rStyle w:val="FootnoteReference"/>
          <w:sz w:val="18"/>
          <w:vertAlign w:val="baseline"/>
        </w:rPr>
        <w:t>See UNEP, 2004</w:t>
      </w:r>
      <w:r>
        <w:t>a</w:t>
      </w:r>
      <w:r w:rsidRPr="005E5BFF">
        <w:rPr>
          <w:rStyle w:val="FootnoteReference"/>
          <w:sz w:val="18"/>
          <w:vertAlign w:val="baseline"/>
        </w:rPr>
        <w:t xml:space="preserve"> and </w:t>
      </w:r>
      <w:proofErr w:type="spellStart"/>
      <w:r w:rsidRPr="005E5BFF">
        <w:rPr>
          <w:rStyle w:val="FootnoteReference"/>
          <w:sz w:val="18"/>
          <w:vertAlign w:val="baseline"/>
        </w:rPr>
        <w:t>Vijgen</w:t>
      </w:r>
      <w:proofErr w:type="spellEnd"/>
      <w:r w:rsidRPr="005E5BFF">
        <w:rPr>
          <w:rStyle w:val="FootnoteReference"/>
          <w:sz w:val="18"/>
          <w:vertAlign w:val="baseline"/>
        </w:rPr>
        <w:t>, 2004.</w:t>
      </w:r>
    </w:p>
  </w:footnote>
  <w:footnote w:id="126">
    <w:p w:rsidR="009E7C50" w:rsidRDefault="009E7C50" w:rsidP="00FA3FE1">
      <w:pPr>
        <w:pStyle w:val="FootnoteText"/>
        <w:tabs>
          <w:tab w:val="clear" w:pos="1247"/>
          <w:tab w:val="left" w:pos="1134"/>
        </w:tabs>
        <w:ind w:left="1134"/>
        <w:rPr>
          <w:rStyle w:val="FootnoteReference"/>
          <w:sz w:val="18"/>
        </w:rPr>
      </w:pPr>
      <w:r>
        <w:rPr>
          <w:rStyle w:val="FootnoteReference"/>
        </w:rPr>
        <w:t>126</w:t>
      </w:r>
      <w:r w:rsidRPr="005E5BFF">
        <w:rPr>
          <w:rStyle w:val="FootnoteReference"/>
          <w:sz w:val="18"/>
        </w:rPr>
        <w:t xml:space="preserve"> </w:t>
      </w:r>
      <w:r w:rsidRPr="005E5BFF">
        <w:rPr>
          <w:rStyle w:val="FootnoteReference"/>
          <w:sz w:val="18"/>
          <w:vertAlign w:val="baseline"/>
        </w:rPr>
        <w:t>See CMPS&amp;F – Environment Australia, 1997.</w:t>
      </w:r>
    </w:p>
  </w:footnote>
  <w:footnote w:id="127">
    <w:p w:rsidR="009E7C50" w:rsidRPr="001763B3" w:rsidRDefault="009E7C50" w:rsidP="00FA3FE1">
      <w:pPr>
        <w:pStyle w:val="FootnoteText"/>
        <w:tabs>
          <w:tab w:val="clear" w:pos="1247"/>
          <w:tab w:val="left" w:pos="1134"/>
        </w:tabs>
        <w:ind w:left="1134"/>
        <w:rPr>
          <w:rStyle w:val="FootnoteReference"/>
          <w:sz w:val="18"/>
          <w:lang w:val="es-ES"/>
        </w:rPr>
      </w:pPr>
      <w:r w:rsidRPr="00CA3B2C">
        <w:rPr>
          <w:rStyle w:val="FootnoteReference"/>
          <w:lang w:val="es-ES"/>
        </w:rPr>
        <w:t>127</w:t>
      </w:r>
      <w:r w:rsidRPr="00605389">
        <w:rPr>
          <w:rStyle w:val="FootnoteReference"/>
          <w:sz w:val="18"/>
          <w:lang w:val="es-ES"/>
        </w:rPr>
        <w:t xml:space="preserve"> </w:t>
      </w:r>
      <w:proofErr w:type="spellStart"/>
      <w:r w:rsidRPr="00605389">
        <w:rPr>
          <w:rStyle w:val="FootnoteReference"/>
          <w:sz w:val="18"/>
          <w:vertAlign w:val="baseline"/>
          <w:lang w:val="es-ES"/>
        </w:rPr>
        <w:t>See</w:t>
      </w:r>
      <w:proofErr w:type="spellEnd"/>
      <w:r w:rsidRPr="00605389">
        <w:rPr>
          <w:rStyle w:val="FootnoteReference"/>
          <w:sz w:val="18"/>
          <w:vertAlign w:val="baseline"/>
          <w:lang w:val="es-ES"/>
        </w:rPr>
        <w:t xml:space="preserve"> UNEP, 2004</w:t>
      </w:r>
      <w:r w:rsidRPr="00605389">
        <w:rPr>
          <w:lang w:val="es-ES"/>
        </w:rPr>
        <w:t>a</w:t>
      </w:r>
      <w:r w:rsidRPr="00605389">
        <w:rPr>
          <w:rStyle w:val="FootnoteReference"/>
          <w:sz w:val="18"/>
          <w:vertAlign w:val="baseline"/>
          <w:lang w:val="es-ES"/>
        </w:rPr>
        <w:t xml:space="preserve"> and </w:t>
      </w:r>
      <w:proofErr w:type="spellStart"/>
      <w:r w:rsidRPr="00605389">
        <w:rPr>
          <w:rStyle w:val="FootnoteReference"/>
          <w:sz w:val="18"/>
          <w:vertAlign w:val="baseline"/>
          <w:lang w:val="es-ES"/>
        </w:rPr>
        <w:t>Vijgen</w:t>
      </w:r>
      <w:proofErr w:type="spellEnd"/>
      <w:r w:rsidRPr="00605389">
        <w:rPr>
          <w:rStyle w:val="FootnoteReference"/>
          <w:sz w:val="18"/>
          <w:vertAlign w:val="baseline"/>
          <w:lang w:val="es-ES"/>
        </w:rPr>
        <w:t>, 2002.</w:t>
      </w:r>
    </w:p>
  </w:footnote>
  <w:footnote w:id="128">
    <w:p w:rsidR="009E7C50" w:rsidRPr="006149BF" w:rsidRDefault="009E7C50" w:rsidP="00FA3FE1">
      <w:pPr>
        <w:pStyle w:val="FootnoteText"/>
        <w:tabs>
          <w:tab w:val="clear" w:pos="1247"/>
          <w:tab w:val="left" w:pos="1134"/>
        </w:tabs>
        <w:ind w:left="1134"/>
        <w:rPr>
          <w:rStyle w:val="FootnoteReference"/>
          <w:lang w:val="es-ES"/>
        </w:rPr>
      </w:pPr>
      <w:r w:rsidRPr="006149BF">
        <w:rPr>
          <w:rStyle w:val="FootnoteReference"/>
          <w:lang w:val="es-ES"/>
        </w:rPr>
        <w:t>128</w:t>
      </w:r>
      <w:r w:rsidRPr="006149BF">
        <w:rPr>
          <w:rStyle w:val="FootnoteReference"/>
          <w:sz w:val="18"/>
          <w:lang w:val="es-ES"/>
        </w:rPr>
        <w:t xml:space="preserve"> </w:t>
      </w:r>
      <w:r w:rsidRPr="006149BF">
        <w:rPr>
          <w:i/>
          <w:lang w:val="es-ES"/>
        </w:rPr>
        <w:t>Ibid</w:t>
      </w:r>
      <w:r w:rsidRPr="006149BF">
        <w:rPr>
          <w:rStyle w:val="FootnoteReference"/>
          <w:sz w:val="18"/>
          <w:vertAlign w:val="baseline"/>
          <w:lang w:val="es-ES"/>
        </w:rPr>
        <w:t>.</w:t>
      </w:r>
    </w:p>
  </w:footnote>
  <w:footnote w:id="129">
    <w:p w:rsidR="009E7C50" w:rsidRPr="00832E8C" w:rsidRDefault="009E7C50" w:rsidP="00FA3FE1">
      <w:pPr>
        <w:pStyle w:val="FootnoteText"/>
        <w:tabs>
          <w:tab w:val="clear" w:pos="1247"/>
          <w:tab w:val="left" w:pos="1134"/>
        </w:tabs>
        <w:ind w:left="1134"/>
        <w:rPr>
          <w:rStyle w:val="FootnoteReference"/>
          <w:sz w:val="18"/>
        </w:rPr>
      </w:pPr>
      <w:r>
        <w:rPr>
          <w:rStyle w:val="FootnoteReference"/>
        </w:rPr>
        <w:t>129</w:t>
      </w:r>
      <w:r w:rsidRPr="00D3672D">
        <w:rPr>
          <w:szCs w:val="18"/>
        </w:rPr>
        <w:t xml:space="preserve"> </w:t>
      </w:r>
      <w:r w:rsidRPr="00FA3FE1">
        <w:t>Further</w:t>
      </w:r>
      <w:r w:rsidRPr="00D3672D">
        <w:rPr>
          <w:rStyle w:val="FootnoteReference"/>
          <w:sz w:val="18"/>
          <w:vertAlign w:val="baseline"/>
        </w:rPr>
        <w:t xml:space="preserve"> information is available </w:t>
      </w:r>
      <w:r>
        <w:rPr>
          <w:rStyle w:val="FootnoteReference"/>
          <w:sz w:val="18"/>
          <w:vertAlign w:val="baseline"/>
        </w:rPr>
        <w:t xml:space="preserve">in </w:t>
      </w:r>
      <w:r w:rsidRPr="00D3672D">
        <w:rPr>
          <w:rStyle w:val="FootnoteReference"/>
          <w:sz w:val="18"/>
          <w:vertAlign w:val="baseline"/>
        </w:rPr>
        <w:t>UNEP, 1995</w:t>
      </w:r>
      <w:r>
        <w:rPr>
          <w:rStyle w:val="FootnoteReference"/>
          <w:sz w:val="18"/>
          <w:vertAlign w:val="baseline"/>
        </w:rPr>
        <w:t>c</w:t>
      </w:r>
      <w:r w:rsidRPr="00D3672D">
        <w:rPr>
          <w:rStyle w:val="FootnoteReference"/>
          <w:sz w:val="18"/>
          <w:vertAlign w:val="baseline"/>
        </w:rPr>
        <w:t xml:space="preserve">, and </w:t>
      </w:r>
      <w:r>
        <w:rPr>
          <w:rStyle w:val="FootnoteReference"/>
          <w:sz w:val="18"/>
          <w:vertAlign w:val="baseline"/>
        </w:rPr>
        <w:t xml:space="preserve">in </w:t>
      </w:r>
      <w:r w:rsidRPr="00D3672D">
        <w:rPr>
          <w:rStyle w:val="FootnoteReference"/>
          <w:sz w:val="18"/>
          <w:vertAlign w:val="baseline"/>
        </w:rPr>
        <w:t>pertinent national legislation</w:t>
      </w:r>
      <w:r>
        <w:rPr>
          <w:rStyle w:val="FootnoteReference"/>
          <w:sz w:val="18"/>
          <w:vertAlign w:val="baseline"/>
        </w:rPr>
        <w:t xml:space="preserve">, </w:t>
      </w:r>
      <w:r w:rsidRPr="00D3672D">
        <w:rPr>
          <w:rStyle w:val="FootnoteReference"/>
          <w:sz w:val="18"/>
          <w:vertAlign w:val="baseline"/>
        </w:rPr>
        <w:t xml:space="preserve">such as </w:t>
      </w:r>
      <w:r>
        <w:rPr>
          <w:rStyle w:val="FootnoteReference"/>
          <w:sz w:val="18"/>
          <w:vertAlign w:val="baseline"/>
        </w:rPr>
        <w:t>[</w:t>
      </w:r>
      <w:r w:rsidRPr="00D3672D">
        <w:rPr>
          <w:rStyle w:val="FootnoteReference"/>
          <w:sz w:val="18"/>
          <w:vertAlign w:val="baseline"/>
        </w:rPr>
        <w:t>European</w:t>
      </w:r>
      <w:r>
        <w:rPr>
          <w:rStyle w:val="FootnoteReference"/>
          <w:sz w:val="18"/>
          <w:vertAlign w:val="baseline"/>
        </w:rPr>
        <w:t>] Council</w:t>
      </w:r>
      <w:r w:rsidRPr="00D3672D">
        <w:rPr>
          <w:rStyle w:val="FootnoteReference"/>
          <w:sz w:val="18"/>
          <w:vertAlign w:val="baseline"/>
        </w:rPr>
        <w:t xml:space="preserve"> Directive 1999/31/EC</w:t>
      </w:r>
      <w:r>
        <w:rPr>
          <w:rStyle w:val="FootnoteReference"/>
          <w:sz w:val="18"/>
          <w:vertAlign w:val="baseline"/>
        </w:rPr>
        <w:t xml:space="preserve"> </w:t>
      </w:r>
      <w:r w:rsidRPr="00405DFE">
        <w:rPr>
          <w:rFonts w:eastAsia="PMingLiU"/>
          <w:bCs/>
          <w:szCs w:val="18"/>
          <w:lang w:val="en-US" w:eastAsia="zh-TW"/>
        </w:rPr>
        <w:t>of 26 April 1999 on the landfill of waste</w:t>
      </w:r>
      <w:r w:rsidRPr="00832E8C">
        <w:rPr>
          <w:rStyle w:val="FootnoteReference"/>
          <w:sz w:val="18"/>
          <w:vertAlign w:val="baseline"/>
        </w:rPr>
        <w:t>.</w:t>
      </w:r>
    </w:p>
  </w:footnote>
  <w:footnote w:id="130">
    <w:p w:rsidR="009E7C50" w:rsidRPr="00FA3FE1" w:rsidRDefault="009E7C50" w:rsidP="00FA3FE1">
      <w:pPr>
        <w:pStyle w:val="FootnoteText"/>
        <w:tabs>
          <w:tab w:val="clear" w:pos="1247"/>
          <w:tab w:val="left" w:pos="1134"/>
        </w:tabs>
        <w:ind w:left="1134"/>
        <w:rPr>
          <w:rStyle w:val="FootnoteReference"/>
          <w:rFonts w:eastAsia="PMingLiU"/>
          <w:sz w:val="18"/>
          <w:lang w:eastAsia="zh-HK"/>
        </w:rPr>
      </w:pPr>
      <w:r>
        <w:rPr>
          <w:rStyle w:val="FootnoteReference"/>
        </w:rPr>
        <w:t>130</w:t>
      </w:r>
      <w:r>
        <w:rPr>
          <w:rStyle w:val="FootnoteReference"/>
          <w:sz w:val="18"/>
        </w:rPr>
        <w:t xml:space="preserve"> </w:t>
      </w:r>
      <w:r w:rsidRPr="005E5BFF">
        <w:rPr>
          <w:rStyle w:val="FootnoteReference"/>
          <w:sz w:val="18"/>
          <w:vertAlign w:val="baseline"/>
        </w:rPr>
        <w:t xml:space="preserve">See </w:t>
      </w:r>
      <w:r w:rsidRPr="00F9232A">
        <w:t>Canadian Council of Ministers of the Environment, 2002</w:t>
      </w:r>
      <w:r>
        <w:rPr>
          <w:rFonts w:eastAsia="PMingLiU"/>
          <w:lang w:eastAsia="zh-HK"/>
        </w:rPr>
        <w:t xml:space="preserve">, </w:t>
      </w:r>
      <w:r w:rsidRPr="00405DFE">
        <w:rPr>
          <w:rFonts w:eastAsia="PMingLiU"/>
          <w:lang w:eastAsia="zh-HK"/>
        </w:rPr>
        <w:t>and a</w:t>
      </w:r>
      <w:r w:rsidRPr="00C5407D">
        <w:rPr>
          <w:rFonts w:eastAsia="PMingLiU"/>
          <w:lang w:eastAsia="zh-HK"/>
        </w:rPr>
        <w:t>nnex II (</w:t>
      </w:r>
      <w:r>
        <w:rPr>
          <w:rFonts w:eastAsia="PMingLiU"/>
          <w:lang w:eastAsia="zh-HK"/>
        </w:rPr>
        <w:t>e</w:t>
      </w:r>
      <w:r w:rsidRPr="00C5407D">
        <w:rPr>
          <w:rFonts w:eastAsia="PMingLiU"/>
          <w:lang w:eastAsia="zh-HK"/>
        </w:rPr>
        <w:t>xamples of pertinent national legislation) below</w:t>
      </w:r>
      <w:r>
        <w:rPr>
          <w:rFonts w:eastAsia="PMingLiU"/>
          <w:lang w:eastAsia="zh-HK"/>
        </w:rPr>
        <w:t xml:space="preserve">. </w:t>
      </w:r>
    </w:p>
  </w:footnote>
  <w:footnote w:id="131">
    <w:p w:rsidR="009E7C50" w:rsidRPr="001A1011" w:rsidRDefault="009E7C50" w:rsidP="001A1011">
      <w:pPr>
        <w:pStyle w:val="FootnoteText"/>
        <w:ind w:left="1138"/>
        <w:rPr>
          <w:lang w:val="en-US"/>
        </w:rPr>
      </w:pPr>
      <w:r>
        <w:rPr>
          <w:rStyle w:val="FootnoteReference"/>
        </w:rPr>
        <w:t>131</w:t>
      </w:r>
      <w:r>
        <w:t xml:space="preserve"> </w:t>
      </w:r>
      <w:r w:rsidRPr="00405DFE">
        <w:rPr>
          <w:lang w:val="en-US"/>
        </w:rPr>
        <w:t xml:space="preserve">For full references, see </w:t>
      </w:r>
      <w:r>
        <w:rPr>
          <w:lang w:val="en-US"/>
        </w:rPr>
        <w:t>a</w:t>
      </w:r>
      <w:r w:rsidRPr="000C7A93">
        <w:rPr>
          <w:lang w:val="en-US"/>
        </w:rPr>
        <w:t>nnex III (</w:t>
      </w:r>
      <w:r>
        <w:rPr>
          <w:lang w:val="en-US"/>
        </w:rPr>
        <w:t>b</w:t>
      </w:r>
      <w:r w:rsidRPr="000C7A93">
        <w:rPr>
          <w:lang w:val="en-US"/>
        </w:rPr>
        <w:t>ibliography) below</w:t>
      </w:r>
      <w:r w:rsidRPr="001512EF">
        <w:rPr>
          <w:lang w:val="en-US"/>
        </w:rPr>
        <w:t>.</w:t>
      </w:r>
      <w:r>
        <w:rPr>
          <w:lang w:val="en-US"/>
        </w:rPr>
        <w:t xml:space="preserve"> </w:t>
      </w:r>
    </w:p>
  </w:footnote>
  <w:footnote w:id="132">
    <w:p w:rsidR="009E7C50" w:rsidRPr="001763B3" w:rsidRDefault="009E7C50" w:rsidP="001A1011">
      <w:pPr>
        <w:pStyle w:val="FootnoteText"/>
        <w:tabs>
          <w:tab w:val="clear" w:pos="1247"/>
          <w:tab w:val="left" w:pos="1134"/>
        </w:tabs>
        <w:ind w:left="1138"/>
        <w:rPr>
          <w:rStyle w:val="FootnoteReference"/>
          <w:lang w:val="en-US"/>
        </w:rPr>
      </w:pPr>
      <w:r>
        <w:rPr>
          <w:rStyle w:val="FootnoteReference"/>
        </w:rPr>
        <w:t>132</w:t>
      </w:r>
      <w:r w:rsidRPr="00605389">
        <w:rPr>
          <w:rStyle w:val="FootnoteReference"/>
          <w:sz w:val="18"/>
          <w:lang w:val="en-US"/>
        </w:rPr>
        <w:t xml:space="preserve"> </w:t>
      </w:r>
      <w:r w:rsidRPr="00605389">
        <w:rPr>
          <w:rStyle w:val="FootnoteReference"/>
          <w:sz w:val="18"/>
          <w:vertAlign w:val="baseline"/>
          <w:lang w:val="en-US"/>
        </w:rPr>
        <w:t xml:space="preserve">Further information on health and safety is available from </w:t>
      </w:r>
      <w:r w:rsidRPr="00605389">
        <w:rPr>
          <w:lang w:val="en-US"/>
        </w:rPr>
        <w:t>ILO</w:t>
      </w:r>
      <w:r w:rsidRPr="00605389">
        <w:rPr>
          <w:rStyle w:val="FootnoteReference"/>
          <w:sz w:val="18"/>
          <w:vertAlign w:val="baseline"/>
          <w:lang w:val="en-US"/>
        </w:rPr>
        <w:t>, 1999a and 1999b; WHO, 1995 and 1999</w:t>
      </w:r>
      <w:r w:rsidRPr="00605389">
        <w:rPr>
          <w:lang w:val="en-US"/>
        </w:rPr>
        <w:t>;</w:t>
      </w:r>
      <w:r w:rsidRPr="00605389">
        <w:rPr>
          <w:rStyle w:val="FootnoteReference"/>
          <w:sz w:val="18"/>
          <w:vertAlign w:val="baseline"/>
          <w:lang w:val="en-US"/>
        </w:rPr>
        <w:t xml:space="preserve"> and IPCS INCHEM,</w:t>
      </w:r>
      <w:r w:rsidRPr="00605389">
        <w:rPr>
          <w:lang w:val="en-US"/>
        </w:rPr>
        <w:t xml:space="preserve"> </w:t>
      </w:r>
      <w:r w:rsidRPr="00605389">
        <w:rPr>
          <w:rStyle w:val="FootnoteReference"/>
          <w:sz w:val="18"/>
          <w:vertAlign w:val="baseline"/>
          <w:lang w:val="en-US"/>
        </w:rPr>
        <w:t xml:space="preserve">no date. </w:t>
      </w:r>
      <w:proofErr w:type="gramStart"/>
      <w:r w:rsidRPr="0055158F">
        <w:rPr>
          <w:lang w:val="en-US"/>
        </w:rPr>
        <w:t>For</w:t>
      </w:r>
      <w:proofErr w:type="gramEnd"/>
      <w:r w:rsidRPr="0055158F">
        <w:rPr>
          <w:lang w:val="en-US"/>
        </w:rPr>
        <w:t xml:space="preserve"> full references, see </w:t>
      </w:r>
      <w:r>
        <w:rPr>
          <w:lang w:val="en-US"/>
        </w:rPr>
        <w:t>an</w:t>
      </w:r>
      <w:r w:rsidRPr="000C7A93">
        <w:rPr>
          <w:lang w:val="en-US"/>
        </w:rPr>
        <w:t xml:space="preserve">nex III </w:t>
      </w:r>
      <w:r w:rsidRPr="0055158F">
        <w:rPr>
          <w:lang w:val="en-US"/>
        </w:rPr>
        <w:t>(</w:t>
      </w:r>
      <w:r>
        <w:rPr>
          <w:lang w:val="en-US"/>
        </w:rPr>
        <w:t>b</w:t>
      </w:r>
      <w:r w:rsidRPr="0055158F">
        <w:rPr>
          <w:lang w:val="en-US"/>
        </w:rPr>
        <w:t>ibliography) below.</w:t>
      </w:r>
      <w:r w:rsidRPr="00605389">
        <w:rPr>
          <w:rStyle w:val="FootnoteReference"/>
          <w:lang w:val="en-US"/>
        </w:rPr>
        <w:t xml:space="preserve"> </w:t>
      </w:r>
    </w:p>
  </w:footnote>
  <w:footnote w:id="133">
    <w:p w:rsidR="009E7C50" w:rsidRPr="001763B3" w:rsidRDefault="009E7C50" w:rsidP="00FA3FE1">
      <w:pPr>
        <w:pStyle w:val="FootnoteText"/>
        <w:tabs>
          <w:tab w:val="clear" w:pos="1247"/>
          <w:tab w:val="left" w:pos="1134"/>
        </w:tabs>
        <w:ind w:left="1134"/>
        <w:rPr>
          <w:rStyle w:val="FootnoteReference"/>
          <w:sz w:val="18"/>
          <w:lang w:val="en-US"/>
        </w:rPr>
      </w:pPr>
      <w:r>
        <w:rPr>
          <w:rStyle w:val="FootnoteReference"/>
        </w:rPr>
        <w:t>133</w:t>
      </w:r>
      <w:r w:rsidRPr="00605389">
        <w:rPr>
          <w:lang w:val="en-US"/>
        </w:rPr>
        <w:t xml:space="preserve"> </w:t>
      </w:r>
      <w:r w:rsidRPr="00605389">
        <w:rPr>
          <w:rStyle w:val="FootnoteReference"/>
          <w:sz w:val="18"/>
          <w:vertAlign w:val="baseline"/>
          <w:lang w:val="en-US"/>
        </w:rPr>
        <w:t xml:space="preserve">Further guidance on emergency response plans can be found in other guidelines developed by international organizations, such as the OECD Guiding Principles for Chemical Accident Prevention, Preparedness and Response, second edition (2003), or by national, regional or local governments or agencies (such as civil </w:t>
      </w:r>
      <w:proofErr w:type="spellStart"/>
      <w:r w:rsidRPr="00605389">
        <w:rPr>
          <w:rStyle w:val="FootnoteReference"/>
          <w:sz w:val="18"/>
          <w:vertAlign w:val="baseline"/>
          <w:lang w:val="en-US"/>
        </w:rPr>
        <w:t>defence</w:t>
      </w:r>
      <w:proofErr w:type="spellEnd"/>
      <w:r w:rsidRPr="00605389">
        <w:rPr>
          <w:rStyle w:val="FootnoteReference"/>
          <w:sz w:val="18"/>
          <w:vertAlign w:val="baseline"/>
          <w:lang w:val="en-US"/>
        </w:rPr>
        <w:t xml:space="preserve"> and emergency coordination agencies and fire departments).</w:t>
      </w:r>
    </w:p>
  </w:footnote>
  <w:footnote w:id="134">
    <w:p w:rsidR="009E7C50" w:rsidRPr="001763B3" w:rsidRDefault="009E7C50" w:rsidP="00FA3FE1">
      <w:pPr>
        <w:pStyle w:val="FootnoteText"/>
        <w:tabs>
          <w:tab w:val="clear" w:pos="1247"/>
          <w:tab w:val="left" w:pos="1134"/>
        </w:tabs>
        <w:ind w:left="1134"/>
        <w:rPr>
          <w:rStyle w:val="FootnoteReference"/>
          <w:sz w:val="18"/>
          <w:lang w:val="en-US"/>
        </w:rPr>
      </w:pPr>
      <w:r>
        <w:rPr>
          <w:rStyle w:val="FootnoteReference"/>
        </w:rPr>
        <w:t>134</w:t>
      </w:r>
      <w:r w:rsidRPr="00605389">
        <w:rPr>
          <w:lang w:val="en-US"/>
        </w:rPr>
        <w:t xml:space="preserve"> </w:t>
      </w:r>
      <w:r w:rsidRPr="00605389">
        <w:rPr>
          <w:rStyle w:val="FootnoteReference"/>
          <w:sz w:val="18"/>
          <w:vertAlign w:val="baseline"/>
          <w:lang w:val="en-US"/>
        </w:rPr>
        <w:t>See Australia Department of the Environment and Heritage, 2000.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C50" w:rsidRDefault="009E7C50" w:rsidP="003766B7">
    <w:pPr>
      <w:pBdr>
        <w:bottom w:val="single" w:sz="4" w:space="1" w:color="auto"/>
      </w:pBdr>
      <w:tabs>
        <w:tab w:val="clear" w:pos="1814"/>
        <w:tab w:val="clear" w:pos="2381"/>
        <w:tab w:val="clear" w:pos="2948"/>
        <w:tab w:val="clear" w:pos="3515"/>
        <w:tab w:val="center" w:pos="4536"/>
        <w:tab w:val="right" w:pos="9072"/>
      </w:tabs>
      <w:rPr>
        <w:bCs/>
        <w:sz w:val="17"/>
        <w:szCs w:val="17"/>
      </w:rPr>
    </w:pPr>
    <w:r w:rsidRPr="005D2E0C">
      <w:rPr>
        <w:rFonts w:eastAsia="SimSun"/>
        <w:b/>
        <w:bCs/>
        <w:sz w:val="18"/>
        <w:szCs w:val="18"/>
      </w:rPr>
      <w:t>UNEP/CHW.12/</w:t>
    </w:r>
    <w:r>
      <w:rPr>
        <w:rFonts w:eastAsia="SimSun"/>
        <w:b/>
        <w:bCs/>
        <w:sz w:val="18"/>
        <w:szCs w:val="18"/>
      </w:rPr>
      <w:t>5/Add.2/Rev.1</w:t>
    </w:r>
  </w:p>
  <w:p w:rsidR="009E7C50" w:rsidRDefault="009E7C5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C50" w:rsidRDefault="009E7C50" w:rsidP="003766B7">
    <w:pPr>
      <w:pBdr>
        <w:bottom w:val="single" w:sz="4" w:space="1" w:color="auto"/>
      </w:pBdr>
      <w:tabs>
        <w:tab w:val="clear" w:pos="1814"/>
        <w:tab w:val="clear" w:pos="2381"/>
        <w:tab w:val="clear" w:pos="2948"/>
        <w:tab w:val="clear" w:pos="3515"/>
        <w:tab w:val="center" w:pos="4536"/>
        <w:tab w:val="right" w:pos="9072"/>
      </w:tabs>
      <w:spacing w:after="120"/>
      <w:jc w:val="right"/>
      <w:rPr>
        <w:b/>
      </w:rPr>
    </w:pPr>
    <w:r>
      <w:rPr>
        <w:rFonts w:eastAsia="SimSun"/>
        <w:b/>
        <w:sz w:val="18"/>
        <w:lang w:val="fr-CH"/>
      </w:rPr>
      <w:t>UNEP/CHW.12/5/</w:t>
    </w:r>
    <w:proofErr w:type="spellStart"/>
    <w:r>
      <w:rPr>
        <w:rFonts w:eastAsia="SimSun"/>
        <w:b/>
        <w:sz w:val="18"/>
        <w:lang w:val="fr-CH"/>
      </w:rPr>
      <w:t>Add</w:t>
    </w:r>
    <w:proofErr w:type="spellEnd"/>
    <w:r>
      <w:rPr>
        <w:rFonts w:eastAsia="SimSun"/>
        <w:b/>
        <w:sz w:val="18"/>
        <w:lang w:val="fr-CH"/>
      </w:rPr>
      <w:t>.2/</w:t>
    </w:r>
    <w:proofErr w:type="spellStart"/>
    <w:r>
      <w:rPr>
        <w:rFonts w:eastAsia="SimSun"/>
        <w:b/>
        <w:sz w:val="18"/>
        <w:lang w:val="fr-CH"/>
      </w:rPr>
      <w:t>Rev</w:t>
    </w:r>
    <w:proofErr w:type="spellEnd"/>
    <w:r>
      <w:rPr>
        <w:rFonts w:eastAsia="SimSun"/>
        <w:b/>
        <w:sz w:val="18"/>
        <w:lang w:val="fr-CH"/>
      </w:rPr>
      <w:t>.1</w:t>
    </w:r>
  </w:p>
  <w:p w:rsidR="009E7C50" w:rsidRDefault="009E7C5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EAF"/>
    <w:multiLevelType w:val="hybridMultilevel"/>
    <w:tmpl w:val="4C70B9DC"/>
    <w:lvl w:ilvl="0" w:tplc="7A1AA8B2">
      <w:start w:val="1"/>
      <w:numFmt w:val="lowerLetter"/>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
    <w:nsid w:val="018E62E8"/>
    <w:multiLevelType w:val="hybridMultilevel"/>
    <w:tmpl w:val="CF9412D0"/>
    <w:lvl w:ilvl="0" w:tplc="00D2BF5C">
      <w:start w:val="1"/>
      <w:numFmt w:val="upperRoman"/>
      <w:pStyle w:val="CH1"/>
      <w:lvlText w:val="%1."/>
      <w:lvlJc w:val="left"/>
      <w:pPr>
        <w:tabs>
          <w:tab w:val="num" w:pos="1182"/>
        </w:tabs>
        <w:ind w:left="822" w:firstLine="0"/>
      </w:pPr>
      <w:rPr>
        <w:rFonts w:ascii="Times New Roman" w:hAnsi="Times New Roman" w:hint="default"/>
        <w:b/>
        <w:i w:val="0"/>
        <w:sz w:val="28"/>
        <w:szCs w:val="28"/>
      </w:rPr>
    </w:lvl>
    <w:lvl w:ilvl="1" w:tplc="8418F482">
      <w:start w:val="1"/>
      <w:numFmt w:val="lowerLetter"/>
      <w:lvlText w:val="(%2)"/>
      <w:lvlJc w:val="left"/>
      <w:pPr>
        <w:ind w:left="4179" w:hanging="645"/>
      </w:pPr>
      <w:rPr>
        <w:rFonts w:hint="default"/>
        <w:b w:val="0"/>
      </w:rPr>
    </w:lvl>
    <w:lvl w:ilvl="2" w:tplc="0409001B" w:tentative="1">
      <w:start w:val="1"/>
      <w:numFmt w:val="lowerRoman"/>
      <w:lvlText w:val="%3."/>
      <w:lvlJc w:val="right"/>
      <w:pPr>
        <w:tabs>
          <w:tab w:val="num" w:pos="4614"/>
        </w:tabs>
        <w:ind w:left="4614" w:hanging="180"/>
      </w:pPr>
    </w:lvl>
    <w:lvl w:ilvl="3" w:tplc="0409000F" w:tentative="1">
      <w:start w:val="1"/>
      <w:numFmt w:val="decimal"/>
      <w:lvlText w:val="%4."/>
      <w:lvlJc w:val="left"/>
      <w:pPr>
        <w:tabs>
          <w:tab w:val="num" w:pos="5334"/>
        </w:tabs>
        <w:ind w:left="5334" w:hanging="360"/>
      </w:pPr>
    </w:lvl>
    <w:lvl w:ilvl="4" w:tplc="04090019" w:tentative="1">
      <w:start w:val="1"/>
      <w:numFmt w:val="lowerLetter"/>
      <w:lvlText w:val="%5."/>
      <w:lvlJc w:val="left"/>
      <w:pPr>
        <w:tabs>
          <w:tab w:val="num" w:pos="6054"/>
        </w:tabs>
        <w:ind w:left="6054" w:hanging="360"/>
      </w:pPr>
    </w:lvl>
    <w:lvl w:ilvl="5" w:tplc="0409001B" w:tentative="1">
      <w:start w:val="1"/>
      <w:numFmt w:val="lowerRoman"/>
      <w:lvlText w:val="%6."/>
      <w:lvlJc w:val="right"/>
      <w:pPr>
        <w:tabs>
          <w:tab w:val="num" w:pos="6774"/>
        </w:tabs>
        <w:ind w:left="6774" w:hanging="180"/>
      </w:pPr>
    </w:lvl>
    <w:lvl w:ilvl="6" w:tplc="0409000F" w:tentative="1">
      <w:start w:val="1"/>
      <w:numFmt w:val="decimal"/>
      <w:lvlText w:val="%7."/>
      <w:lvlJc w:val="left"/>
      <w:pPr>
        <w:tabs>
          <w:tab w:val="num" w:pos="7494"/>
        </w:tabs>
        <w:ind w:left="7494" w:hanging="360"/>
      </w:pPr>
    </w:lvl>
    <w:lvl w:ilvl="7" w:tplc="04090019" w:tentative="1">
      <w:start w:val="1"/>
      <w:numFmt w:val="lowerLetter"/>
      <w:lvlText w:val="%8."/>
      <w:lvlJc w:val="left"/>
      <w:pPr>
        <w:tabs>
          <w:tab w:val="num" w:pos="8214"/>
        </w:tabs>
        <w:ind w:left="8214" w:hanging="360"/>
      </w:pPr>
    </w:lvl>
    <w:lvl w:ilvl="8" w:tplc="0409001B" w:tentative="1">
      <w:start w:val="1"/>
      <w:numFmt w:val="lowerRoman"/>
      <w:lvlText w:val="%9."/>
      <w:lvlJc w:val="right"/>
      <w:pPr>
        <w:tabs>
          <w:tab w:val="num" w:pos="8934"/>
        </w:tabs>
        <w:ind w:left="8934" w:hanging="180"/>
      </w:pPr>
    </w:lvl>
  </w:abstractNum>
  <w:abstractNum w:abstractNumId="2">
    <w:nsid w:val="0B86587A"/>
    <w:multiLevelType w:val="hybridMultilevel"/>
    <w:tmpl w:val="09D8F27E"/>
    <w:lvl w:ilvl="0" w:tplc="9AA07C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1354F79"/>
    <w:multiLevelType w:val="hybridMultilevel"/>
    <w:tmpl w:val="0ABAC95C"/>
    <w:lvl w:ilvl="0" w:tplc="6AD87F8E">
      <w:start w:val="1"/>
      <w:numFmt w:val="lowerLetter"/>
      <w:lvlText w:val="(%1)"/>
      <w:lvlJc w:val="left"/>
      <w:pPr>
        <w:tabs>
          <w:tab w:val="num" w:pos="1607"/>
        </w:tabs>
        <w:ind w:left="1607" w:hanging="360"/>
      </w:pPr>
      <w:rPr>
        <w:rFonts w:hint="default"/>
      </w:rPr>
    </w:lvl>
    <w:lvl w:ilvl="1" w:tplc="7D802C92">
      <w:start w:val="28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77335D"/>
    <w:multiLevelType w:val="hybridMultilevel"/>
    <w:tmpl w:val="6450C7D8"/>
    <w:lvl w:ilvl="0" w:tplc="7EAE8010">
      <w:start w:val="1"/>
      <w:numFmt w:val="bullet"/>
      <w:pStyle w:val="Bullet-1stLevelMarge"/>
      <w:lvlText w:val=""/>
      <w:lvlJc w:val="left"/>
      <w:pPr>
        <w:tabs>
          <w:tab w:val="num" w:pos="432"/>
        </w:tabs>
        <w:ind w:left="432" w:hanging="432"/>
      </w:pPr>
      <w:rPr>
        <w:rFonts w:ascii="Wingdings" w:hAnsi="Wingdings" w:hint="default"/>
        <w:color w:val="auto"/>
        <w:sz w:val="18"/>
      </w:rPr>
    </w:lvl>
    <w:lvl w:ilvl="1" w:tplc="82C44134" w:tentative="1">
      <w:start w:val="1"/>
      <w:numFmt w:val="bullet"/>
      <w:lvlText w:val="o"/>
      <w:lvlJc w:val="left"/>
      <w:pPr>
        <w:tabs>
          <w:tab w:val="num" w:pos="1440"/>
        </w:tabs>
        <w:ind w:left="1440" w:hanging="360"/>
      </w:pPr>
      <w:rPr>
        <w:rFonts w:ascii="Courier New" w:hAnsi="Courier New" w:hint="default"/>
      </w:rPr>
    </w:lvl>
    <w:lvl w:ilvl="2" w:tplc="D37AA200" w:tentative="1">
      <w:start w:val="1"/>
      <w:numFmt w:val="bullet"/>
      <w:lvlText w:val=""/>
      <w:lvlJc w:val="left"/>
      <w:pPr>
        <w:tabs>
          <w:tab w:val="num" w:pos="2160"/>
        </w:tabs>
        <w:ind w:left="2160" w:hanging="360"/>
      </w:pPr>
      <w:rPr>
        <w:rFonts w:ascii="Wingdings" w:hAnsi="Wingdings" w:hint="default"/>
      </w:rPr>
    </w:lvl>
    <w:lvl w:ilvl="3" w:tplc="4B487D6A" w:tentative="1">
      <w:start w:val="1"/>
      <w:numFmt w:val="bullet"/>
      <w:lvlText w:val=""/>
      <w:lvlJc w:val="left"/>
      <w:pPr>
        <w:tabs>
          <w:tab w:val="num" w:pos="2880"/>
        </w:tabs>
        <w:ind w:left="2880" w:hanging="360"/>
      </w:pPr>
      <w:rPr>
        <w:rFonts w:ascii="Symbol" w:hAnsi="Symbol" w:hint="default"/>
      </w:rPr>
    </w:lvl>
    <w:lvl w:ilvl="4" w:tplc="B5646112" w:tentative="1">
      <w:start w:val="1"/>
      <w:numFmt w:val="bullet"/>
      <w:lvlText w:val="o"/>
      <w:lvlJc w:val="left"/>
      <w:pPr>
        <w:tabs>
          <w:tab w:val="num" w:pos="3600"/>
        </w:tabs>
        <w:ind w:left="3600" w:hanging="360"/>
      </w:pPr>
      <w:rPr>
        <w:rFonts w:ascii="Courier New" w:hAnsi="Courier New" w:hint="default"/>
      </w:rPr>
    </w:lvl>
    <w:lvl w:ilvl="5" w:tplc="68B8EFBA" w:tentative="1">
      <w:start w:val="1"/>
      <w:numFmt w:val="bullet"/>
      <w:lvlText w:val=""/>
      <w:lvlJc w:val="left"/>
      <w:pPr>
        <w:tabs>
          <w:tab w:val="num" w:pos="4320"/>
        </w:tabs>
        <w:ind w:left="4320" w:hanging="360"/>
      </w:pPr>
      <w:rPr>
        <w:rFonts w:ascii="Wingdings" w:hAnsi="Wingdings" w:hint="default"/>
      </w:rPr>
    </w:lvl>
    <w:lvl w:ilvl="6" w:tplc="58AAE6A2" w:tentative="1">
      <w:start w:val="1"/>
      <w:numFmt w:val="bullet"/>
      <w:lvlText w:val=""/>
      <w:lvlJc w:val="left"/>
      <w:pPr>
        <w:tabs>
          <w:tab w:val="num" w:pos="5040"/>
        </w:tabs>
        <w:ind w:left="5040" w:hanging="360"/>
      </w:pPr>
      <w:rPr>
        <w:rFonts w:ascii="Symbol" w:hAnsi="Symbol" w:hint="default"/>
      </w:rPr>
    </w:lvl>
    <w:lvl w:ilvl="7" w:tplc="65BC6F52" w:tentative="1">
      <w:start w:val="1"/>
      <w:numFmt w:val="bullet"/>
      <w:lvlText w:val="o"/>
      <w:lvlJc w:val="left"/>
      <w:pPr>
        <w:tabs>
          <w:tab w:val="num" w:pos="5760"/>
        </w:tabs>
        <w:ind w:left="5760" w:hanging="360"/>
      </w:pPr>
      <w:rPr>
        <w:rFonts w:ascii="Courier New" w:hAnsi="Courier New" w:hint="default"/>
      </w:rPr>
    </w:lvl>
    <w:lvl w:ilvl="8" w:tplc="27A8E5F8" w:tentative="1">
      <w:start w:val="1"/>
      <w:numFmt w:val="bullet"/>
      <w:lvlText w:val=""/>
      <w:lvlJc w:val="left"/>
      <w:pPr>
        <w:tabs>
          <w:tab w:val="num" w:pos="6480"/>
        </w:tabs>
        <w:ind w:left="6480" w:hanging="360"/>
      </w:pPr>
      <w:rPr>
        <w:rFonts w:ascii="Wingdings" w:hAnsi="Wingdings" w:hint="default"/>
      </w:rPr>
    </w:lvl>
  </w:abstractNum>
  <w:abstractNum w:abstractNumId="5">
    <w:nsid w:val="12265EEE"/>
    <w:multiLevelType w:val="hybridMultilevel"/>
    <w:tmpl w:val="D1CC0092"/>
    <w:lvl w:ilvl="0" w:tplc="55367B6E">
      <w:start w:val="1"/>
      <w:numFmt w:val="bullet"/>
      <w:lvlText w:val=""/>
      <w:lvlJc w:val="left"/>
      <w:pPr>
        <w:tabs>
          <w:tab w:val="num" w:pos="360"/>
        </w:tabs>
        <w:ind w:left="360" w:hanging="360"/>
      </w:pPr>
      <w:rPr>
        <w:rFonts w:ascii="Symbol" w:hAnsi="Symbol" w:hint="default"/>
      </w:rPr>
    </w:lvl>
    <w:lvl w:ilvl="1" w:tplc="ADB8F596" w:tentative="1">
      <w:start w:val="1"/>
      <w:numFmt w:val="bullet"/>
      <w:lvlText w:val="o"/>
      <w:lvlJc w:val="left"/>
      <w:pPr>
        <w:tabs>
          <w:tab w:val="num" w:pos="720"/>
        </w:tabs>
        <w:ind w:left="720" w:hanging="360"/>
      </w:pPr>
      <w:rPr>
        <w:rFonts w:ascii="Courier New" w:hAnsi="Courier New" w:hint="default"/>
      </w:rPr>
    </w:lvl>
    <w:lvl w:ilvl="2" w:tplc="2F6CB3E4" w:tentative="1">
      <w:start w:val="1"/>
      <w:numFmt w:val="bullet"/>
      <w:lvlText w:val=""/>
      <w:lvlJc w:val="left"/>
      <w:pPr>
        <w:tabs>
          <w:tab w:val="num" w:pos="1440"/>
        </w:tabs>
        <w:ind w:left="1440" w:hanging="360"/>
      </w:pPr>
      <w:rPr>
        <w:rFonts w:ascii="Wingdings" w:hAnsi="Wingdings" w:hint="default"/>
      </w:rPr>
    </w:lvl>
    <w:lvl w:ilvl="3" w:tplc="DC62567C" w:tentative="1">
      <w:start w:val="1"/>
      <w:numFmt w:val="bullet"/>
      <w:lvlText w:val=""/>
      <w:lvlJc w:val="left"/>
      <w:pPr>
        <w:tabs>
          <w:tab w:val="num" w:pos="2160"/>
        </w:tabs>
        <w:ind w:left="2160" w:hanging="360"/>
      </w:pPr>
      <w:rPr>
        <w:rFonts w:ascii="Symbol" w:hAnsi="Symbol" w:hint="default"/>
      </w:rPr>
    </w:lvl>
    <w:lvl w:ilvl="4" w:tplc="34783240" w:tentative="1">
      <w:start w:val="1"/>
      <w:numFmt w:val="bullet"/>
      <w:lvlText w:val="o"/>
      <w:lvlJc w:val="left"/>
      <w:pPr>
        <w:tabs>
          <w:tab w:val="num" w:pos="2880"/>
        </w:tabs>
        <w:ind w:left="2880" w:hanging="360"/>
      </w:pPr>
      <w:rPr>
        <w:rFonts w:ascii="Courier New" w:hAnsi="Courier New" w:hint="default"/>
      </w:rPr>
    </w:lvl>
    <w:lvl w:ilvl="5" w:tplc="23921956" w:tentative="1">
      <w:start w:val="1"/>
      <w:numFmt w:val="bullet"/>
      <w:lvlText w:val=""/>
      <w:lvlJc w:val="left"/>
      <w:pPr>
        <w:tabs>
          <w:tab w:val="num" w:pos="3600"/>
        </w:tabs>
        <w:ind w:left="3600" w:hanging="360"/>
      </w:pPr>
      <w:rPr>
        <w:rFonts w:ascii="Wingdings" w:hAnsi="Wingdings" w:hint="default"/>
      </w:rPr>
    </w:lvl>
    <w:lvl w:ilvl="6" w:tplc="6AC6BE0E" w:tentative="1">
      <w:start w:val="1"/>
      <w:numFmt w:val="bullet"/>
      <w:lvlText w:val=""/>
      <w:lvlJc w:val="left"/>
      <w:pPr>
        <w:tabs>
          <w:tab w:val="num" w:pos="4320"/>
        </w:tabs>
        <w:ind w:left="4320" w:hanging="360"/>
      </w:pPr>
      <w:rPr>
        <w:rFonts w:ascii="Symbol" w:hAnsi="Symbol" w:hint="default"/>
      </w:rPr>
    </w:lvl>
    <w:lvl w:ilvl="7" w:tplc="8FCABD26" w:tentative="1">
      <w:start w:val="1"/>
      <w:numFmt w:val="bullet"/>
      <w:lvlText w:val="o"/>
      <w:lvlJc w:val="left"/>
      <w:pPr>
        <w:tabs>
          <w:tab w:val="num" w:pos="5040"/>
        </w:tabs>
        <w:ind w:left="5040" w:hanging="360"/>
      </w:pPr>
      <w:rPr>
        <w:rFonts w:ascii="Courier New" w:hAnsi="Courier New" w:hint="default"/>
      </w:rPr>
    </w:lvl>
    <w:lvl w:ilvl="8" w:tplc="0FAA6342" w:tentative="1">
      <w:start w:val="1"/>
      <w:numFmt w:val="bullet"/>
      <w:lvlText w:val=""/>
      <w:lvlJc w:val="left"/>
      <w:pPr>
        <w:tabs>
          <w:tab w:val="num" w:pos="5760"/>
        </w:tabs>
        <w:ind w:left="5760" w:hanging="360"/>
      </w:pPr>
      <w:rPr>
        <w:rFonts w:ascii="Wingdings" w:hAnsi="Wingdings" w:hint="default"/>
      </w:rPr>
    </w:lvl>
  </w:abstractNum>
  <w:abstractNum w:abstractNumId="6">
    <w:nsid w:val="13862EB7"/>
    <w:multiLevelType w:val="multilevel"/>
    <w:tmpl w:val="A3963BDE"/>
    <w:lvl w:ilvl="0">
      <w:start w:val="1"/>
      <w:numFmt w:val="decimal"/>
      <w:lvlText w:val="%1."/>
      <w:lvlJc w:val="left"/>
      <w:pPr>
        <w:tabs>
          <w:tab w:val="num" w:pos="1759"/>
        </w:tabs>
        <w:ind w:left="1135" w:firstLine="0"/>
      </w:pPr>
      <w:rPr>
        <w:rFonts w:ascii="Times New Roman" w:hAnsi="Times New Roman" w:hint="default"/>
        <w:b w:val="0"/>
        <w:i w:val="0"/>
        <w:color w:val="auto"/>
        <w:sz w:val="20"/>
        <w:szCs w:val="20"/>
      </w:rPr>
    </w:lvl>
    <w:lvl w:ilvl="1">
      <w:start w:val="1"/>
      <w:numFmt w:val="lowerRoman"/>
      <w:lvlText w:val="%2."/>
      <w:lvlJc w:val="left"/>
      <w:pPr>
        <w:ind w:left="2920" w:hanging="360"/>
      </w:pPr>
      <w:rPr>
        <w:rFonts w:ascii="Times New Roman" w:eastAsia="SimSun" w:hAnsi="Times New Roman" w:cs="Times New Roman"/>
      </w:rPr>
    </w:lvl>
    <w:lvl w:ilvl="2">
      <w:start w:val="1"/>
      <w:numFmt w:val="lowerRoman"/>
      <w:lvlText w:val="%3."/>
      <w:lvlJc w:val="right"/>
      <w:pPr>
        <w:ind w:left="3640" w:hanging="180"/>
      </w:pPr>
    </w:lvl>
    <w:lvl w:ilvl="3">
      <w:start w:val="1"/>
      <w:numFmt w:val="lowerLetter"/>
      <w:lvlText w:val="(%4)"/>
      <w:lvlJc w:val="left"/>
      <w:pPr>
        <w:ind w:left="4360" w:hanging="360"/>
      </w:pPr>
      <w:rPr>
        <w:rFonts w:hint="default"/>
      </w:rPr>
    </w:lvl>
    <w:lvl w:ilvl="4">
      <w:start w:val="2"/>
      <w:numFmt w:val="bullet"/>
      <w:lvlText w:val="-"/>
      <w:lvlJc w:val="left"/>
      <w:pPr>
        <w:ind w:left="5080" w:hanging="360"/>
      </w:pPr>
      <w:rPr>
        <w:rFonts w:ascii="Times New Roman" w:eastAsia="SimSun" w:hAnsi="Times New Roman" w:cs="Times New Roman" w:hint="default"/>
      </w:rPr>
    </w:lvl>
    <w:lvl w:ilvl="5" w:tentative="1">
      <w:start w:val="1"/>
      <w:numFmt w:val="lowerRoman"/>
      <w:lvlText w:val="%6."/>
      <w:lvlJc w:val="right"/>
      <w:pPr>
        <w:ind w:left="5800" w:hanging="180"/>
      </w:pPr>
    </w:lvl>
    <w:lvl w:ilvl="6" w:tentative="1">
      <w:start w:val="1"/>
      <w:numFmt w:val="decimal"/>
      <w:lvlText w:val="%7."/>
      <w:lvlJc w:val="left"/>
      <w:pPr>
        <w:ind w:left="6520" w:hanging="360"/>
      </w:pPr>
    </w:lvl>
    <w:lvl w:ilvl="7" w:tentative="1">
      <w:start w:val="1"/>
      <w:numFmt w:val="lowerLetter"/>
      <w:lvlText w:val="%8."/>
      <w:lvlJc w:val="left"/>
      <w:pPr>
        <w:ind w:left="7240" w:hanging="360"/>
      </w:pPr>
    </w:lvl>
    <w:lvl w:ilvl="8" w:tentative="1">
      <w:start w:val="1"/>
      <w:numFmt w:val="lowerRoman"/>
      <w:lvlText w:val="%9."/>
      <w:lvlJc w:val="right"/>
      <w:pPr>
        <w:ind w:left="7960" w:hanging="180"/>
      </w:pPr>
    </w:lvl>
  </w:abstractNum>
  <w:abstractNum w:abstractNumId="7">
    <w:nsid w:val="147A4706"/>
    <w:multiLevelType w:val="hybridMultilevel"/>
    <w:tmpl w:val="F1BE919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nsid w:val="15EA672F"/>
    <w:multiLevelType w:val="hybridMultilevel"/>
    <w:tmpl w:val="87B80A82"/>
    <w:lvl w:ilvl="0" w:tplc="88D61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B01274"/>
    <w:multiLevelType w:val="hybridMultilevel"/>
    <w:tmpl w:val="BF4404F0"/>
    <w:lvl w:ilvl="0" w:tplc="C5B2DF8C">
      <w:start w:val="1"/>
      <w:numFmt w:val="bullet"/>
      <w:pStyle w:val="EPABulletedList"/>
      <w:lvlText w:val=""/>
      <w:lvlJc w:val="left"/>
      <w:pPr>
        <w:ind w:left="2880" w:hanging="360"/>
      </w:pPr>
      <w:rPr>
        <w:rFonts w:ascii="Symbol" w:hAnsi="Symbol" w:hint="default"/>
        <w:spacing w:val="0"/>
        <w:sz w:val="20"/>
        <w:u w:val="none"/>
      </w:rPr>
    </w:lvl>
    <w:lvl w:ilvl="1" w:tplc="14090003">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0">
    <w:nsid w:val="171113A7"/>
    <w:multiLevelType w:val="multilevel"/>
    <w:tmpl w:val="48241D10"/>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nsid w:val="1E031E2C"/>
    <w:multiLevelType w:val="multilevel"/>
    <w:tmpl w:val="5D96A3BA"/>
    <w:lvl w:ilvl="0">
      <w:start w:val="1"/>
      <w:numFmt w:val="lowerLetter"/>
      <w:pStyle w:val="Level2"/>
      <w:lvlText w:val="(%1)"/>
      <w:lvlJc w:val="left"/>
      <w:pPr>
        <w:tabs>
          <w:tab w:val="num" w:pos="1298"/>
        </w:tabs>
        <w:ind w:left="0" w:firstLine="57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28C10C2"/>
    <w:multiLevelType w:val="hybridMultilevel"/>
    <w:tmpl w:val="1716F6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22B53505"/>
    <w:multiLevelType w:val="hybridMultilevel"/>
    <w:tmpl w:val="7386408A"/>
    <w:lvl w:ilvl="0" w:tplc="DD20C9A2">
      <w:start w:val="1"/>
      <w:numFmt w:val="lowerLetter"/>
      <w:lvlText w:val="(%1)"/>
      <w:lvlJc w:val="left"/>
      <w:pPr>
        <w:tabs>
          <w:tab w:val="num" w:pos="1967"/>
        </w:tabs>
        <w:ind w:left="1967" w:hanging="360"/>
      </w:pPr>
      <w:rPr>
        <w:rFonts w:hint="default"/>
      </w:rPr>
    </w:lvl>
    <w:lvl w:ilvl="1" w:tplc="10090019">
      <w:start w:val="1"/>
      <w:numFmt w:val="lowerLetter"/>
      <w:lvlText w:val="%2."/>
      <w:lvlJc w:val="left"/>
      <w:pPr>
        <w:tabs>
          <w:tab w:val="num" w:pos="2297"/>
        </w:tabs>
        <w:ind w:left="2297" w:hanging="360"/>
      </w:pPr>
    </w:lvl>
    <w:lvl w:ilvl="2" w:tplc="1009001B">
      <w:start w:val="1"/>
      <w:numFmt w:val="lowerRoman"/>
      <w:lvlText w:val="%3."/>
      <w:lvlJc w:val="right"/>
      <w:pPr>
        <w:tabs>
          <w:tab w:val="num" w:pos="3017"/>
        </w:tabs>
        <w:ind w:left="3017" w:hanging="180"/>
      </w:pPr>
    </w:lvl>
    <w:lvl w:ilvl="3" w:tplc="1009000F" w:tentative="1">
      <w:start w:val="1"/>
      <w:numFmt w:val="decimal"/>
      <w:lvlText w:val="%4."/>
      <w:lvlJc w:val="left"/>
      <w:pPr>
        <w:tabs>
          <w:tab w:val="num" w:pos="3737"/>
        </w:tabs>
        <w:ind w:left="3737" w:hanging="360"/>
      </w:pPr>
    </w:lvl>
    <w:lvl w:ilvl="4" w:tplc="10090019" w:tentative="1">
      <w:start w:val="1"/>
      <w:numFmt w:val="lowerLetter"/>
      <w:lvlText w:val="%5."/>
      <w:lvlJc w:val="left"/>
      <w:pPr>
        <w:tabs>
          <w:tab w:val="num" w:pos="4457"/>
        </w:tabs>
        <w:ind w:left="4457" w:hanging="360"/>
      </w:pPr>
    </w:lvl>
    <w:lvl w:ilvl="5" w:tplc="1009001B" w:tentative="1">
      <w:start w:val="1"/>
      <w:numFmt w:val="lowerRoman"/>
      <w:lvlText w:val="%6."/>
      <w:lvlJc w:val="right"/>
      <w:pPr>
        <w:tabs>
          <w:tab w:val="num" w:pos="5177"/>
        </w:tabs>
        <w:ind w:left="5177" w:hanging="180"/>
      </w:pPr>
    </w:lvl>
    <w:lvl w:ilvl="6" w:tplc="1009000F" w:tentative="1">
      <w:start w:val="1"/>
      <w:numFmt w:val="decimal"/>
      <w:lvlText w:val="%7."/>
      <w:lvlJc w:val="left"/>
      <w:pPr>
        <w:tabs>
          <w:tab w:val="num" w:pos="5897"/>
        </w:tabs>
        <w:ind w:left="5897" w:hanging="360"/>
      </w:pPr>
    </w:lvl>
    <w:lvl w:ilvl="7" w:tplc="10090019" w:tentative="1">
      <w:start w:val="1"/>
      <w:numFmt w:val="lowerLetter"/>
      <w:lvlText w:val="%8."/>
      <w:lvlJc w:val="left"/>
      <w:pPr>
        <w:tabs>
          <w:tab w:val="num" w:pos="6617"/>
        </w:tabs>
        <w:ind w:left="6617" w:hanging="360"/>
      </w:pPr>
    </w:lvl>
    <w:lvl w:ilvl="8" w:tplc="1009001B" w:tentative="1">
      <w:start w:val="1"/>
      <w:numFmt w:val="lowerRoman"/>
      <w:lvlText w:val="%9."/>
      <w:lvlJc w:val="right"/>
      <w:pPr>
        <w:tabs>
          <w:tab w:val="num" w:pos="7337"/>
        </w:tabs>
        <w:ind w:left="7337" w:hanging="180"/>
      </w:pPr>
    </w:lvl>
  </w:abstractNum>
  <w:abstractNum w:abstractNumId="14">
    <w:nsid w:val="253173C5"/>
    <w:multiLevelType w:val="hybridMultilevel"/>
    <w:tmpl w:val="96C0E270"/>
    <w:lvl w:ilvl="0" w:tplc="BE58C6B4">
      <w:start w:val="195"/>
      <w:numFmt w:val="decimal"/>
      <w:lvlText w:val="%1"/>
      <w:lvlJc w:val="left"/>
      <w:pPr>
        <w:ind w:left="2118" w:hanging="360"/>
      </w:pPr>
      <w:rPr>
        <w:rFonts w:hint="default"/>
      </w:rPr>
    </w:lvl>
    <w:lvl w:ilvl="1" w:tplc="04090019" w:tentative="1">
      <w:start w:val="1"/>
      <w:numFmt w:val="lowerLetter"/>
      <w:lvlText w:val="%2."/>
      <w:lvlJc w:val="left"/>
      <w:pPr>
        <w:ind w:left="2838" w:hanging="360"/>
      </w:pPr>
    </w:lvl>
    <w:lvl w:ilvl="2" w:tplc="0409001B" w:tentative="1">
      <w:start w:val="1"/>
      <w:numFmt w:val="lowerRoman"/>
      <w:lvlText w:val="%3."/>
      <w:lvlJc w:val="right"/>
      <w:pPr>
        <w:ind w:left="3558" w:hanging="180"/>
      </w:pPr>
    </w:lvl>
    <w:lvl w:ilvl="3" w:tplc="0409000F" w:tentative="1">
      <w:start w:val="1"/>
      <w:numFmt w:val="decimal"/>
      <w:lvlText w:val="%4."/>
      <w:lvlJc w:val="left"/>
      <w:pPr>
        <w:ind w:left="4278" w:hanging="360"/>
      </w:pPr>
    </w:lvl>
    <w:lvl w:ilvl="4" w:tplc="04090019" w:tentative="1">
      <w:start w:val="1"/>
      <w:numFmt w:val="lowerLetter"/>
      <w:lvlText w:val="%5."/>
      <w:lvlJc w:val="left"/>
      <w:pPr>
        <w:ind w:left="4998" w:hanging="360"/>
      </w:pPr>
    </w:lvl>
    <w:lvl w:ilvl="5" w:tplc="0409001B" w:tentative="1">
      <w:start w:val="1"/>
      <w:numFmt w:val="lowerRoman"/>
      <w:lvlText w:val="%6."/>
      <w:lvlJc w:val="right"/>
      <w:pPr>
        <w:ind w:left="5718" w:hanging="180"/>
      </w:pPr>
    </w:lvl>
    <w:lvl w:ilvl="6" w:tplc="0409000F" w:tentative="1">
      <w:start w:val="1"/>
      <w:numFmt w:val="decimal"/>
      <w:lvlText w:val="%7."/>
      <w:lvlJc w:val="left"/>
      <w:pPr>
        <w:ind w:left="6438" w:hanging="360"/>
      </w:pPr>
    </w:lvl>
    <w:lvl w:ilvl="7" w:tplc="04090019" w:tentative="1">
      <w:start w:val="1"/>
      <w:numFmt w:val="lowerLetter"/>
      <w:lvlText w:val="%8."/>
      <w:lvlJc w:val="left"/>
      <w:pPr>
        <w:ind w:left="7158" w:hanging="360"/>
      </w:pPr>
    </w:lvl>
    <w:lvl w:ilvl="8" w:tplc="0409001B" w:tentative="1">
      <w:start w:val="1"/>
      <w:numFmt w:val="lowerRoman"/>
      <w:lvlText w:val="%9."/>
      <w:lvlJc w:val="right"/>
      <w:pPr>
        <w:ind w:left="7878" w:hanging="180"/>
      </w:pPr>
    </w:lvl>
  </w:abstractNum>
  <w:abstractNum w:abstractNumId="15">
    <w:nsid w:val="2ABE7A4B"/>
    <w:multiLevelType w:val="hybridMultilevel"/>
    <w:tmpl w:val="DCA6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200F62"/>
    <w:multiLevelType w:val="hybridMultilevel"/>
    <w:tmpl w:val="C2B65090"/>
    <w:lvl w:ilvl="0" w:tplc="07AA5678">
      <w:start w:val="1"/>
      <w:numFmt w:val="decimal"/>
      <w:pStyle w:val="TechnicalNoteBullet2"/>
      <w:lvlText w:val="%1."/>
      <w:lvlJc w:val="left"/>
      <w:pPr>
        <w:tabs>
          <w:tab w:val="num" w:pos="1440"/>
        </w:tabs>
        <w:ind w:left="1440" w:hanging="720"/>
      </w:pPr>
      <w:rPr>
        <w:rFonts w:hint="default"/>
      </w:rPr>
    </w:lvl>
    <w:lvl w:ilvl="1" w:tplc="D4181AB2" w:tentative="1">
      <w:start w:val="1"/>
      <w:numFmt w:val="bullet"/>
      <w:lvlText w:val="o"/>
      <w:lvlJc w:val="left"/>
      <w:pPr>
        <w:tabs>
          <w:tab w:val="num" w:pos="1440"/>
        </w:tabs>
        <w:ind w:left="1440" w:hanging="360"/>
      </w:pPr>
      <w:rPr>
        <w:rFonts w:ascii="Courier New" w:hAnsi="Courier New" w:hint="default"/>
      </w:rPr>
    </w:lvl>
    <w:lvl w:ilvl="2" w:tplc="5CD4C8E4" w:tentative="1">
      <w:start w:val="1"/>
      <w:numFmt w:val="bullet"/>
      <w:lvlText w:val=""/>
      <w:lvlJc w:val="left"/>
      <w:pPr>
        <w:tabs>
          <w:tab w:val="num" w:pos="2160"/>
        </w:tabs>
        <w:ind w:left="2160" w:hanging="360"/>
      </w:pPr>
      <w:rPr>
        <w:rFonts w:ascii="Wingdings" w:hAnsi="Wingdings" w:hint="default"/>
      </w:rPr>
    </w:lvl>
    <w:lvl w:ilvl="3" w:tplc="47285672" w:tentative="1">
      <w:start w:val="1"/>
      <w:numFmt w:val="bullet"/>
      <w:lvlText w:val=""/>
      <w:lvlJc w:val="left"/>
      <w:pPr>
        <w:tabs>
          <w:tab w:val="num" w:pos="2880"/>
        </w:tabs>
        <w:ind w:left="2880" w:hanging="360"/>
      </w:pPr>
      <w:rPr>
        <w:rFonts w:ascii="Symbol" w:hAnsi="Symbol" w:hint="default"/>
      </w:rPr>
    </w:lvl>
    <w:lvl w:ilvl="4" w:tplc="AE8235A2" w:tentative="1">
      <w:start w:val="1"/>
      <w:numFmt w:val="bullet"/>
      <w:lvlText w:val="o"/>
      <w:lvlJc w:val="left"/>
      <w:pPr>
        <w:tabs>
          <w:tab w:val="num" w:pos="3600"/>
        </w:tabs>
        <w:ind w:left="3600" w:hanging="360"/>
      </w:pPr>
      <w:rPr>
        <w:rFonts w:ascii="Courier New" w:hAnsi="Courier New" w:hint="default"/>
      </w:rPr>
    </w:lvl>
    <w:lvl w:ilvl="5" w:tplc="DBC0011A" w:tentative="1">
      <w:start w:val="1"/>
      <w:numFmt w:val="bullet"/>
      <w:lvlText w:val=""/>
      <w:lvlJc w:val="left"/>
      <w:pPr>
        <w:tabs>
          <w:tab w:val="num" w:pos="4320"/>
        </w:tabs>
        <w:ind w:left="4320" w:hanging="360"/>
      </w:pPr>
      <w:rPr>
        <w:rFonts w:ascii="Wingdings" w:hAnsi="Wingdings" w:hint="default"/>
      </w:rPr>
    </w:lvl>
    <w:lvl w:ilvl="6" w:tplc="BC2C8788" w:tentative="1">
      <w:start w:val="1"/>
      <w:numFmt w:val="bullet"/>
      <w:lvlText w:val=""/>
      <w:lvlJc w:val="left"/>
      <w:pPr>
        <w:tabs>
          <w:tab w:val="num" w:pos="5040"/>
        </w:tabs>
        <w:ind w:left="5040" w:hanging="360"/>
      </w:pPr>
      <w:rPr>
        <w:rFonts w:ascii="Symbol" w:hAnsi="Symbol" w:hint="default"/>
      </w:rPr>
    </w:lvl>
    <w:lvl w:ilvl="7" w:tplc="109EF3BA" w:tentative="1">
      <w:start w:val="1"/>
      <w:numFmt w:val="bullet"/>
      <w:lvlText w:val="o"/>
      <w:lvlJc w:val="left"/>
      <w:pPr>
        <w:tabs>
          <w:tab w:val="num" w:pos="5760"/>
        </w:tabs>
        <w:ind w:left="5760" w:hanging="360"/>
      </w:pPr>
      <w:rPr>
        <w:rFonts w:ascii="Courier New" w:hAnsi="Courier New" w:hint="default"/>
      </w:rPr>
    </w:lvl>
    <w:lvl w:ilvl="8" w:tplc="B2342076" w:tentative="1">
      <w:start w:val="1"/>
      <w:numFmt w:val="bullet"/>
      <w:lvlText w:val=""/>
      <w:lvlJc w:val="left"/>
      <w:pPr>
        <w:tabs>
          <w:tab w:val="num" w:pos="6480"/>
        </w:tabs>
        <w:ind w:left="6480" w:hanging="360"/>
      </w:pPr>
      <w:rPr>
        <w:rFonts w:ascii="Wingdings" w:hAnsi="Wingdings" w:hint="default"/>
      </w:rPr>
    </w:lvl>
  </w:abstractNum>
  <w:abstractNum w:abstractNumId="17">
    <w:nsid w:val="31315FDB"/>
    <w:multiLevelType w:val="hybridMultilevel"/>
    <w:tmpl w:val="4724C1E2"/>
    <w:lvl w:ilvl="0" w:tplc="55367B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6A6451"/>
    <w:multiLevelType w:val="hybridMultilevel"/>
    <w:tmpl w:val="83E458E6"/>
    <w:lvl w:ilvl="0" w:tplc="FFFFFFFF">
      <w:start w:val="1"/>
      <w:numFmt w:val="bullet"/>
      <w:pStyle w:val="Bullet1"/>
      <w:lvlText w:val=""/>
      <w:lvlJc w:val="left"/>
      <w:pPr>
        <w:tabs>
          <w:tab w:val="num" w:pos="600"/>
        </w:tabs>
        <w:ind w:left="600" w:hanging="360"/>
      </w:pPr>
      <w:rPr>
        <w:rFonts w:ascii="Symbol" w:hAnsi="Symbol" w:hint="default"/>
      </w:rPr>
    </w:lvl>
    <w:lvl w:ilvl="1" w:tplc="FFFFFFFF">
      <w:start w:val="1"/>
      <w:numFmt w:val="bullet"/>
      <w:lvlText w:val="o"/>
      <w:lvlJc w:val="left"/>
      <w:pPr>
        <w:tabs>
          <w:tab w:val="num" w:pos="2040"/>
        </w:tabs>
        <w:ind w:left="2040" w:hanging="720"/>
      </w:pPr>
      <w:rPr>
        <w:rFonts w:hint="default"/>
      </w:rPr>
    </w:lvl>
    <w:lvl w:ilvl="2" w:tplc="78EA3498">
      <w:start w:val="5"/>
      <w:numFmt w:val="lowerLetter"/>
      <w:lvlText w:val="(%3)"/>
      <w:lvlJc w:val="left"/>
      <w:pPr>
        <w:tabs>
          <w:tab w:val="num" w:pos="2835"/>
        </w:tabs>
        <w:ind w:left="2835" w:hanging="615"/>
      </w:pPr>
      <w:rPr>
        <w:rFonts w:hint="default"/>
      </w:rPr>
    </w:lvl>
    <w:lvl w:ilvl="3" w:tplc="04090017">
      <w:start w:val="1"/>
      <w:numFmt w:val="lowerLetter"/>
      <w:lvlText w:val="%4)"/>
      <w:lvlJc w:val="left"/>
      <w:pPr>
        <w:tabs>
          <w:tab w:val="num" w:pos="600"/>
        </w:tabs>
        <w:ind w:left="60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9">
    <w:nsid w:val="31B70096"/>
    <w:multiLevelType w:val="hybridMultilevel"/>
    <w:tmpl w:val="6450C7D8"/>
    <w:lvl w:ilvl="0" w:tplc="16E25C74">
      <w:start w:val="1"/>
      <w:numFmt w:val="bullet"/>
      <w:pStyle w:val="MargeBulletNormalText"/>
      <w:lvlText w:val=""/>
      <w:lvlJc w:val="left"/>
      <w:pPr>
        <w:tabs>
          <w:tab w:val="num" w:pos="360"/>
        </w:tabs>
        <w:ind w:left="360" w:hanging="360"/>
      </w:pPr>
      <w:rPr>
        <w:rFonts w:ascii="Symbol" w:hAnsi="Symbol" w:hint="default"/>
      </w:rPr>
    </w:lvl>
    <w:lvl w:ilvl="1" w:tplc="2F8ECC72" w:tentative="1">
      <w:start w:val="1"/>
      <w:numFmt w:val="bullet"/>
      <w:lvlText w:val="o"/>
      <w:lvlJc w:val="left"/>
      <w:pPr>
        <w:tabs>
          <w:tab w:val="num" w:pos="1440"/>
        </w:tabs>
        <w:ind w:left="1440" w:hanging="360"/>
      </w:pPr>
      <w:rPr>
        <w:rFonts w:ascii="Courier New" w:hAnsi="Courier New" w:hint="default"/>
      </w:rPr>
    </w:lvl>
    <w:lvl w:ilvl="2" w:tplc="B2588650" w:tentative="1">
      <w:start w:val="1"/>
      <w:numFmt w:val="bullet"/>
      <w:lvlText w:val=""/>
      <w:lvlJc w:val="left"/>
      <w:pPr>
        <w:tabs>
          <w:tab w:val="num" w:pos="2160"/>
        </w:tabs>
        <w:ind w:left="2160" w:hanging="360"/>
      </w:pPr>
      <w:rPr>
        <w:rFonts w:ascii="Wingdings" w:hAnsi="Wingdings" w:hint="default"/>
      </w:rPr>
    </w:lvl>
    <w:lvl w:ilvl="3" w:tplc="1A4C4FDE" w:tentative="1">
      <w:start w:val="1"/>
      <w:numFmt w:val="bullet"/>
      <w:lvlText w:val=""/>
      <w:lvlJc w:val="left"/>
      <w:pPr>
        <w:tabs>
          <w:tab w:val="num" w:pos="2880"/>
        </w:tabs>
        <w:ind w:left="2880" w:hanging="360"/>
      </w:pPr>
      <w:rPr>
        <w:rFonts w:ascii="Symbol" w:hAnsi="Symbol" w:hint="default"/>
      </w:rPr>
    </w:lvl>
    <w:lvl w:ilvl="4" w:tplc="7A8813E4" w:tentative="1">
      <w:start w:val="1"/>
      <w:numFmt w:val="bullet"/>
      <w:lvlText w:val="o"/>
      <w:lvlJc w:val="left"/>
      <w:pPr>
        <w:tabs>
          <w:tab w:val="num" w:pos="3600"/>
        </w:tabs>
        <w:ind w:left="3600" w:hanging="360"/>
      </w:pPr>
      <w:rPr>
        <w:rFonts w:ascii="Courier New" w:hAnsi="Courier New" w:hint="default"/>
      </w:rPr>
    </w:lvl>
    <w:lvl w:ilvl="5" w:tplc="6AA26342" w:tentative="1">
      <w:start w:val="1"/>
      <w:numFmt w:val="bullet"/>
      <w:lvlText w:val=""/>
      <w:lvlJc w:val="left"/>
      <w:pPr>
        <w:tabs>
          <w:tab w:val="num" w:pos="4320"/>
        </w:tabs>
        <w:ind w:left="4320" w:hanging="360"/>
      </w:pPr>
      <w:rPr>
        <w:rFonts w:ascii="Wingdings" w:hAnsi="Wingdings" w:hint="default"/>
      </w:rPr>
    </w:lvl>
    <w:lvl w:ilvl="6" w:tplc="663EF97E" w:tentative="1">
      <w:start w:val="1"/>
      <w:numFmt w:val="bullet"/>
      <w:lvlText w:val=""/>
      <w:lvlJc w:val="left"/>
      <w:pPr>
        <w:tabs>
          <w:tab w:val="num" w:pos="5040"/>
        </w:tabs>
        <w:ind w:left="5040" w:hanging="360"/>
      </w:pPr>
      <w:rPr>
        <w:rFonts w:ascii="Symbol" w:hAnsi="Symbol" w:hint="default"/>
      </w:rPr>
    </w:lvl>
    <w:lvl w:ilvl="7" w:tplc="00A05FB6" w:tentative="1">
      <w:start w:val="1"/>
      <w:numFmt w:val="bullet"/>
      <w:lvlText w:val="o"/>
      <w:lvlJc w:val="left"/>
      <w:pPr>
        <w:tabs>
          <w:tab w:val="num" w:pos="5760"/>
        </w:tabs>
        <w:ind w:left="5760" w:hanging="360"/>
      </w:pPr>
      <w:rPr>
        <w:rFonts w:ascii="Courier New" w:hAnsi="Courier New" w:hint="default"/>
      </w:rPr>
    </w:lvl>
    <w:lvl w:ilvl="8" w:tplc="64C2D482" w:tentative="1">
      <w:start w:val="1"/>
      <w:numFmt w:val="bullet"/>
      <w:lvlText w:val=""/>
      <w:lvlJc w:val="left"/>
      <w:pPr>
        <w:tabs>
          <w:tab w:val="num" w:pos="6480"/>
        </w:tabs>
        <w:ind w:left="6480" w:hanging="360"/>
      </w:pPr>
      <w:rPr>
        <w:rFonts w:ascii="Wingdings" w:hAnsi="Wingdings" w:hint="default"/>
      </w:rPr>
    </w:lvl>
  </w:abstractNum>
  <w:abstractNum w:abstractNumId="20">
    <w:nsid w:val="33557C62"/>
    <w:multiLevelType w:val="hybridMultilevel"/>
    <w:tmpl w:val="00C033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E7F9A"/>
    <w:multiLevelType w:val="hybridMultilevel"/>
    <w:tmpl w:val="F3083110"/>
    <w:lvl w:ilvl="0" w:tplc="53E6F484">
      <w:start w:val="9"/>
      <w:numFmt w:val="lowerLetter"/>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2">
    <w:nsid w:val="39854FD2"/>
    <w:multiLevelType w:val="hybridMultilevel"/>
    <w:tmpl w:val="0580674C"/>
    <w:lvl w:ilvl="0" w:tplc="6AD87F8E">
      <w:start w:val="1"/>
      <w:numFmt w:val="lowerLetter"/>
      <w:lvlText w:val="(%1)"/>
      <w:lvlJc w:val="left"/>
      <w:pPr>
        <w:tabs>
          <w:tab w:val="num" w:pos="1607"/>
        </w:tabs>
        <w:ind w:left="16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F3430A"/>
    <w:multiLevelType w:val="hybridMultilevel"/>
    <w:tmpl w:val="E108ACE2"/>
    <w:lvl w:ilvl="0" w:tplc="48A0776C">
      <w:start w:val="1"/>
      <w:numFmt w:val="lowerLetter"/>
      <w:lvlText w:val="(%1)"/>
      <w:lvlJc w:val="left"/>
      <w:pPr>
        <w:ind w:left="2200" w:hanging="360"/>
      </w:pPr>
      <w:rPr>
        <w:rFonts w:hint="default"/>
      </w:rPr>
    </w:lvl>
    <w:lvl w:ilvl="1" w:tplc="21B8F99C">
      <w:start w:val="1"/>
      <w:numFmt w:val="lowerRoman"/>
      <w:lvlText w:val="%2."/>
      <w:lvlJc w:val="left"/>
      <w:pPr>
        <w:ind w:left="2920" w:hanging="360"/>
      </w:pPr>
      <w:rPr>
        <w:rFonts w:ascii="Times New Roman" w:eastAsia="SimSun" w:hAnsi="Times New Roman" w:cs="Times New Roman"/>
      </w:rPr>
    </w:lvl>
    <w:lvl w:ilvl="2" w:tplc="0409001B">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24">
    <w:nsid w:val="46B13A52"/>
    <w:multiLevelType w:val="hybridMultilevel"/>
    <w:tmpl w:val="FFF61A22"/>
    <w:lvl w:ilvl="0" w:tplc="F79E22CE">
      <w:start w:val="1"/>
      <w:numFmt w:val="decimal"/>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DA16B2"/>
    <w:multiLevelType w:val="hybridMultilevel"/>
    <w:tmpl w:val="DCA6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5F4AB6"/>
    <w:multiLevelType w:val="hybridMultilevel"/>
    <w:tmpl w:val="876A5020"/>
    <w:lvl w:ilvl="0" w:tplc="671E873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E003F2"/>
    <w:multiLevelType w:val="hybridMultilevel"/>
    <w:tmpl w:val="D39A32AC"/>
    <w:lvl w:ilvl="0" w:tplc="B984A43A">
      <w:start w:val="50"/>
      <w:numFmt w:val="bullet"/>
      <w:lvlText w:val=""/>
      <w:lvlJc w:val="left"/>
      <w:pPr>
        <w:ind w:left="1636" w:hanging="360"/>
      </w:pPr>
      <w:rPr>
        <w:rFonts w:ascii="Symbol" w:eastAsia="Times New Roman" w:hAnsi="Symbol" w:cs="Times New Roman" w:hint="default"/>
        <w:sz w:val="18"/>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8">
    <w:nsid w:val="4EBD6056"/>
    <w:multiLevelType w:val="singleLevel"/>
    <w:tmpl w:val="22D82B4C"/>
    <w:lvl w:ilvl="0">
      <w:start w:val="1"/>
      <w:numFmt w:val="lowerRoman"/>
      <w:pStyle w:val="Paralevel3"/>
      <w:lvlText w:val="(%1)"/>
      <w:lvlJc w:val="left"/>
      <w:pPr>
        <w:tabs>
          <w:tab w:val="num" w:pos="2892"/>
        </w:tabs>
        <w:ind w:left="2892" w:hanging="579"/>
      </w:pPr>
      <w:rPr>
        <w:rFonts w:hint="default"/>
      </w:rPr>
    </w:lvl>
  </w:abstractNum>
  <w:abstractNum w:abstractNumId="29">
    <w:nsid w:val="50895292"/>
    <w:multiLevelType w:val="singleLevel"/>
    <w:tmpl w:val="F612B654"/>
    <w:lvl w:ilvl="0">
      <w:start w:val="1"/>
      <w:numFmt w:val="decimal"/>
      <w:pStyle w:val="Normal-num"/>
      <w:lvlText w:val="%1."/>
      <w:lvlJc w:val="left"/>
      <w:pPr>
        <w:tabs>
          <w:tab w:val="num" w:pos="720"/>
        </w:tabs>
        <w:ind w:left="720" w:hanging="720"/>
      </w:pPr>
      <w:rPr>
        <w:rFonts w:hint="default"/>
      </w:rPr>
    </w:lvl>
  </w:abstractNum>
  <w:abstractNum w:abstractNumId="30">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1">
    <w:nsid w:val="550A155A"/>
    <w:multiLevelType w:val="hybridMultilevel"/>
    <w:tmpl w:val="1CE2525C"/>
    <w:lvl w:ilvl="0" w:tplc="F10CF9C0">
      <w:start w:val="1"/>
      <w:numFmt w:val="lowerLetter"/>
      <w:lvlText w:val="(%1)"/>
      <w:lvlJc w:val="left"/>
      <w:pPr>
        <w:ind w:left="2486" w:hanging="360"/>
      </w:pPr>
      <w:rPr>
        <w:rFonts w:hint="default"/>
        <w:b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C55217"/>
    <w:multiLevelType w:val="hybridMultilevel"/>
    <w:tmpl w:val="994EB274"/>
    <w:lvl w:ilvl="0" w:tplc="459AB24A">
      <w:start w:val="1"/>
      <w:numFmt w:val="bullet"/>
      <w:pStyle w:val="ListBullet2"/>
      <w:lvlText w:val="­"/>
      <w:lvlJc w:val="left"/>
      <w:pPr>
        <w:tabs>
          <w:tab w:val="num" w:pos="2160"/>
        </w:tabs>
        <w:ind w:left="2160" w:hanging="360"/>
      </w:pPr>
      <w:rPr>
        <w:rFonts w:hAnsi="Courier New" w:hint="default"/>
      </w:rPr>
    </w:lvl>
    <w:lvl w:ilvl="1" w:tplc="413C0AA8">
      <w:start w:val="136"/>
      <w:numFmt w:val="decimal"/>
      <w:lvlText w:val="%2."/>
      <w:lvlJc w:val="left"/>
      <w:pPr>
        <w:tabs>
          <w:tab w:val="num" w:pos="360"/>
        </w:tabs>
        <w:ind w:left="0" w:firstLine="0"/>
      </w:pPr>
      <w:rPr>
        <w:rFonts w:hint="default"/>
        <w:b w:val="0"/>
        <w:i w:val="0"/>
        <w:sz w:val="22"/>
      </w:rPr>
    </w:lvl>
    <w:lvl w:ilvl="2" w:tplc="0B32FB9C">
      <w:start w:val="1"/>
      <w:numFmt w:val="bullet"/>
      <w:lvlText w:val=""/>
      <w:lvlJc w:val="left"/>
      <w:pPr>
        <w:tabs>
          <w:tab w:val="num" w:pos="2880"/>
        </w:tabs>
        <w:ind w:left="2880" w:hanging="360"/>
      </w:pPr>
      <w:rPr>
        <w:rFonts w:ascii="Symbol" w:hAnsi="Symbol" w:hint="default"/>
      </w:rPr>
    </w:lvl>
    <w:lvl w:ilvl="3" w:tplc="11927928" w:tentative="1">
      <w:start w:val="1"/>
      <w:numFmt w:val="bullet"/>
      <w:lvlText w:val=""/>
      <w:lvlJc w:val="left"/>
      <w:pPr>
        <w:tabs>
          <w:tab w:val="num" w:pos="3600"/>
        </w:tabs>
        <w:ind w:left="3600" w:hanging="360"/>
      </w:pPr>
      <w:rPr>
        <w:rFonts w:ascii="Symbol" w:hAnsi="Symbol" w:hint="default"/>
      </w:rPr>
    </w:lvl>
    <w:lvl w:ilvl="4" w:tplc="71AEC0C6" w:tentative="1">
      <w:start w:val="1"/>
      <w:numFmt w:val="bullet"/>
      <w:lvlText w:val="o"/>
      <w:lvlJc w:val="left"/>
      <w:pPr>
        <w:tabs>
          <w:tab w:val="num" w:pos="4320"/>
        </w:tabs>
        <w:ind w:left="4320" w:hanging="360"/>
      </w:pPr>
      <w:rPr>
        <w:rFonts w:ascii="Courier New" w:hAnsi="Courier New" w:hint="default"/>
      </w:rPr>
    </w:lvl>
    <w:lvl w:ilvl="5" w:tplc="25881CF4" w:tentative="1">
      <w:start w:val="1"/>
      <w:numFmt w:val="bullet"/>
      <w:lvlText w:val=""/>
      <w:lvlJc w:val="left"/>
      <w:pPr>
        <w:tabs>
          <w:tab w:val="num" w:pos="5040"/>
        </w:tabs>
        <w:ind w:left="5040" w:hanging="360"/>
      </w:pPr>
      <w:rPr>
        <w:rFonts w:ascii="Wingdings" w:hAnsi="Wingdings" w:hint="default"/>
      </w:rPr>
    </w:lvl>
    <w:lvl w:ilvl="6" w:tplc="1ED63C82" w:tentative="1">
      <w:start w:val="1"/>
      <w:numFmt w:val="bullet"/>
      <w:lvlText w:val=""/>
      <w:lvlJc w:val="left"/>
      <w:pPr>
        <w:tabs>
          <w:tab w:val="num" w:pos="5760"/>
        </w:tabs>
        <w:ind w:left="5760" w:hanging="360"/>
      </w:pPr>
      <w:rPr>
        <w:rFonts w:ascii="Symbol" w:hAnsi="Symbol" w:hint="default"/>
      </w:rPr>
    </w:lvl>
    <w:lvl w:ilvl="7" w:tplc="C1A0CA84" w:tentative="1">
      <w:start w:val="1"/>
      <w:numFmt w:val="bullet"/>
      <w:lvlText w:val="o"/>
      <w:lvlJc w:val="left"/>
      <w:pPr>
        <w:tabs>
          <w:tab w:val="num" w:pos="6480"/>
        </w:tabs>
        <w:ind w:left="6480" w:hanging="360"/>
      </w:pPr>
      <w:rPr>
        <w:rFonts w:ascii="Courier New" w:hAnsi="Courier New" w:hint="default"/>
      </w:rPr>
    </w:lvl>
    <w:lvl w:ilvl="8" w:tplc="AE2C5610" w:tentative="1">
      <w:start w:val="1"/>
      <w:numFmt w:val="bullet"/>
      <w:lvlText w:val=""/>
      <w:lvlJc w:val="left"/>
      <w:pPr>
        <w:tabs>
          <w:tab w:val="num" w:pos="7200"/>
        </w:tabs>
        <w:ind w:left="7200" w:hanging="360"/>
      </w:pPr>
      <w:rPr>
        <w:rFonts w:ascii="Wingdings" w:hAnsi="Wingdings" w:hint="default"/>
      </w:rPr>
    </w:lvl>
  </w:abstractNum>
  <w:abstractNum w:abstractNumId="33">
    <w:nsid w:val="5B21463D"/>
    <w:multiLevelType w:val="singleLevel"/>
    <w:tmpl w:val="62EC86CC"/>
    <w:lvl w:ilvl="0">
      <w:start w:val="1"/>
      <w:numFmt w:val="decimal"/>
      <w:pStyle w:val="Level1"/>
      <w:lvlText w:val="%1."/>
      <w:lvlJc w:val="left"/>
      <w:pPr>
        <w:tabs>
          <w:tab w:val="num" w:pos="360"/>
        </w:tabs>
        <w:ind w:left="0" w:firstLine="0"/>
      </w:pPr>
      <w:rPr>
        <w:rFonts w:ascii="Times New Roman" w:hAnsi="Times New Roman" w:hint="default"/>
        <w:b w:val="0"/>
        <w:i w:val="0"/>
        <w:sz w:val="20"/>
      </w:rPr>
    </w:lvl>
  </w:abstractNum>
  <w:abstractNum w:abstractNumId="34">
    <w:nsid w:val="5F562365"/>
    <w:multiLevelType w:val="hybridMultilevel"/>
    <w:tmpl w:val="1B02A31E"/>
    <w:lvl w:ilvl="0" w:tplc="6B762308">
      <w:start w:val="1"/>
      <w:numFmt w:val="bullet"/>
      <w:pStyle w:val="Bullet10"/>
      <w:lvlText w:val=""/>
      <w:lvlJc w:val="left"/>
      <w:pPr>
        <w:tabs>
          <w:tab w:val="num" w:pos="720"/>
        </w:tabs>
        <w:ind w:left="720" w:hanging="360"/>
      </w:pPr>
      <w:rPr>
        <w:rFonts w:ascii="Symbol" w:hAnsi="Symbol" w:hint="default"/>
      </w:rPr>
    </w:lvl>
    <w:lvl w:ilvl="1" w:tplc="7304E028">
      <w:start w:val="1"/>
      <w:numFmt w:val="bullet"/>
      <w:lvlText w:val=""/>
      <w:lvlJc w:val="left"/>
      <w:pPr>
        <w:tabs>
          <w:tab w:val="num" w:pos="1440"/>
        </w:tabs>
        <w:ind w:left="1440" w:hanging="360"/>
      </w:pPr>
      <w:rPr>
        <w:rFonts w:ascii="Symbol" w:hAnsi="Symbol" w:hint="default"/>
        <w:color w:val="auto"/>
      </w:rPr>
    </w:lvl>
    <w:lvl w:ilvl="2" w:tplc="083C31CC" w:tentative="1">
      <w:start w:val="1"/>
      <w:numFmt w:val="bullet"/>
      <w:lvlText w:val=""/>
      <w:lvlJc w:val="left"/>
      <w:pPr>
        <w:tabs>
          <w:tab w:val="num" w:pos="2160"/>
        </w:tabs>
        <w:ind w:left="2160" w:hanging="360"/>
      </w:pPr>
      <w:rPr>
        <w:rFonts w:ascii="Wingdings" w:hAnsi="Wingdings" w:hint="default"/>
      </w:rPr>
    </w:lvl>
    <w:lvl w:ilvl="3" w:tplc="C0C4AEEA" w:tentative="1">
      <w:start w:val="1"/>
      <w:numFmt w:val="bullet"/>
      <w:lvlText w:val=""/>
      <w:lvlJc w:val="left"/>
      <w:pPr>
        <w:tabs>
          <w:tab w:val="num" w:pos="2880"/>
        </w:tabs>
        <w:ind w:left="2880" w:hanging="360"/>
      </w:pPr>
      <w:rPr>
        <w:rFonts w:ascii="Symbol" w:hAnsi="Symbol" w:hint="default"/>
      </w:rPr>
    </w:lvl>
    <w:lvl w:ilvl="4" w:tplc="E0B065C6" w:tentative="1">
      <w:start w:val="1"/>
      <w:numFmt w:val="bullet"/>
      <w:lvlText w:val="o"/>
      <w:lvlJc w:val="left"/>
      <w:pPr>
        <w:tabs>
          <w:tab w:val="num" w:pos="3600"/>
        </w:tabs>
        <w:ind w:left="3600" w:hanging="360"/>
      </w:pPr>
      <w:rPr>
        <w:rFonts w:ascii="Courier New" w:hAnsi="Courier New" w:hint="default"/>
      </w:rPr>
    </w:lvl>
    <w:lvl w:ilvl="5" w:tplc="B4A01486" w:tentative="1">
      <w:start w:val="1"/>
      <w:numFmt w:val="bullet"/>
      <w:lvlText w:val=""/>
      <w:lvlJc w:val="left"/>
      <w:pPr>
        <w:tabs>
          <w:tab w:val="num" w:pos="4320"/>
        </w:tabs>
        <w:ind w:left="4320" w:hanging="360"/>
      </w:pPr>
      <w:rPr>
        <w:rFonts w:ascii="Wingdings" w:hAnsi="Wingdings" w:hint="default"/>
      </w:rPr>
    </w:lvl>
    <w:lvl w:ilvl="6" w:tplc="B10E1C6E" w:tentative="1">
      <w:start w:val="1"/>
      <w:numFmt w:val="bullet"/>
      <w:lvlText w:val=""/>
      <w:lvlJc w:val="left"/>
      <w:pPr>
        <w:tabs>
          <w:tab w:val="num" w:pos="5040"/>
        </w:tabs>
        <w:ind w:left="5040" w:hanging="360"/>
      </w:pPr>
      <w:rPr>
        <w:rFonts w:ascii="Symbol" w:hAnsi="Symbol" w:hint="default"/>
      </w:rPr>
    </w:lvl>
    <w:lvl w:ilvl="7" w:tplc="2D94E224" w:tentative="1">
      <w:start w:val="1"/>
      <w:numFmt w:val="bullet"/>
      <w:lvlText w:val="o"/>
      <w:lvlJc w:val="left"/>
      <w:pPr>
        <w:tabs>
          <w:tab w:val="num" w:pos="5760"/>
        </w:tabs>
        <w:ind w:left="5760" w:hanging="360"/>
      </w:pPr>
      <w:rPr>
        <w:rFonts w:ascii="Courier New" w:hAnsi="Courier New" w:hint="default"/>
      </w:rPr>
    </w:lvl>
    <w:lvl w:ilvl="8" w:tplc="2F763288" w:tentative="1">
      <w:start w:val="1"/>
      <w:numFmt w:val="bullet"/>
      <w:lvlText w:val=""/>
      <w:lvlJc w:val="left"/>
      <w:pPr>
        <w:tabs>
          <w:tab w:val="num" w:pos="6480"/>
        </w:tabs>
        <w:ind w:left="6480" w:hanging="360"/>
      </w:pPr>
      <w:rPr>
        <w:rFonts w:ascii="Wingdings" w:hAnsi="Wingdings" w:hint="default"/>
      </w:rPr>
    </w:lvl>
  </w:abstractNum>
  <w:abstractNum w:abstractNumId="35">
    <w:nsid w:val="60416CA0"/>
    <w:multiLevelType w:val="hybridMultilevel"/>
    <w:tmpl w:val="2DF68224"/>
    <w:lvl w:ilvl="0" w:tplc="881616A0">
      <w:start w:val="1"/>
      <w:numFmt w:val="lowerRoman"/>
      <w:lvlText w:val="(%1)"/>
      <w:lvlJc w:val="left"/>
      <w:pPr>
        <w:ind w:left="2592" w:hanging="360"/>
      </w:pPr>
      <w:rPr>
        <w:rFonts w:hint="default"/>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36">
    <w:nsid w:val="62E12C36"/>
    <w:multiLevelType w:val="hybridMultilevel"/>
    <w:tmpl w:val="A6E4F7EE"/>
    <w:lvl w:ilvl="0" w:tplc="F796BEFE">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7">
    <w:nsid w:val="647538E3"/>
    <w:multiLevelType w:val="hybridMultilevel"/>
    <w:tmpl w:val="C2C46DEE"/>
    <w:lvl w:ilvl="0" w:tplc="05C6F60C">
      <w:start w:val="50"/>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4F5C19"/>
    <w:multiLevelType w:val="hybridMultilevel"/>
    <w:tmpl w:val="0DCA8030"/>
    <w:lvl w:ilvl="0" w:tplc="BCD01AB4">
      <w:start w:val="1"/>
      <w:numFmt w:val="bullet"/>
      <w:pStyle w:val="Style1"/>
      <w:lvlText w:val=""/>
      <w:lvlJc w:val="left"/>
      <w:pPr>
        <w:tabs>
          <w:tab w:val="num" w:pos="360"/>
        </w:tabs>
        <w:ind w:left="360" w:hanging="360"/>
      </w:pPr>
      <w:rPr>
        <w:rFonts w:ascii="Symbol" w:hAnsi="Symbol" w:hint="default"/>
        <w:sz w:val="16"/>
      </w:rPr>
    </w:lvl>
    <w:lvl w:ilvl="1" w:tplc="E460BAF6" w:tentative="1">
      <w:start w:val="1"/>
      <w:numFmt w:val="bullet"/>
      <w:lvlText w:val="o"/>
      <w:lvlJc w:val="left"/>
      <w:pPr>
        <w:tabs>
          <w:tab w:val="num" w:pos="1440"/>
        </w:tabs>
        <w:ind w:left="1440" w:hanging="360"/>
      </w:pPr>
      <w:rPr>
        <w:rFonts w:ascii="Courier New" w:hAnsi="Courier New" w:hint="default"/>
      </w:rPr>
    </w:lvl>
    <w:lvl w:ilvl="2" w:tplc="0E0085B8" w:tentative="1">
      <w:start w:val="1"/>
      <w:numFmt w:val="bullet"/>
      <w:lvlText w:val=""/>
      <w:lvlJc w:val="left"/>
      <w:pPr>
        <w:tabs>
          <w:tab w:val="num" w:pos="2160"/>
        </w:tabs>
        <w:ind w:left="2160" w:hanging="360"/>
      </w:pPr>
      <w:rPr>
        <w:rFonts w:ascii="Wingdings" w:hAnsi="Wingdings" w:hint="default"/>
      </w:rPr>
    </w:lvl>
    <w:lvl w:ilvl="3" w:tplc="669CE1F8" w:tentative="1">
      <w:start w:val="1"/>
      <w:numFmt w:val="bullet"/>
      <w:lvlText w:val=""/>
      <w:lvlJc w:val="left"/>
      <w:pPr>
        <w:tabs>
          <w:tab w:val="num" w:pos="2880"/>
        </w:tabs>
        <w:ind w:left="2880" w:hanging="360"/>
      </w:pPr>
      <w:rPr>
        <w:rFonts w:ascii="Symbol" w:hAnsi="Symbol" w:hint="default"/>
      </w:rPr>
    </w:lvl>
    <w:lvl w:ilvl="4" w:tplc="807A2752" w:tentative="1">
      <w:start w:val="1"/>
      <w:numFmt w:val="bullet"/>
      <w:lvlText w:val="o"/>
      <w:lvlJc w:val="left"/>
      <w:pPr>
        <w:tabs>
          <w:tab w:val="num" w:pos="3600"/>
        </w:tabs>
        <w:ind w:left="3600" w:hanging="360"/>
      </w:pPr>
      <w:rPr>
        <w:rFonts w:ascii="Courier New" w:hAnsi="Courier New" w:hint="default"/>
      </w:rPr>
    </w:lvl>
    <w:lvl w:ilvl="5" w:tplc="E402B624" w:tentative="1">
      <w:start w:val="1"/>
      <w:numFmt w:val="bullet"/>
      <w:lvlText w:val=""/>
      <w:lvlJc w:val="left"/>
      <w:pPr>
        <w:tabs>
          <w:tab w:val="num" w:pos="4320"/>
        </w:tabs>
        <w:ind w:left="4320" w:hanging="360"/>
      </w:pPr>
      <w:rPr>
        <w:rFonts w:ascii="Wingdings" w:hAnsi="Wingdings" w:hint="default"/>
      </w:rPr>
    </w:lvl>
    <w:lvl w:ilvl="6" w:tplc="F9C46B86" w:tentative="1">
      <w:start w:val="1"/>
      <w:numFmt w:val="bullet"/>
      <w:lvlText w:val=""/>
      <w:lvlJc w:val="left"/>
      <w:pPr>
        <w:tabs>
          <w:tab w:val="num" w:pos="5040"/>
        </w:tabs>
        <w:ind w:left="5040" w:hanging="360"/>
      </w:pPr>
      <w:rPr>
        <w:rFonts w:ascii="Symbol" w:hAnsi="Symbol" w:hint="default"/>
      </w:rPr>
    </w:lvl>
    <w:lvl w:ilvl="7" w:tplc="9312B5F0" w:tentative="1">
      <w:start w:val="1"/>
      <w:numFmt w:val="bullet"/>
      <w:lvlText w:val="o"/>
      <w:lvlJc w:val="left"/>
      <w:pPr>
        <w:tabs>
          <w:tab w:val="num" w:pos="5760"/>
        </w:tabs>
        <w:ind w:left="5760" w:hanging="360"/>
      </w:pPr>
      <w:rPr>
        <w:rFonts w:ascii="Courier New" w:hAnsi="Courier New" w:hint="default"/>
      </w:rPr>
    </w:lvl>
    <w:lvl w:ilvl="8" w:tplc="66F07BD0" w:tentative="1">
      <w:start w:val="1"/>
      <w:numFmt w:val="bullet"/>
      <w:lvlText w:val=""/>
      <w:lvlJc w:val="left"/>
      <w:pPr>
        <w:tabs>
          <w:tab w:val="num" w:pos="6480"/>
        </w:tabs>
        <w:ind w:left="6480" w:hanging="360"/>
      </w:pPr>
      <w:rPr>
        <w:rFonts w:ascii="Wingdings" w:hAnsi="Wingdings" w:hint="default"/>
      </w:rPr>
    </w:lvl>
  </w:abstractNum>
  <w:abstractNum w:abstractNumId="39">
    <w:nsid w:val="698C65B8"/>
    <w:multiLevelType w:val="hybridMultilevel"/>
    <w:tmpl w:val="DA3A8F58"/>
    <w:lvl w:ilvl="0" w:tplc="5AD4E452">
      <w:start w:val="1"/>
      <w:numFmt w:val="bullet"/>
      <w:lvlText w:val=""/>
      <w:lvlJc w:val="left"/>
      <w:pPr>
        <w:tabs>
          <w:tab w:val="num" w:pos="360"/>
        </w:tabs>
        <w:ind w:left="360" w:hanging="360"/>
      </w:pPr>
      <w:rPr>
        <w:rFonts w:ascii="Symbol" w:hAnsi="Symbol" w:hint="default"/>
      </w:rPr>
    </w:lvl>
    <w:lvl w:ilvl="1" w:tplc="9B32633A" w:tentative="1">
      <w:start w:val="1"/>
      <w:numFmt w:val="bullet"/>
      <w:lvlText w:val="o"/>
      <w:lvlJc w:val="left"/>
      <w:pPr>
        <w:tabs>
          <w:tab w:val="num" w:pos="1080"/>
        </w:tabs>
        <w:ind w:left="1080" w:hanging="360"/>
      </w:pPr>
      <w:rPr>
        <w:rFonts w:ascii="Courier New" w:hAnsi="Courier New" w:cs="Arial Narrow" w:hint="default"/>
      </w:rPr>
    </w:lvl>
    <w:lvl w:ilvl="2" w:tplc="07FE1FBE" w:tentative="1">
      <w:start w:val="1"/>
      <w:numFmt w:val="bullet"/>
      <w:lvlText w:val=""/>
      <w:lvlJc w:val="left"/>
      <w:pPr>
        <w:tabs>
          <w:tab w:val="num" w:pos="1800"/>
        </w:tabs>
        <w:ind w:left="1800" w:hanging="360"/>
      </w:pPr>
      <w:rPr>
        <w:rFonts w:ascii="Wingdings" w:hAnsi="Wingdings" w:hint="default"/>
      </w:rPr>
    </w:lvl>
    <w:lvl w:ilvl="3" w:tplc="3CB0ACF2" w:tentative="1">
      <w:start w:val="1"/>
      <w:numFmt w:val="bullet"/>
      <w:lvlText w:val=""/>
      <w:lvlJc w:val="left"/>
      <w:pPr>
        <w:tabs>
          <w:tab w:val="num" w:pos="2520"/>
        </w:tabs>
        <w:ind w:left="2520" w:hanging="360"/>
      </w:pPr>
      <w:rPr>
        <w:rFonts w:ascii="Symbol" w:hAnsi="Symbol" w:hint="default"/>
      </w:rPr>
    </w:lvl>
    <w:lvl w:ilvl="4" w:tplc="4E800990" w:tentative="1">
      <w:start w:val="1"/>
      <w:numFmt w:val="bullet"/>
      <w:lvlText w:val="o"/>
      <w:lvlJc w:val="left"/>
      <w:pPr>
        <w:tabs>
          <w:tab w:val="num" w:pos="3240"/>
        </w:tabs>
        <w:ind w:left="3240" w:hanging="360"/>
      </w:pPr>
      <w:rPr>
        <w:rFonts w:ascii="Courier New" w:hAnsi="Courier New" w:cs="Arial Narrow" w:hint="default"/>
      </w:rPr>
    </w:lvl>
    <w:lvl w:ilvl="5" w:tplc="16368B06" w:tentative="1">
      <w:start w:val="1"/>
      <w:numFmt w:val="bullet"/>
      <w:lvlText w:val=""/>
      <w:lvlJc w:val="left"/>
      <w:pPr>
        <w:tabs>
          <w:tab w:val="num" w:pos="3960"/>
        </w:tabs>
        <w:ind w:left="3960" w:hanging="360"/>
      </w:pPr>
      <w:rPr>
        <w:rFonts w:ascii="Wingdings" w:hAnsi="Wingdings" w:hint="default"/>
      </w:rPr>
    </w:lvl>
    <w:lvl w:ilvl="6" w:tplc="F72AB3B6" w:tentative="1">
      <w:start w:val="1"/>
      <w:numFmt w:val="bullet"/>
      <w:lvlText w:val=""/>
      <w:lvlJc w:val="left"/>
      <w:pPr>
        <w:tabs>
          <w:tab w:val="num" w:pos="4680"/>
        </w:tabs>
        <w:ind w:left="4680" w:hanging="360"/>
      </w:pPr>
      <w:rPr>
        <w:rFonts w:ascii="Symbol" w:hAnsi="Symbol" w:hint="default"/>
      </w:rPr>
    </w:lvl>
    <w:lvl w:ilvl="7" w:tplc="C61CCF52" w:tentative="1">
      <w:start w:val="1"/>
      <w:numFmt w:val="bullet"/>
      <w:lvlText w:val="o"/>
      <w:lvlJc w:val="left"/>
      <w:pPr>
        <w:tabs>
          <w:tab w:val="num" w:pos="5400"/>
        </w:tabs>
        <w:ind w:left="5400" w:hanging="360"/>
      </w:pPr>
      <w:rPr>
        <w:rFonts w:ascii="Courier New" w:hAnsi="Courier New" w:cs="Arial Narrow" w:hint="default"/>
      </w:rPr>
    </w:lvl>
    <w:lvl w:ilvl="8" w:tplc="F94EAE78" w:tentative="1">
      <w:start w:val="1"/>
      <w:numFmt w:val="bullet"/>
      <w:lvlText w:val=""/>
      <w:lvlJc w:val="left"/>
      <w:pPr>
        <w:tabs>
          <w:tab w:val="num" w:pos="6120"/>
        </w:tabs>
        <w:ind w:left="6120" w:hanging="360"/>
      </w:pPr>
      <w:rPr>
        <w:rFonts w:ascii="Wingdings" w:hAnsi="Wingdings" w:hint="default"/>
      </w:rPr>
    </w:lvl>
  </w:abstractNum>
  <w:abstractNum w:abstractNumId="40">
    <w:nsid w:val="6D2F7164"/>
    <w:multiLevelType w:val="hybridMultilevel"/>
    <w:tmpl w:val="35C29E08"/>
    <w:lvl w:ilvl="0" w:tplc="0EAA1480">
      <w:start w:val="1"/>
      <w:numFmt w:val="decimal"/>
      <w:pStyle w:val="Paralevel1"/>
      <w:lvlText w:val="%1."/>
      <w:lvlJc w:val="left"/>
      <w:pPr>
        <w:ind w:left="1713" w:hanging="360"/>
      </w:pPr>
      <w:rPr>
        <w:b w:val="0"/>
        <w:bCs/>
        <w:i w:val="0"/>
        <w:iCs/>
        <w:color w:val="000000"/>
        <w:sz w:val="20"/>
        <w:szCs w:val="2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1">
    <w:nsid w:val="6E9226C1"/>
    <w:multiLevelType w:val="hybridMultilevel"/>
    <w:tmpl w:val="DB225224"/>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42">
    <w:nsid w:val="6F7F2320"/>
    <w:multiLevelType w:val="hybridMultilevel"/>
    <w:tmpl w:val="BA4C6486"/>
    <w:lvl w:ilvl="0" w:tplc="B4466DF4">
      <w:start w:val="1"/>
      <w:numFmt w:val="low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43">
    <w:nsid w:val="7129047F"/>
    <w:multiLevelType w:val="hybridMultilevel"/>
    <w:tmpl w:val="D2C69998"/>
    <w:lvl w:ilvl="0" w:tplc="ACBC29D2">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615584"/>
    <w:multiLevelType w:val="hybridMultilevel"/>
    <w:tmpl w:val="055CF9CA"/>
    <w:lvl w:ilvl="0" w:tplc="F1D65426">
      <w:start w:val="1"/>
      <w:numFmt w:val="bullet"/>
      <w:pStyle w:val="TechnicalNoteBullet1"/>
      <w:lvlText w:val=""/>
      <w:lvlJc w:val="left"/>
      <w:pPr>
        <w:tabs>
          <w:tab w:val="num" w:pos="1440"/>
        </w:tabs>
        <w:ind w:left="1440" w:hanging="720"/>
      </w:pPr>
      <w:rPr>
        <w:rFonts w:ascii="Wingdings" w:hAnsi="Wingdings" w:hint="default"/>
        <w:color w:val="auto"/>
      </w:rPr>
    </w:lvl>
    <w:lvl w:ilvl="1" w:tplc="BE2E7A76" w:tentative="1">
      <w:start w:val="1"/>
      <w:numFmt w:val="bullet"/>
      <w:lvlText w:val="o"/>
      <w:lvlJc w:val="left"/>
      <w:pPr>
        <w:tabs>
          <w:tab w:val="num" w:pos="1440"/>
        </w:tabs>
        <w:ind w:left="1440" w:hanging="360"/>
      </w:pPr>
      <w:rPr>
        <w:rFonts w:ascii="Courier New" w:hAnsi="Courier New" w:hint="default"/>
      </w:rPr>
    </w:lvl>
    <w:lvl w:ilvl="2" w:tplc="8E60A026" w:tentative="1">
      <w:start w:val="1"/>
      <w:numFmt w:val="bullet"/>
      <w:lvlText w:val=""/>
      <w:lvlJc w:val="left"/>
      <w:pPr>
        <w:tabs>
          <w:tab w:val="num" w:pos="2160"/>
        </w:tabs>
        <w:ind w:left="2160" w:hanging="360"/>
      </w:pPr>
      <w:rPr>
        <w:rFonts w:ascii="Wingdings" w:hAnsi="Wingdings" w:hint="default"/>
      </w:rPr>
    </w:lvl>
    <w:lvl w:ilvl="3" w:tplc="71E0149A" w:tentative="1">
      <w:start w:val="1"/>
      <w:numFmt w:val="bullet"/>
      <w:lvlText w:val=""/>
      <w:lvlJc w:val="left"/>
      <w:pPr>
        <w:tabs>
          <w:tab w:val="num" w:pos="2880"/>
        </w:tabs>
        <w:ind w:left="2880" w:hanging="360"/>
      </w:pPr>
      <w:rPr>
        <w:rFonts w:ascii="Symbol" w:hAnsi="Symbol" w:hint="default"/>
      </w:rPr>
    </w:lvl>
    <w:lvl w:ilvl="4" w:tplc="A2BEED0E" w:tentative="1">
      <w:start w:val="1"/>
      <w:numFmt w:val="bullet"/>
      <w:lvlText w:val="o"/>
      <w:lvlJc w:val="left"/>
      <w:pPr>
        <w:tabs>
          <w:tab w:val="num" w:pos="3600"/>
        </w:tabs>
        <w:ind w:left="3600" w:hanging="360"/>
      </w:pPr>
      <w:rPr>
        <w:rFonts w:ascii="Courier New" w:hAnsi="Courier New" w:hint="default"/>
      </w:rPr>
    </w:lvl>
    <w:lvl w:ilvl="5" w:tplc="D7AA52F4" w:tentative="1">
      <w:start w:val="1"/>
      <w:numFmt w:val="bullet"/>
      <w:lvlText w:val=""/>
      <w:lvlJc w:val="left"/>
      <w:pPr>
        <w:tabs>
          <w:tab w:val="num" w:pos="4320"/>
        </w:tabs>
        <w:ind w:left="4320" w:hanging="360"/>
      </w:pPr>
      <w:rPr>
        <w:rFonts w:ascii="Wingdings" w:hAnsi="Wingdings" w:hint="default"/>
      </w:rPr>
    </w:lvl>
    <w:lvl w:ilvl="6" w:tplc="A9A218CA" w:tentative="1">
      <w:start w:val="1"/>
      <w:numFmt w:val="bullet"/>
      <w:lvlText w:val=""/>
      <w:lvlJc w:val="left"/>
      <w:pPr>
        <w:tabs>
          <w:tab w:val="num" w:pos="5040"/>
        </w:tabs>
        <w:ind w:left="5040" w:hanging="360"/>
      </w:pPr>
      <w:rPr>
        <w:rFonts w:ascii="Symbol" w:hAnsi="Symbol" w:hint="default"/>
      </w:rPr>
    </w:lvl>
    <w:lvl w:ilvl="7" w:tplc="4EF6AB54" w:tentative="1">
      <w:start w:val="1"/>
      <w:numFmt w:val="bullet"/>
      <w:lvlText w:val="o"/>
      <w:lvlJc w:val="left"/>
      <w:pPr>
        <w:tabs>
          <w:tab w:val="num" w:pos="5760"/>
        </w:tabs>
        <w:ind w:left="5760" w:hanging="360"/>
      </w:pPr>
      <w:rPr>
        <w:rFonts w:ascii="Courier New" w:hAnsi="Courier New" w:hint="default"/>
      </w:rPr>
    </w:lvl>
    <w:lvl w:ilvl="8" w:tplc="62F606A8" w:tentative="1">
      <w:start w:val="1"/>
      <w:numFmt w:val="bullet"/>
      <w:lvlText w:val=""/>
      <w:lvlJc w:val="left"/>
      <w:pPr>
        <w:tabs>
          <w:tab w:val="num" w:pos="6480"/>
        </w:tabs>
        <w:ind w:left="6480" w:hanging="360"/>
      </w:pPr>
      <w:rPr>
        <w:rFonts w:ascii="Wingdings" w:hAnsi="Wingdings" w:hint="default"/>
      </w:rPr>
    </w:lvl>
  </w:abstractNum>
  <w:abstractNum w:abstractNumId="45">
    <w:nsid w:val="7B2D41AB"/>
    <w:multiLevelType w:val="hybridMultilevel"/>
    <w:tmpl w:val="F5D6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3217FF"/>
    <w:multiLevelType w:val="multilevel"/>
    <w:tmpl w:val="A3C8D72C"/>
    <w:lvl w:ilvl="0">
      <w:start w:val="2"/>
      <w:numFmt w:val="decimal"/>
      <w:lvlText w:val="%1"/>
      <w:lvlJc w:val="left"/>
      <w:pPr>
        <w:tabs>
          <w:tab w:val="num" w:pos="720"/>
        </w:tabs>
        <w:ind w:left="720" w:hanging="720"/>
      </w:pPr>
      <w:rPr>
        <w:rFonts w:hint="default"/>
      </w:rPr>
    </w:lvl>
    <w:lvl w:ilvl="1">
      <w:start w:val="1"/>
      <w:numFmt w:val="decimal"/>
      <w:pStyle w:val="Paragraphesection2"/>
      <w:lvlText w:val="%1.%2"/>
      <w:lvlJc w:val="left"/>
      <w:pPr>
        <w:tabs>
          <w:tab w:val="num" w:pos="2160"/>
        </w:tabs>
        <w:ind w:left="2160" w:hanging="720"/>
      </w:pPr>
      <w:rPr>
        <w:rFonts w:hint="default"/>
        <w:b/>
        <w:i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47">
    <w:nsid w:val="7F8C627B"/>
    <w:multiLevelType w:val="hybridMultilevel"/>
    <w:tmpl w:val="1C2E8ABC"/>
    <w:lvl w:ilvl="0" w:tplc="E65A9F3C">
      <w:start w:val="1"/>
      <w:numFmt w:val="decimal"/>
      <w:lvlText w:val="%1."/>
      <w:lvlJc w:val="left"/>
      <w:pPr>
        <w:ind w:left="2200" w:hanging="360"/>
      </w:pPr>
      <w:rPr>
        <w:rFonts w:ascii="Times New Roman" w:eastAsia="SimSun" w:hAnsi="Times New Roman" w:cs="Times New Roman"/>
      </w:rPr>
    </w:lvl>
    <w:lvl w:ilvl="1" w:tplc="21B8F99C">
      <w:start w:val="1"/>
      <w:numFmt w:val="lowerRoman"/>
      <w:lvlText w:val="%2."/>
      <w:lvlJc w:val="left"/>
      <w:pPr>
        <w:ind w:left="2920" w:hanging="360"/>
      </w:pPr>
      <w:rPr>
        <w:rFonts w:ascii="Times New Roman" w:eastAsia="SimSun" w:hAnsi="Times New Roman" w:cs="Times New Roman"/>
      </w:rPr>
    </w:lvl>
    <w:lvl w:ilvl="2" w:tplc="0409001B">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num w:numId="1">
    <w:abstractNumId w:val="36"/>
  </w:num>
  <w:num w:numId="2">
    <w:abstractNumId w:val="32"/>
  </w:num>
  <w:num w:numId="3">
    <w:abstractNumId w:val="38"/>
  </w:num>
  <w:num w:numId="4">
    <w:abstractNumId w:val="4"/>
  </w:num>
  <w:num w:numId="5">
    <w:abstractNumId w:val="19"/>
  </w:num>
  <w:num w:numId="6">
    <w:abstractNumId w:val="44"/>
  </w:num>
  <w:num w:numId="7">
    <w:abstractNumId w:val="16"/>
  </w:num>
  <w:num w:numId="8">
    <w:abstractNumId w:val="46"/>
  </w:num>
  <w:num w:numId="9">
    <w:abstractNumId w:val="34"/>
  </w:num>
  <w:num w:numId="10">
    <w:abstractNumId w:val="5"/>
  </w:num>
  <w:num w:numId="11">
    <w:abstractNumId w:val="39"/>
  </w:num>
  <w:num w:numId="12">
    <w:abstractNumId w:val="33"/>
  </w:num>
  <w:num w:numId="13">
    <w:abstractNumId w:val="1"/>
    <w:lvlOverride w:ilvl="0">
      <w:startOverride w:val="1"/>
    </w:lvlOverride>
  </w:num>
  <w:num w:numId="14">
    <w:abstractNumId w:val="6"/>
  </w:num>
  <w:num w:numId="15">
    <w:abstractNumId w:val="28"/>
  </w:num>
  <w:num w:numId="16">
    <w:abstractNumId w:val="11"/>
  </w:num>
  <w:num w:numId="17">
    <w:abstractNumId w:val="29"/>
  </w:num>
  <w:num w:numId="18">
    <w:abstractNumId w:val="18"/>
  </w:num>
  <w:num w:numId="19">
    <w:abstractNumId w:val="24"/>
  </w:num>
  <w:num w:numId="20">
    <w:abstractNumId w:val="10"/>
  </w:num>
  <w:num w:numId="21">
    <w:abstractNumId w:val="30"/>
  </w:num>
  <w:num w:numId="22">
    <w:abstractNumId w:val="9"/>
  </w:num>
  <w:num w:numId="23">
    <w:abstractNumId w:val="35"/>
  </w:num>
  <w:num w:numId="24">
    <w:abstractNumId w:val="26"/>
  </w:num>
  <w:num w:numId="25">
    <w:abstractNumId w:val="25"/>
  </w:num>
  <w:num w:numId="26">
    <w:abstractNumId w:val="15"/>
  </w:num>
  <w:num w:numId="27">
    <w:abstractNumId w:val="47"/>
  </w:num>
  <w:num w:numId="28">
    <w:abstractNumId w:val="21"/>
  </w:num>
  <w:num w:numId="29">
    <w:abstractNumId w:val="2"/>
  </w:num>
  <w:num w:numId="30">
    <w:abstractNumId w:val="3"/>
  </w:num>
  <w:num w:numId="31">
    <w:abstractNumId w:val="22"/>
  </w:num>
  <w:num w:numId="32">
    <w:abstractNumId w:val="1"/>
  </w:num>
  <w:num w:numId="33">
    <w:abstractNumId w:val="1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7"/>
  </w:num>
  <w:num w:numId="39">
    <w:abstractNumId w:val="7"/>
  </w:num>
  <w:num w:numId="40">
    <w:abstractNumId w:val="17"/>
  </w:num>
  <w:num w:numId="41">
    <w:abstractNumId w:val="31"/>
  </w:num>
  <w:num w:numId="42">
    <w:abstractNumId w:val="14"/>
  </w:num>
  <w:num w:numId="43">
    <w:abstractNumId w:val="6"/>
    <w:lvlOverride w:ilvl="0">
      <w:startOverride w:val="1"/>
    </w:lvlOverride>
    <w:lvlOverride w:ilvl="1">
      <w:startOverride w:val="1"/>
    </w:lvlOverride>
    <w:lvlOverride w:ilvl="2">
      <w:startOverride w:val="1"/>
    </w:lvlOverride>
    <w:lvlOverride w:ilvl="3">
      <w:startOverride w:val="9"/>
    </w:lvlOverride>
  </w:num>
  <w:num w:numId="44">
    <w:abstractNumId w:val="37"/>
  </w:num>
  <w:num w:numId="45">
    <w:abstractNumId w:val="43"/>
  </w:num>
  <w:num w:numId="46">
    <w:abstractNumId w:val="27"/>
  </w:num>
  <w:num w:numId="47">
    <w:abstractNumId w:val="13"/>
  </w:num>
  <w:num w:numId="48">
    <w:abstractNumId w:val="41"/>
  </w:num>
  <w:num w:numId="49">
    <w:abstractNumId w:val="40"/>
  </w:num>
  <w:num w:numId="50">
    <w:abstractNumId w:val="0"/>
  </w:num>
  <w:num w:numId="51">
    <w:abstractNumId w:val="20"/>
  </w:num>
  <w:num w:numId="52">
    <w:abstractNumId w:val="40"/>
    <w:lvlOverride w:ilvl="0">
      <w:startOverride w:val="1"/>
    </w:lvlOverride>
  </w:num>
  <w:num w:numId="53">
    <w:abstractNumId w:val="40"/>
  </w:num>
  <w:num w:numId="54">
    <w:abstractNumId w:val="40"/>
  </w:num>
  <w:num w:numId="55">
    <w:abstractNumId w:val="40"/>
  </w:num>
  <w:num w:numId="56">
    <w:abstractNumId w:val="40"/>
  </w:num>
  <w:num w:numId="57">
    <w:abstractNumId w:val="40"/>
  </w:num>
  <w:num w:numId="58">
    <w:abstractNumId w:val="40"/>
  </w:num>
  <w:num w:numId="59">
    <w:abstractNumId w:val="40"/>
  </w:num>
  <w:num w:numId="60">
    <w:abstractNumId w:val="40"/>
  </w:num>
  <w:num w:numId="61">
    <w:abstractNumId w:val="40"/>
  </w:num>
  <w:num w:numId="62">
    <w:abstractNumId w:val="40"/>
  </w:num>
  <w:num w:numId="63">
    <w:abstractNumId w:val="40"/>
  </w:num>
  <w:num w:numId="64">
    <w:abstractNumId w:val="40"/>
  </w:num>
  <w:num w:numId="65">
    <w:abstractNumId w:val="40"/>
  </w:num>
  <w:num w:numId="66">
    <w:abstractNumId w:val="40"/>
  </w:num>
  <w:num w:numId="67">
    <w:abstractNumId w:val="40"/>
  </w:num>
  <w:num w:numId="68">
    <w:abstractNumId w:val="40"/>
  </w:num>
  <w:num w:numId="69">
    <w:abstractNumId w:val="40"/>
  </w:num>
  <w:num w:numId="70">
    <w:abstractNumId w:val="40"/>
  </w:num>
  <w:num w:numId="71">
    <w:abstractNumId w:val="40"/>
  </w:num>
  <w:num w:numId="72">
    <w:abstractNumId w:val="40"/>
  </w:num>
  <w:num w:numId="73">
    <w:abstractNumId w:val="40"/>
  </w:num>
  <w:num w:numId="74">
    <w:abstractNumId w:val="40"/>
  </w:num>
  <w:num w:numId="75">
    <w:abstractNumId w:val="40"/>
  </w:num>
  <w:num w:numId="76">
    <w:abstractNumId w:val="40"/>
  </w:num>
  <w:num w:numId="77">
    <w:abstractNumId w:val="40"/>
  </w:num>
  <w:num w:numId="78">
    <w:abstractNumId w:val="40"/>
  </w:num>
  <w:num w:numId="79">
    <w:abstractNumId w:val="40"/>
  </w:num>
  <w:num w:numId="80">
    <w:abstractNumId w:val="40"/>
  </w:num>
  <w:num w:numId="81">
    <w:abstractNumId w:val="40"/>
  </w:num>
  <w:num w:numId="82">
    <w:abstractNumId w:val="40"/>
  </w:num>
  <w:num w:numId="83">
    <w:abstractNumId w:val="40"/>
  </w:num>
  <w:num w:numId="84">
    <w:abstractNumId w:val="40"/>
  </w:num>
  <w:num w:numId="85">
    <w:abstractNumId w:val="40"/>
  </w:num>
  <w:num w:numId="86">
    <w:abstractNumId w:val="40"/>
  </w:num>
  <w:num w:numId="87">
    <w:abstractNumId w:val="40"/>
  </w:num>
  <w:num w:numId="88">
    <w:abstractNumId w:val="40"/>
  </w:num>
  <w:num w:numId="89">
    <w:abstractNumId w:val="40"/>
  </w:num>
  <w:num w:numId="90">
    <w:abstractNumId w:val="40"/>
  </w:num>
  <w:num w:numId="91">
    <w:abstractNumId w:val="40"/>
  </w:num>
  <w:num w:numId="92">
    <w:abstractNumId w:val="40"/>
  </w:num>
  <w:num w:numId="93">
    <w:abstractNumId w:val="40"/>
  </w:num>
  <w:num w:numId="94">
    <w:abstractNumId w:val="40"/>
  </w:num>
  <w:num w:numId="95">
    <w:abstractNumId w:val="40"/>
  </w:num>
  <w:num w:numId="96">
    <w:abstractNumId w:val="40"/>
  </w:num>
  <w:num w:numId="97">
    <w:abstractNumId w:val="40"/>
  </w:num>
  <w:num w:numId="98">
    <w:abstractNumId w:val="40"/>
  </w:num>
  <w:num w:numId="99">
    <w:abstractNumId w:val="40"/>
  </w:num>
  <w:num w:numId="100">
    <w:abstractNumId w:val="40"/>
  </w:num>
  <w:num w:numId="101">
    <w:abstractNumId w:val="40"/>
  </w:num>
  <w:num w:numId="102">
    <w:abstractNumId w:val="40"/>
  </w:num>
  <w:num w:numId="103">
    <w:abstractNumId w:val="40"/>
  </w:num>
  <w:num w:numId="104">
    <w:abstractNumId w:val="40"/>
  </w:num>
  <w:num w:numId="105">
    <w:abstractNumId w:val="40"/>
  </w:num>
  <w:num w:numId="106">
    <w:abstractNumId w:val="40"/>
  </w:num>
  <w:num w:numId="107">
    <w:abstractNumId w:val="40"/>
  </w:num>
  <w:num w:numId="108">
    <w:abstractNumId w:val="40"/>
  </w:num>
  <w:num w:numId="109">
    <w:abstractNumId w:val="40"/>
  </w:num>
  <w:num w:numId="110">
    <w:abstractNumId w:val="40"/>
  </w:num>
  <w:num w:numId="111">
    <w:abstractNumId w:val="40"/>
  </w:num>
  <w:num w:numId="112">
    <w:abstractNumId w:val="40"/>
  </w:num>
  <w:num w:numId="113">
    <w:abstractNumId w:val="40"/>
  </w:num>
  <w:num w:numId="114">
    <w:abstractNumId w:val="40"/>
  </w:num>
  <w:num w:numId="115">
    <w:abstractNumId w:val="40"/>
  </w:num>
  <w:num w:numId="116">
    <w:abstractNumId w:val="40"/>
  </w:num>
  <w:num w:numId="117">
    <w:abstractNumId w:val="40"/>
  </w:num>
  <w:num w:numId="118">
    <w:abstractNumId w:val="40"/>
  </w:num>
  <w:num w:numId="119">
    <w:abstractNumId w:val="40"/>
  </w:num>
  <w:num w:numId="120">
    <w:abstractNumId w:val="40"/>
  </w:num>
  <w:num w:numId="121">
    <w:abstractNumId w:val="40"/>
  </w:num>
  <w:num w:numId="122">
    <w:abstractNumId w:val="40"/>
  </w:num>
  <w:num w:numId="123">
    <w:abstractNumId w:val="40"/>
  </w:num>
  <w:num w:numId="124">
    <w:abstractNumId w:val="40"/>
  </w:num>
  <w:num w:numId="125">
    <w:abstractNumId w:val="40"/>
  </w:num>
  <w:num w:numId="126">
    <w:abstractNumId w:val="40"/>
  </w:num>
  <w:num w:numId="127">
    <w:abstractNumId w:val="40"/>
  </w:num>
  <w:num w:numId="128">
    <w:abstractNumId w:val="40"/>
  </w:num>
  <w:num w:numId="129">
    <w:abstractNumId w:val="40"/>
  </w:num>
  <w:num w:numId="130">
    <w:abstractNumId w:val="40"/>
  </w:num>
  <w:num w:numId="131">
    <w:abstractNumId w:val="40"/>
  </w:num>
  <w:num w:numId="132">
    <w:abstractNumId w:val="40"/>
  </w:num>
  <w:num w:numId="133">
    <w:abstractNumId w:val="40"/>
  </w:num>
  <w:num w:numId="134">
    <w:abstractNumId w:val="40"/>
  </w:num>
  <w:num w:numId="135">
    <w:abstractNumId w:val="40"/>
  </w:num>
  <w:num w:numId="136">
    <w:abstractNumId w:val="40"/>
  </w:num>
  <w:num w:numId="137">
    <w:abstractNumId w:val="40"/>
  </w:num>
  <w:num w:numId="138">
    <w:abstractNumId w:val="40"/>
  </w:num>
  <w:num w:numId="139">
    <w:abstractNumId w:val="40"/>
  </w:num>
  <w:num w:numId="140">
    <w:abstractNumId w:val="40"/>
  </w:num>
  <w:num w:numId="141">
    <w:abstractNumId w:val="40"/>
  </w:num>
  <w:num w:numId="142">
    <w:abstractNumId w:val="40"/>
  </w:num>
  <w:num w:numId="143">
    <w:abstractNumId w:val="40"/>
  </w:num>
  <w:num w:numId="144">
    <w:abstractNumId w:val="40"/>
  </w:num>
  <w:num w:numId="145">
    <w:abstractNumId w:val="40"/>
  </w:num>
  <w:num w:numId="146">
    <w:abstractNumId w:val="40"/>
  </w:num>
  <w:num w:numId="147">
    <w:abstractNumId w:val="40"/>
  </w:num>
  <w:num w:numId="148">
    <w:abstractNumId w:val="40"/>
  </w:num>
  <w:num w:numId="149">
    <w:abstractNumId w:val="40"/>
  </w:num>
  <w:num w:numId="150">
    <w:abstractNumId w:val="40"/>
  </w:num>
  <w:num w:numId="151">
    <w:abstractNumId w:val="40"/>
  </w:num>
  <w:num w:numId="152">
    <w:abstractNumId w:val="40"/>
  </w:num>
  <w:num w:numId="153">
    <w:abstractNumId w:val="40"/>
  </w:num>
  <w:num w:numId="154">
    <w:abstractNumId w:val="40"/>
  </w:num>
  <w:num w:numId="155">
    <w:abstractNumId w:val="40"/>
  </w:num>
  <w:num w:numId="156">
    <w:abstractNumId w:val="40"/>
  </w:num>
  <w:num w:numId="157">
    <w:abstractNumId w:val="40"/>
  </w:num>
  <w:num w:numId="158">
    <w:abstractNumId w:val="40"/>
  </w:num>
  <w:num w:numId="159">
    <w:abstractNumId w:val="40"/>
  </w:num>
  <w:num w:numId="160">
    <w:abstractNumId w:val="40"/>
  </w:num>
  <w:num w:numId="161">
    <w:abstractNumId w:val="40"/>
  </w:num>
  <w:num w:numId="162">
    <w:abstractNumId w:val="40"/>
  </w:num>
  <w:num w:numId="163">
    <w:abstractNumId w:val="40"/>
  </w:num>
  <w:num w:numId="164">
    <w:abstractNumId w:val="40"/>
  </w:num>
  <w:num w:numId="165">
    <w:abstractNumId w:val="40"/>
  </w:num>
  <w:num w:numId="166">
    <w:abstractNumId w:val="40"/>
  </w:num>
  <w:num w:numId="167">
    <w:abstractNumId w:val="40"/>
  </w:num>
  <w:num w:numId="168">
    <w:abstractNumId w:val="40"/>
  </w:num>
  <w:num w:numId="169">
    <w:abstractNumId w:val="40"/>
  </w:num>
  <w:num w:numId="170">
    <w:abstractNumId w:val="40"/>
  </w:num>
  <w:num w:numId="171">
    <w:abstractNumId w:val="40"/>
  </w:num>
  <w:num w:numId="172">
    <w:abstractNumId w:val="40"/>
  </w:num>
  <w:num w:numId="173">
    <w:abstractNumId w:val="40"/>
  </w:num>
  <w:num w:numId="174">
    <w:abstractNumId w:val="40"/>
  </w:num>
  <w:num w:numId="175">
    <w:abstractNumId w:val="40"/>
  </w:num>
  <w:num w:numId="176">
    <w:abstractNumId w:val="40"/>
  </w:num>
  <w:num w:numId="177">
    <w:abstractNumId w:val="40"/>
  </w:num>
  <w:num w:numId="178">
    <w:abstractNumId w:val="40"/>
  </w:num>
  <w:num w:numId="179">
    <w:abstractNumId w:val="40"/>
  </w:num>
  <w:num w:numId="180">
    <w:abstractNumId w:val="40"/>
  </w:num>
  <w:num w:numId="181">
    <w:abstractNumId w:val="40"/>
  </w:num>
  <w:num w:numId="182">
    <w:abstractNumId w:val="40"/>
  </w:num>
  <w:num w:numId="183">
    <w:abstractNumId w:val="40"/>
  </w:num>
  <w:num w:numId="184">
    <w:abstractNumId w:val="40"/>
  </w:num>
  <w:num w:numId="185">
    <w:abstractNumId w:val="40"/>
  </w:num>
  <w:num w:numId="186">
    <w:abstractNumId w:val="40"/>
  </w:num>
  <w:num w:numId="187">
    <w:abstractNumId w:val="40"/>
  </w:num>
  <w:num w:numId="188">
    <w:abstractNumId w:val="40"/>
  </w:num>
  <w:num w:numId="189">
    <w:abstractNumId w:val="40"/>
  </w:num>
  <w:num w:numId="190">
    <w:abstractNumId w:val="40"/>
  </w:num>
  <w:num w:numId="191">
    <w:abstractNumId w:val="40"/>
  </w:num>
  <w:num w:numId="192">
    <w:abstractNumId w:val="40"/>
  </w:num>
  <w:num w:numId="193">
    <w:abstractNumId w:val="40"/>
  </w:num>
  <w:num w:numId="194">
    <w:abstractNumId w:val="40"/>
  </w:num>
  <w:num w:numId="195">
    <w:abstractNumId w:val="40"/>
  </w:num>
  <w:num w:numId="196">
    <w:abstractNumId w:val="40"/>
  </w:num>
  <w:num w:numId="197">
    <w:abstractNumId w:val="40"/>
  </w:num>
  <w:num w:numId="198">
    <w:abstractNumId w:val="40"/>
  </w:num>
  <w:num w:numId="199">
    <w:abstractNumId w:val="40"/>
  </w:num>
  <w:num w:numId="200">
    <w:abstractNumId w:val="40"/>
  </w:num>
  <w:num w:numId="201">
    <w:abstractNumId w:val="40"/>
  </w:num>
  <w:num w:numId="202">
    <w:abstractNumId w:val="40"/>
  </w:num>
  <w:num w:numId="203">
    <w:abstractNumId w:val="40"/>
  </w:num>
  <w:num w:numId="204">
    <w:abstractNumId w:val="40"/>
  </w:num>
  <w:num w:numId="205">
    <w:abstractNumId w:val="40"/>
  </w:num>
  <w:num w:numId="206">
    <w:abstractNumId w:val="40"/>
  </w:num>
  <w:num w:numId="207">
    <w:abstractNumId w:val="40"/>
  </w:num>
  <w:num w:numId="208">
    <w:abstractNumId w:val="40"/>
  </w:num>
  <w:num w:numId="209">
    <w:abstractNumId w:val="40"/>
  </w:num>
  <w:num w:numId="210">
    <w:abstractNumId w:val="40"/>
  </w:num>
  <w:num w:numId="211">
    <w:abstractNumId w:val="40"/>
  </w:num>
  <w:num w:numId="212">
    <w:abstractNumId w:val="40"/>
  </w:num>
  <w:num w:numId="213">
    <w:abstractNumId w:val="40"/>
  </w:num>
  <w:num w:numId="214">
    <w:abstractNumId w:val="40"/>
  </w:num>
  <w:num w:numId="215">
    <w:abstractNumId w:val="40"/>
  </w:num>
  <w:num w:numId="216">
    <w:abstractNumId w:val="40"/>
  </w:num>
  <w:num w:numId="217">
    <w:abstractNumId w:val="40"/>
  </w:num>
  <w:num w:numId="218">
    <w:abstractNumId w:val="40"/>
  </w:num>
  <w:num w:numId="219">
    <w:abstractNumId w:val="40"/>
  </w:num>
  <w:num w:numId="220">
    <w:abstractNumId w:val="40"/>
  </w:num>
  <w:num w:numId="221">
    <w:abstractNumId w:val="40"/>
  </w:num>
  <w:num w:numId="222">
    <w:abstractNumId w:val="40"/>
  </w:num>
  <w:num w:numId="223">
    <w:abstractNumId w:val="40"/>
  </w:num>
  <w:num w:numId="224">
    <w:abstractNumId w:val="40"/>
  </w:num>
  <w:num w:numId="225">
    <w:abstractNumId w:val="40"/>
  </w:num>
  <w:num w:numId="226">
    <w:abstractNumId w:val="40"/>
  </w:num>
  <w:num w:numId="227">
    <w:abstractNumId w:val="40"/>
  </w:num>
  <w:num w:numId="228">
    <w:abstractNumId w:val="40"/>
  </w:num>
  <w:num w:numId="229">
    <w:abstractNumId w:val="40"/>
  </w:num>
  <w:num w:numId="230">
    <w:abstractNumId w:val="40"/>
  </w:num>
  <w:num w:numId="231">
    <w:abstractNumId w:val="40"/>
  </w:num>
  <w:num w:numId="232">
    <w:abstractNumId w:val="40"/>
  </w:num>
  <w:num w:numId="233">
    <w:abstractNumId w:val="40"/>
  </w:num>
  <w:num w:numId="234">
    <w:abstractNumId w:val="40"/>
  </w:num>
  <w:num w:numId="235">
    <w:abstractNumId w:val="40"/>
  </w:num>
  <w:num w:numId="236">
    <w:abstractNumId w:val="40"/>
  </w:num>
  <w:num w:numId="237">
    <w:abstractNumId w:val="40"/>
  </w:num>
  <w:num w:numId="238">
    <w:abstractNumId w:val="40"/>
  </w:num>
  <w:num w:numId="239">
    <w:abstractNumId w:val="40"/>
  </w:num>
  <w:num w:numId="240">
    <w:abstractNumId w:val="40"/>
  </w:num>
  <w:num w:numId="241">
    <w:abstractNumId w:val="40"/>
  </w:num>
  <w:num w:numId="242">
    <w:abstractNumId w:val="40"/>
  </w:num>
  <w:num w:numId="243">
    <w:abstractNumId w:val="40"/>
  </w:num>
  <w:num w:numId="244">
    <w:abstractNumId w:val="40"/>
  </w:num>
  <w:num w:numId="245">
    <w:abstractNumId w:val="40"/>
  </w:num>
  <w:num w:numId="246">
    <w:abstractNumId w:val="40"/>
  </w:num>
  <w:num w:numId="247">
    <w:abstractNumId w:val="40"/>
  </w:num>
  <w:num w:numId="248">
    <w:abstractNumId w:val="40"/>
  </w:num>
  <w:num w:numId="249">
    <w:abstractNumId w:val="40"/>
  </w:num>
  <w:num w:numId="250">
    <w:abstractNumId w:val="40"/>
  </w:num>
  <w:num w:numId="251">
    <w:abstractNumId w:val="40"/>
  </w:num>
  <w:num w:numId="252">
    <w:abstractNumId w:val="40"/>
  </w:num>
  <w:num w:numId="253">
    <w:abstractNumId w:val="40"/>
  </w:num>
  <w:num w:numId="254">
    <w:abstractNumId w:val="40"/>
  </w:num>
  <w:num w:numId="255">
    <w:abstractNumId w:val="40"/>
  </w:num>
  <w:num w:numId="256">
    <w:abstractNumId w:val="40"/>
  </w:num>
  <w:num w:numId="257">
    <w:abstractNumId w:val="40"/>
  </w:num>
  <w:num w:numId="258">
    <w:abstractNumId w:val="40"/>
  </w:num>
  <w:num w:numId="259">
    <w:abstractNumId w:val="40"/>
  </w:num>
  <w:num w:numId="260">
    <w:abstractNumId w:val="40"/>
  </w:num>
  <w:num w:numId="261">
    <w:abstractNumId w:val="40"/>
  </w:num>
  <w:num w:numId="262">
    <w:abstractNumId w:val="40"/>
  </w:num>
  <w:num w:numId="263">
    <w:abstractNumId w:val="40"/>
  </w:num>
  <w:num w:numId="264">
    <w:abstractNumId w:val="40"/>
  </w:num>
  <w:num w:numId="265">
    <w:abstractNumId w:val="40"/>
  </w:num>
  <w:num w:numId="266">
    <w:abstractNumId w:val="40"/>
  </w:num>
  <w:num w:numId="267">
    <w:abstractNumId w:val="40"/>
  </w:num>
  <w:num w:numId="268">
    <w:abstractNumId w:val="40"/>
  </w:num>
  <w:num w:numId="269">
    <w:abstractNumId w:val="40"/>
  </w:num>
  <w:num w:numId="270">
    <w:abstractNumId w:val="40"/>
  </w:num>
  <w:num w:numId="271">
    <w:abstractNumId w:val="40"/>
  </w:num>
  <w:num w:numId="272">
    <w:abstractNumId w:val="40"/>
  </w:num>
  <w:num w:numId="273">
    <w:abstractNumId w:val="40"/>
  </w:num>
  <w:num w:numId="274">
    <w:abstractNumId w:val="40"/>
  </w:num>
  <w:num w:numId="275">
    <w:abstractNumId w:val="40"/>
  </w:num>
  <w:num w:numId="276">
    <w:abstractNumId w:val="40"/>
  </w:num>
  <w:num w:numId="277">
    <w:abstractNumId w:val="40"/>
  </w:num>
  <w:num w:numId="278">
    <w:abstractNumId w:val="40"/>
  </w:num>
  <w:num w:numId="279">
    <w:abstractNumId w:val="40"/>
  </w:num>
  <w:num w:numId="280">
    <w:abstractNumId w:val="40"/>
  </w:num>
  <w:num w:numId="281">
    <w:abstractNumId w:val="40"/>
  </w:num>
  <w:num w:numId="282">
    <w:abstractNumId w:val="40"/>
  </w:num>
  <w:num w:numId="283">
    <w:abstractNumId w:val="40"/>
  </w:num>
  <w:num w:numId="284">
    <w:abstractNumId w:val="40"/>
  </w:num>
  <w:num w:numId="285">
    <w:abstractNumId w:val="40"/>
  </w:num>
  <w:num w:numId="286">
    <w:abstractNumId w:val="40"/>
  </w:num>
  <w:num w:numId="287">
    <w:abstractNumId w:val="40"/>
  </w:num>
  <w:num w:numId="288">
    <w:abstractNumId w:val="40"/>
  </w:num>
  <w:num w:numId="289">
    <w:abstractNumId w:val="40"/>
  </w:num>
  <w:num w:numId="290">
    <w:abstractNumId w:val="40"/>
  </w:num>
  <w:num w:numId="291">
    <w:abstractNumId w:val="40"/>
  </w:num>
  <w:num w:numId="292">
    <w:abstractNumId w:val="40"/>
  </w:num>
  <w:num w:numId="293">
    <w:abstractNumId w:val="40"/>
  </w:num>
  <w:num w:numId="294">
    <w:abstractNumId w:val="40"/>
  </w:num>
  <w:num w:numId="295">
    <w:abstractNumId w:val="40"/>
  </w:num>
  <w:num w:numId="296">
    <w:abstractNumId w:val="40"/>
  </w:num>
  <w:num w:numId="297">
    <w:abstractNumId w:val="40"/>
  </w:num>
  <w:num w:numId="298">
    <w:abstractNumId w:val="40"/>
  </w:num>
  <w:num w:numId="299">
    <w:abstractNumId w:val="40"/>
  </w:num>
  <w:num w:numId="300">
    <w:abstractNumId w:val="40"/>
  </w:num>
  <w:num w:numId="301">
    <w:abstractNumId w:val="40"/>
  </w:num>
  <w:num w:numId="302">
    <w:abstractNumId w:val="40"/>
  </w:num>
  <w:num w:numId="303">
    <w:abstractNumId w:val="40"/>
  </w:num>
  <w:num w:numId="304">
    <w:abstractNumId w:val="40"/>
  </w:num>
  <w:num w:numId="305">
    <w:abstractNumId w:val="40"/>
  </w:num>
  <w:num w:numId="306">
    <w:abstractNumId w:val="40"/>
  </w:num>
  <w:num w:numId="307">
    <w:abstractNumId w:val="40"/>
  </w:num>
  <w:num w:numId="308">
    <w:abstractNumId w:val="40"/>
  </w:num>
  <w:num w:numId="309">
    <w:abstractNumId w:val="40"/>
  </w:num>
  <w:num w:numId="310">
    <w:abstractNumId w:val="40"/>
  </w:num>
  <w:num w:numId="311">
    <w:abstractNumId w:val="40"/>
  </w:num>
  <w:num w:numId="312">
    <w:abstractNumId w:val="40"/>
  </w:num>
  <w:num w:numId="313">
    <w:abstractNumId w:val="40"/>
  </w:num>
  <w:num w:numId="314">
    <w:abstractNumId w:val="40"/>
  </w:num>
  <w:num w:numId="315">
    <w:abstractNumId w:val="40"/>
  </w:num>
  <w:num w:numId="316">
    <w:abstractNumId w:val="40"/>
  </w:num>
  <w:num w:numId="317">
    <w:abstractNumId w:val="40"/>
  </w:num>
  <w:num w:numId="318">
    <w:abstractNumId w:val="40"/>
  </w:num>
  <w:num w:numId="319">
    <w:abstractNumId w:val="40"/>
  </w:num>
  <w:num w:numId="320">
    <w:abstractNumId w:val="40"/>
  </w:num>
  <w:num w:numId="321">
    <w:abstractNumId w:val="40"/>
  </w:num>
  <w:num w:numId="322">
    <w:abstractNumId w:val="40"/>
  </w:num>
  <w:num w:numId="323">
    <w:abstractNumId w:val="40"/>
  </w:num>
  <w:num w:numId="324">
    <w:abstractNumId w:val="40"/>
  </w:num>
  <w:num w:numId="325">
    <w:abstractNumId w:val="40"/>
  </w:num>
  <w:num w:numId="326">
    <w:abstractNumId w:val="40"/>
  </w:num>
  <w:num w:numId="327">
    <w:abstractNumId w:val="40"/>
  </w:num>
  <w:num w:numId="328">
    <w:abstractNumId w:val="40"/>
  </w:num>
  <w:num w:numId="329">
    <w:abstractNumId w:val="40"/>
  </w:num>
  <w:num w:numId="330">
    <w:abstractNumId w:val="40"/>
  </w:num>
  <w:num w:numId="331">
    <w:abstractNumId w:val="40"/>
  </w:num>
  <w:num w:numId="332">
    <w:abstractNumId w:val="40"/>
  </w:num>
  <w:num w:numId="333">
    <w:abstractNumId w:val="40"/>
  </w:num>
  <w:num w:numId="334">
    <w:abstractNumId w:val="40"/>
  </w:num>
  <w:num w:numId="335">
    <w:abstractNumId w:val="40"/>
  </w:num>
  <w:num w:numId="336">
    <w:abstractNumId w:val="40"/>
  </w:num>
  <w:num w:numId="337">
    <w:abstractNumId w:val="40"/>
  </w:num>
  <w:num w:numId="338">
    <w:abstractNumId w:val="40"/>
  </w:num>
  <w:num w:numId="339">
    <w:abstractNumId w:val="40"/>
  </w:num>
  <w:num w:numId="340">
    <w:abstractNumId w:val="40"/>
  </w:num>
  <w:num w:numId="341">
    <w:abstractNumId w:val="40"/>
  </w:num>
  <w:num w:numId="342">
    <w:abstractNumId w:val="40"/>
  </w:num>
  <w:num w:numId="343">
    <w:abstractNumId w:val="40"/>
  </w:num>
  <w:num w:numId="344">
    <w:abstractNumId w:val="40"/>
  </w:num>
  <w:num w:numId="345">
    <w:abstractNumId w:val="40"/>
  </w:num>
  <w:num w:numId="346">
    <w:abstractNumId w:val="40"/>
  </w:num>
  <w:num w:numId="347">
    <w:abstractNumId w:val="40"/>
  </w:num>
  <w:num w:numId="348">
    <w:abstractNumId w:val="40"/>
  </w:num>
  <w:num w:numId="349">
    <w:abstractNumId w:val="40"/>
  </w:num>
  <w:num w:numId="350">
    <w:abstractNumId w:val="40"/>
  </w:num>
  <w:num w:numId="351">
    <w:abstractNumId w:val="40"/>
  </w:num>
  <w:num w:numId="352">
    <w:abstractNumId w:val="40"/>
  </w:num>
  <w:num w:numId="353">
    <w:abstractNumId w:val="40"/>
  </w:num>
  <w:num w:numId="354">
    <w:abstractNumId w:val="40"/>
  </w:num>
  <w:num w:numId="355">
    <w:abstractNumId w:val="40"/>
  </w:num>
  <w:num w:numId="356">
    <w:abstractNumId w:val="40"/>
  </w:num>
  <w:num w:numId="357">
    <w:abstractNumId w:val="40"/>
  </w:num>
  <w:num w:numId="358">
    <w:abstractNumId w:val="40"/>
  </w:num>
  <w:num w:numId="359">
    <w:abstractNumId w:val="40"/>
  </w:num>
  <w:num w:numId="360">
    <w:abstractNumId w:val="40"/>
  </w:num>
  <w:num w:numId="361">
    <w:abstractNumId w:val="40"/>
  </w:num>
  <w:num w:numId="362">
    <w:abstractNumId w:val="40"/>
  </w:num>
  <w:num w:numId="363">
    <w:abstractNumId w:val="40"/>
  </w:num>
  <w:num w:numId="364">
    <w:abstractNumId w:val="40"/>
  </w:num>
  <w:num w:numId="365">
    <w:abstractNumId w:val="40"/>
  </w:num>
  <w:num w:numId="366">
    <w:abstractNumId w:val="40"/>
  </w:num>
  <w:num w:numId="367">
    <w:abstractNumId w:val="40"/>
  </w:num>
  <w:num w:numId="368">
    <w:abstractNumId w:val="40"/>
  </w:num>
  <w:num w:numId="369">
    <w:abstractNumId w:val="40"/>
  </w:num>
  <w:num w:numId="370">
    <w:abstractNumId w:val="40"/>
  </w:num>
  <w:num w:numId="371">
    <w:abstractNumId w:val="40"/>
  </w:num>
  <w:num w:numId="372">
    <w:abstractNumId w:val="40"/>
  </w:num>
  <w:num w:numId="373">
    <w:abstractNumId w:val="40"/>
  </w:num>
  <w:num w:numId="374">
    <w:abstractNumId w:val="40"/>
  </w:num>
  <w:num w:numId="375">
    <w:abstractNumId w:val="40"/>
  </w:num>
  <w:num w:numId="376">
    <w:abstractNumId w:val="40"/>
  </w:num>
  <w:num w:numId="377">
    <w:abstractNumId w:val="40"/>
  </w:num>
  <w:num w:numId="378">
    <w:abstractNumId w:val="40"/>
  </w:num>
  <w:num w:numId="379">
    <w:abstractNumId w:val="40"/>
  </w:num>
  <w:num w:numId="380">
    <w:abstractNumId w:val="40"/>
  </w:num>
  <w:num w:numId="381">
    <w:abstractNumId w:val="40"/>
  </w:num>
  <w:num w:numId="382">
    <w:abstractNumId w:val="40"/>
  </w:num>
  <w:num w:numId="383">
    <w:abstractNumId w:val="40"/>
  </w:num>
  <w:num w:numId="384">
    <w:abstractNumId w:val="40"/>
  </w:num>
  <w:num w:numId="385">
    <w:abstractNumId w:val="40"/>
  </w:num>
  <w:num w:numId="386">
    <w:abstractNumId w:val="40"/>
  </w:num>
  <w:num w:numId="387">
    <w:abstractNumId w:val="40"/>
  </w:num>
  <w:num w:numId="388">
    <w:abstractNumId w:val="40"/>
  </w:num>
  <w:num w:numId="389">
    <w:abstractNumId w:val="40"/>
  </w:num>
  <w:num w:numId="390">
    <w:abstractNumId w:val="40"/>
  </w:num>
  <w:num w:numId="391">
    <w:abstractNumId w:val="40"/>
  </w:num>
  <w:num w:numId="392">
    <w:abstractNumId w:val="40"/>
  </w:num>
  <w:num w:numId="393">
    <w:abstractNumId w:val="40"/>
  </w:num>
  <w:num w:numId="394">
    <w:abstractNumId w:val="40"/>
  </w:num>
  <w:num w:numId="395">
    <w:abstractNumId w:val="40"/>
  </w:num>
  <w:num w:numId="396">
    <w:abstractNumId w:val="40"/>
  </w:num>
  <w:num w:numId="397">
    <w:abstractNumId w:val="40"/>
  </w:num>
  <w:num w:numId="398">
    <w:abstractNumId w:val="40"/>
  </w:num>
  <w:num w:numId="399">
    <w:abstractNumId w:val="40"/>
  </w:num>
  <w:num w:numId="400">
    <w:abstractNumId w:val="40"/>
  </w:num>
  <w:num w:numId="401">
    <w:abstractNumId w:val="40"/>
  </w:num>
  <w:num w:numId="402">
    <w:abstractNumId w:val="40"/>
  </w:num>
  <w:num w:numId="403">
    <w:abstractNumId w:val="40"/>
  </w:num>
  <w:num w:numId="404">
    <w:abstractNumId w:val="40"/>
  </w:num>
  <w:num w:numId="405">
    <w:abstractNumId w:val="40"/>
  </w:num>
  <w:num w:numId="406">
    <w:abstractNumId w:val="40"/>
  </w:num>
  <w:num w:numId="407">
    <w:abstractNumId w:val="40"/>
  </w:num>
  <w:num w:numId="408">
    <w:abstractNumId w:val="40"/>
  </w:num>
  <w:num w:numId="409">
    <w:abstractNumId w:val="40"/>
  </w:num>
  <w:num w:numId="410">
    <w:abstractNumId w:val="40"/>
  </w:num>
  <w:num w:numId="411">
    <w:abstractNumId w:val="40"/>
  </w:num>
  <w:num w:numId="412">
    <w:abstractNumId w:val="23"/>
  </w:num>
  <w:num w:numId="413">
    <w:abstractNumId w:val="8"/>
  </w:num>
  <w:num w:numId="414">
    <w:abstractNumId w:val="45"/>
  </w:num>
  <w:numIdMacAtCleanup w:val="4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evenAndOddHeaders/>
  <w:drawingGridHorizontalSpacing w:val="100"/>
  <w:displayHorizontalDrawingGridEvery w:val="2"/>
  <w:characterSpacingControl w:val="doNotCompress"/>
  <w:hdrShapeDefaults>
    <o:shapedefaults v:ext="edit" spidmax="23553"/>
  </w:hdrShapeDefaults>
  <w:footnotePr>
    <w:numStart w:val="2"/>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0CDD"/>
    <w:rsid w:val="0000119D"/>
    <w:rsid w:val="0000120A"/>
    <w:rsid w:val="00001334"/>
    <w:rsid w:val="00002CD2"/>
    <w:rsid w:val="0000316E"/>
    <w:rsid w:val="0000630F"/>
    <w:rsid w:val="00006C03"/>
    <w:rsid w:val="00006E87"/>
    <w:rsid w:val="000077C6"/>
    <w:rsid w:val="00007C2D"/>
    <w:rsid w:val="00010512"/>
    <w:rsid w:val="00011604"/>
    <w:rsid w:val="0001336F"/>
    <w:rsid w:val="00013DB1"/>
    <w:rsid w:val="0001512C"/>
    <w:rsid w:val="000151AB"/>
    <w:rsid w:val="00017797"/>
    <w:rsid w:val="000201F2"/>
    <w:rsid w:val="000216DA"/>
    <w:rsid w:val="000241CE"/>
    <w:rsid w:val="000241DE"/>
    <w:rsid w:val="000251FC"/>
    <w:rsid w:val="00025836"/>
    <w:rsid w:val="0002592F"/>
    <w:rsid w:val="000263DD"/>
    <w:rsid w:val="000271A7"/>
    <w:rsid w:val="00027E11"/>
    <w:rsid w:val="000302A4"/>
    <w:rsid w:val="00030708"/>
    <w:rsid w:val="000310A9"/>
    <w:rsid w:val="00031644"/>
    <w:rsid w:val="0003468E"/>
    <w:rsid w:val="00034736"/>
    <w:rsid w:val="00034CE2"/>
    <w:rsid w:val="000353CD"/>
    <w:rsid w:val="00035913"/>
    <w:rsid w:val="00035AF6"/>
    <w:rsid w:val="000366D9"/>
    <w:rsid w:val="00036E83"/>
    <w:rsid w:val="0003715A"/>
    <w:rsid w:val="00041820"/>
    <w:rsid w:val="00041A3B"/>
    <w:rsid w:val="00041F1F"/>
    <w:rsid w:val="00042393"/>
    <w:rsid w:val="00044229"/>
    <w:rsid w:val="0004597C"/>
    <w:rsid w:val="00045A32"/>
    <w:rsid w:val="00045E67"/>
    <w:rsid w:val="000465FC"/>
    <w:rsid w:val="00047F4D"/>
    <w:rsid w:val="00050194"/>
    <w:rsid w:val="00051F5D"/>
    <w:rsid w:val="000520D8"/>
    <w:rsid w:val="00053A2C"/>
    <w:rsid w:val="00053F19"/>
    <w:rsid w:val="00054FF8"/>
    <w:rsid w:val="000559A3"/>
    <w:rsid w:val="00057029"/>
    <w:rsid w:val="00057DC4"/>
    <w:rsid w:val="00060D23"/>
    <w:rsid w:val="00061F43"/>
    <w:rsid w:val="000623C8"/>
    <w:rsid w:val="00063471"/>
    <w:rsid w:val="00063DB9"/>
    <w:rsid w:val="00065BED"/>
    <w:rsid w:val="00067F55"/>
    <w:rsid w:val="00070CDB"/>
    <w:rsid w:val="00070D9B"/>
    <w:rsid w:val="00072E34"/>
    <w:rsid w:val="00073527"/>
    <w:rsid w:val="00073A79"/>
    <w:rsid w:val="00075C72"/>
    <w:rsid w:val="00076C54"/>
    <w:rsid w:val="0008060B"/>
    <w:rsid w:val="0008117B"/>
    <w:rsid w:val="00081ABC"/>
    <w:rsid w:val="000821DA"/>
    <w:rsid w:val="000824BC"/>
    <w:rsid w:val="000832EE"/>
    <w:rsid w:val="00086175"/>
    <w:rsid w:val="00086366"/>
    <w:rsid w:val="00086DA5"/>
    <w:rsid w:val="0008766B"/>
    <w:rsid w:val="00090008"/>
    <w:rsid w:val="0009023E"/>
    <w:rsid w:val="000919E3"/>
    <w:rsid w:val="00093BCE"/>
    <w:rsid w:val="00094B4A"/>
    <w:rsid w:val="000953E4"/>
    <w:rsid w:val="00095594"/>
    <w:rsid w:val="0009592C"/>
    <w:rsid w:val="000959A1"/>
    <w:rsid w:val="00095C61"/>
    <w:rsid w:val="00095F5B"/>
    <w:rsid w:val="00097E4A"/>
    <w:rsid w:val="000A0528"/>
    <w:rsid w:val="000A166E"/>
    <w:rsid w:val="000A1774"/>
    <w:rsid w:val="000A19CB"/>
    <w:rsid w:val="000A277F"/>
    <w:rsid w:val="000A2820"/>
    <w:rsid w:val="000A427D"/>
    <w:rsid w:val="000A49EC"/>
    <w:rsid w:val="000A4F68"/>
    <w:rsid w:val="000A5187"/>
    <w:rsid w:val="000A669A"/>
    <w:rsid w:val="000A6E9B"/>
    <w:rsid w:val="000A7959"/>
    <w:rsid w:val="000B0E49"/>
    <w:rsid w:val="000B0EFA"/>
    <w:rsid w:val="000B1115"/>
    <w:rsid w:val="000B3304"/>
    <w:rsid w:val="000C0335"/>
    <w:rsid w:val="000C4E45"/>
    <w:rsid w:val="000C525A"/>
    <w:rsid w:val="000C6322"/>
    <w:rsid w:val="000C7A93"/>
    <w:rsid w:val="000C7C9B"/>
    <w:rsid w:val="000D0860"/>
    <w:rsid w:val="000D0D69"/>
    <w:rsid w:val="000D1F4A"/>
    <w:rsid w:val="000D6A97"/>
    <w:rsid w:val="000E01FF"/>
    <w:rsid w:val="000E115A"/>
    <w:rsid w:val="000E1327"/>
    <w:rsid w:val="000E3B4C"/>
    <w:rsid w:val="000E4832"/>
    <w:rsid w:val="000E4911"/>
    <w:rsid w:val="000E4C27"/>
    <w:rsid w:val="000E4DEA"/>
    <w:rsid w:val="000E7849"/>
    <w:rsid w:val="000E79E2"/>
    <w:rsid w:val="000F07A0"/>
    <w:rsid w:val="000F0AE4"/>
    <w:rsid w:val="000F1CD0"/>
    <w:rsid w:val="000F36CE"/>
    <w:rsid w:val="000F3B6D"/>
    <w:rsid w:val="000F3CD9"/>
    <w:rsid w:val="00100CF3"/>
    <w:rsid w:val="00100D73"/>
    <w:rsid w:val="001010F3"/>
    <w:rsid w:val="001014C4"/>
    <w:rsid w:val="00102AD6"/>
    <w:rsid w:val="00102EF0"/>
    <w:rsid w:val="00104248"/>
    <w:rsid w:val="001052F1"/>
    <w:rsid w:val="001064CF"/>
    <w:rsid w:val="00106C4D"/>
    <w:rsid w:val="00111963"/>
    <w:rsid w:val="00112887"/>
    <w:rsid w:val="00113752"/>
    <w:rsid w:val="00113A47"/>
    <w:rsid w:val="0011435B"/>
    <w:rsid w:val="00114803"/>
    <w:rsid w:val="00115654"/>
    <w:rsid w:val="00115CF8"/>
    <w:rsid w:val="0011619E"/>
    <w:rsid w:val="00116568"/>
    <w:rsid w:val="00116FF0"/>
    <w:rsid w:val="00117468"/>
    <w:rsid w:val="00117804"/>
    <w:rsid w:val="00117B39"/>
    <w:rsid w:val="00120ED8"/>
    <w:rsid w:val="00121683"/>
    <w:rsid w:val="00121BC2"/>
    <w:rsid w:val="00121EF3"/>
    <w:rsid w:val="001234F0"/>
    <w:rsid w:val="00123EE6"/>
    <w:rsid w:val="00124DC3"/>
    <w:rsid w:val="001263E6"/>
    <w:rsid w:val="00126B50"/>
    <w:rsid w:val="001309DD"/>
    <w:rsid w:val="00130BA1"/>
    <w:rsid w:val="00131060"/>
    <w:rsid w:val="001319F0"/>
    <w:rsid w:val="00133084"/>
    <w:rsid w:val="00134053"/>
    <w:rsid w:val="0013583D"/>
    <w:rsid w:val="00136A2A"/>
    <w:rsid w:val="00136E6B"/>
    <w:rsid w:val="001372D7"/>
    <w:rsid w:val="001415EF"/>
    <w:rsid w:val="00141D2A"/>
    <w:rsid w:val="00142952"/>
    <w:rsid w:val="00143702"/>
    <w:rsid w:val="00144A29"/>
    <w:rsid w:val="001462D5"/>
    <w:rsid w:val="0014764C"/>
    <w:rsid w:val="00147E3F"/>
    <w:rsid w:val="001512EF"/>
    <w:rsid w:val="00152065"/>
    <w:rsid w:val="00152D16"/>
    <w:rsid w:val="00153E2E"/>
    <w:rsid w:val="001545A8"/>
    <w:rsid w:val="00154A36"/>
    <w:rsid w:val="0015542E"/>
    <w:rsid w:val="00155F8B"/>
    <w:rsid w:val="00156F3C"/>
    <w:rsid w:val="001579EF"/>
    <w:rsid w:val="00157AD1"/>
    <w:rsid w:val="00161EBE"/>
    <w:rsid w:val="0016219B"/>
    <w:rsid w:val="00163D17"/>
    <w:rsid w:val="00163D50"/>
    <w:rsid w:val="00165047"/>
    <w:rsid w:val="00165642"/>
    <w:rsid w:val="001675DC"/>
    <w:rsid w:val="001712A9"/>
    <w:rsid w:val="00175199"/>
    <w:rsid w:val="001757F0"/>
    <w:rsid w:val="00175D62"/>
    <w:rsid w:val="001760AA"/>
    <w:rsid w:val="001763B3"/>
    <w:rsid w:val="00180196"/>
    <w:rsid w:val="00181136"/>
    <w:rsid w:val="00181933"/>
    <w:rsid w:val="00181EF7"/>
    <w:rsid w:val="00182AD6"/>
    <w:rsid w:val="00183E72"/>
    <w:rsid w:val="00183EA0"/>
    <w:rsid w:val="00190ED5"/>
    <w:rsid w:val="001910E7"/>
    <w:rsid w:val="00191B78"/>
    <w:rsid w:val="00191F9B"/>
    <w:rsid w:val="001926D4"/>
    <w:rsid w:val="00192960"/>
    <w:rsid w:val="00192CB0"/>
    <w:rsid w:val="00193BCE"/>
    <w:rsid w:val="00193CC2"/>
    <w:rsid w:val="00194391"/>
    <w:rsid w:val="001943D4"/>
    <w:rsid w:val="0019520C"/>
    <w:rsid w:val="001953EE"/>
    <w:rsid w:val="001967E5"/>
    <w:rsid w:val="00196E38"/>
    <w:rsid w:val="00197264"/>
    <w:rsid w:val="001A00D4"/>
    <w:rsid w:val="001A062A"/>
    <w:rsid w:val="001A1011"/>
    <w:rsid w:val="001A1CC4"/>
    <w:rsid w:val="001A2749"/>
    <w:rsid w:val="001A39B7"/>
    <w:rsid w:val="001A49B9"/>
    <w:rsid w:val="001A4ABF"/>
    <w:rsid w:val="001A4E7E"/>
    <w:rsid w:val="001A6FB3"/>
    <w:rsid w:val="001B11D0"/>
    <w:rsid w:val="001B16FF"/>
    <w:rsid w:val="001B1ADE"/>
    <w:rsid w:val="001B1CE1"/>
    <w:rsid w:val="001B22E6"/>
    <w:rsid w:val="001B2543"/>
    <w:rsid w:val="001B292D"/>
    <w:rsid w:val="001B2A87"/>
    <w:rsid w:val="001B4542"/>
    <w:rsid w:val="001B5056"/>
    <w:rsid w:val="001B5A6A"/>
    <w:rsid w:val="001B61E7"/>
    <w:rsid w:val="001B62E9"/>
    <w:rsid w:val="001B6BB3"/>
    <w:rsid w:val="001C0028"/>
    <w:rsid w:val="001C0493"/>
    <w:rsid w:val="001C2ACA"/>
    <w:rsid w:val="001C2F56"/>
    <w:rsid w:val="001C67FA"/>
    <w:rsid w:val="001C6A32"/>
    <w:rsid w:val="001C6B7B"/>
    <w:rsid w:val="001C6DDB"/>
    <w:rsid w:val="001C7277"/>
    <w:rsid w:val="001D0865"/>
    <w:rsid w:val="001D1340"/>
    <w:rsid w:val="001D13AA"/>
    <w:rsid w:val="001D1763"/>
    <w:rsid w:val="001D3A9D"/>
    <w:rsid w:val="001D4C4D"/>
    <w:rsid w:val="001D6E12"/>
    <w:rsid w:val="001D7BCD"/>
    <w:rsid w:val="001D7D9B"/>
    <w:rsid w:val="001E080B"/>
    <w:rsid w:val="001E123E"/>
    <w:rsid w:val="001E139B"/>
    <w:rsid w:val="001E1644"/>
    <w:rsid w:val="001E227E"/>
    <w:rsid w:val="001E2CEA"/>
    <w:rsid w:val="001E2FD2"/>
    <w:rsid w:val="001E42BB"/>
    <w:rsid w:val="001E6C74"/>
    <w:rsid w:val="001F1446"/>
    <w:rsid w:val="001F1CD1"/>
    <w:rsid w:val="001F2E28"/>
    <w:rsid w:val="001F48E1"/>
    <w:rsid w:val="001F4C10"/>
    <w:rsid w:val="001F6890"/>
    <w:rsid w:val="001F74D0"/>
    <w:rsid w:val="0020097C"/>
    <w:rsid w:val="00200F0A"/>
    <w:rsid w:val="00201DF6"/>
    <w:rsid w:val="00204C5C"/>
    <w:rsid w:val="00204D8B"/>
    <w:rsid w:val="002067FF"/>
    <w:rsid w:val="00206E9E"/>
    <w:rsid w:val="00206F58"/>
    <w:rsid w:val="002106B3"/>
    <w:rsid w:val="002113D5"/>
    <w:rsid w:val="00212134"/>
    <w:rsid w:val="002124DE"/>
    <w:rsid w:val="00212609"/>
    <w:rsid w:val="002131B8"/>
    <w:rsid w:val="0021411B"/>
    <w:rsid w:val="00215BCA"/>
    <w:rsid w:val="00215D44"/>
    <w:rsid w:val="002169BB"/>
    <w:rsid w:val="00217C9A"/>
    <w:rsid w:val="00220E65"/>
    <w:rsid w:val="002211E8"/>
    <w:rsid w:val="00223373"/>
    <w:rsid w:val="002244D1"/>
    <w:rsid w:val="00224E6A"/>
    <w:rsid w:val="00224EAB"/>
    <w:rsid w:val="00227A5F"/>
    <w:rsid w:val="0023067C"/>
    <w:rsid w:val="00231B9E"/>
    <w:rsid w:val="00234DED"/>
    <w:rsid w:val="00235410"/>
    <w:rsid w:val="00235695"/>
    <w:rsid w:val="002378E4"/>
    <w:rsid w:val="00240CDF"/>
    <w:rsid w:val="002416CE"/>
    <w:rsid w:val="00241B9A"/>
    <w:rsid w:val="00242AB0"/>
    <w:rsid w:val="0024494B"/>
    <w:rsid w:val="002451FF"/>
    <w:rsid w:val="002454D1"/>
    <w:rsid w:val="00246B60"/>
    <w:rsid w:val="00247D4E"/>
    <w:rsid w:val="002500AF"/>
    <w:rsid w:val="002513A7"/>
    <w:rsid w:val="00252118"/>
    <w:rsid w:val="00252380"/>
    <w:rsid w:val="00252D12"/>
    <w:rsid w:val="00254596"/>
    <w:rsid w:val="00257178"/>
    <w:rsid w:val="002576E7"/>
    <w:rsid w:val="00260014"/>
    <w:rsid w:val="002605B5"/>
    <w:rsid w:val="002619EF"/>
    <w:rsid w:val="0026234E"/>
    <w:rsid w:val="00263198"/>
    <w:rsid w:val="0026414D"/>
    <w:rsid w:val="00264DB9"/>
    <w:rsid w:val="00265A52"/>
    <w:rsid w:val="00266AA4"/>
    <w:rsid w:val="00267570"/>
    <w:rsid w:val="00267E8D"/>
    <w:rsid w:val="0027131E"/>
    <w:rsid w:val="002719E8"/>
    <w:rsid w:val="00271B69"/>
    <w:rsid w:val="002764A3"/>
    <w:rsid w:val="00276B39"/>
    <w:rsid w:val="0027709C"/>
    <w:rsid w:val="002772CE"/>
    <w:rsid w:val="002776B8"/>
    <w:rsid w:val="00277E1E"/>
    <w:rsid w:val="00281063"/>
    <w:rsid w:val="002813B2"/>
    <w:rsid w:val="00281BE8"/>
    <w:rsid w:val="00281C62"/>
    <w:rsid w:val="0028265F"/>
    <w:rsid w:val="00282828"/>
    <w:rsid w:val="00283105"/>
    <w:rsid w:val="00283442"/>
    <w:rsid w:val="00284488"/>
    <w:rsid w:val="00284A92"/>
    <w:rsid w:val="00284BE7"/>
    <w:rsid w:val="002857EC"/>
    <w:rsid w:val="00286234"/>
    <w:rsid w:val="00287764"/>
    <w:rsid w:val="00293F62"/>
    <w:rsid w:val="0029406F"/>
    <w:rsid w:val="00294F11"/>
    <w:rsid w:val="00295FD7"/>
    <w:rsid w:val="002968FB"/>
    <w:rsid w:val="002A169F"/>
    <w:rsid w:val="002A2A8A"/>
    <w:rsid w:val="002A3D5D"/>
    <w:rsid w:val="002A44AA"/>
    <w:rsid w:val="002A4B24"/>
    <w:rsid w:val="002A4C81"/>
    <w:rsid w:val="002A4DF9"/>
    <w:rsid w:val="002A6A97"/>
    <w:rsid w:val="002A7949"/>
    <w:rsid w:val="002B2BC7"/>
    <w:rsid w:val="002B3599"/>
    <w:rsid w:val="002B4A6E"/>
    <w:rsid w:val="002B4C42"/>
    <w:rsid w:val="002B4C49"/>
    <w:rsid w:val="002B5F40"/>
    <w:rsid w:val="002B6153"/>
    <w:rsid w:val="002B68B6"/>
    <w:rsid w:val="002B6D1B"/>
    <w:rsid w:val="002B6D22"/>
    <w:rsid w:val="002B740A"/>
    <w:rsid w:val="002B78A0"/>
    <w:rsid w:val="002B7C0C"/>
    <w:rsid w:val="002C04DA"/>
    <w:rsid w:val="002C0A39"/>
    <w:rsid w:val="002C0FC0"/>
    <w:rsid w:val="002C155D"/>
    <w:rsid w:val="002C18A6"/>
    <w:rsid w:val="002C6FAF"/>
    <w:rsid w:val="002C797E"/>
    <w:rsid w:val="002C7FEB"/>
    <w:rsid w:val="002D0573"/>
    <w:rsid w:val="002D1F8A"/>
    <w:rsid w:val="002D2C2A"/>
    <w:rsid w:val="002D348A"/>
    <w:rsid w:val="002D36C1"/>
    <w:rsid w:val="002D3EAD"/>
    <w:rsid w:val="002D4A71"/>
    <w:rsid w:val="002D4C3B"/>
    <w:rsid w:val="002D4E0F"/>
    <w:rsid w:val="002D6995"/>
    <w:rsid w:val="002E08E4"/>
    <w:rsid w:val="002E385D"/>
    <w:rsid w:val="002E4060"/>
    <w:rsid w:val="002E414C"/>
    <w:rsid w:val="002E4EDD"/>
    <w:rsid w:val="002E5819"/>
    <w:rsid w:val="002E5AB4"/>
    <w:rsid w:val="002E6F65"/>
    <w:rsid w:val="002F1AAE"/>
    <w:rsid w:val="002F3D01"/>
    <w:rsid w:val="002F4B3F"/>
    <w:rsid w:val="002F4E7C"/>
    <w:rsid w:val="002F5114"/>
    <w:rsid w:val="002F5DFB"/>
    <w:rsid w:val="002F7142"/>
    <w:rsid w:val="002F7926"/>
    <w:rsid w:val="002F7B1B"/>
    <w:rsid w:val="0030027B"/>
    <w:rsid w:val="00300FD0"/>
    <w:rsid w:val="00302028"/>
    <w:rsid w:val="0030211A"/>
    <w:rsid w:val="003026CD"/>
    <w:rsid w:val="0030280A"/>
    <w:rsid w:val="00304992"/>
    <w:rsid w:val="00305A3F"/>
    <w:rsid w:val="00306688"/>
    <w:rsid w:val="00306E1B"/>
    <w:rsid w:val="0031057B"/>
    <w:rsid w:val="00312B64"/>
    <w:rsid w:val="00313342"/>
    <w:rsid w:val="003140BF"/>
    <w:rsid w:val="0031424B"/>
    <w:rsid w:val="00314924"/>
    <w:rsid w:val="00314C3F"/>
    <w:rsid w:val="0031691D"/>
    <w:rsid w:val="00316B94"/>
    <w:rsid w:val="0032091A"/>
    <w:rsid w:val="0032208D"/>
    <w:rsid w:val="00322F5D"/>
    <w:rsid w:val="00323A87"/>
    <w:rsid w:val="003249E1"/>
    <w:rsid w:val="00324EDC"/>
    <w:rsid w:val="00325303"/>
    <w:rsid w:val="00326058"/>
    <w:rsid w:val="00326E9B"/>
    <w:rsid w:val="00326EE1"/>
    <w:rsid w:val="0032708E"/>
    <w:rsid w:val="003276CE"/>
    <w:rsid w:val="003308AB"/>
    <w:rsid w:val="00331244"/>
    <w:rsid w:val="00331715"/>
    <w:rsid w:val="0033248C"/>
    <w:rsid w:val="00332612"/>
    <w:rsid w:val="00332FDC"/>
    <w:rsid w:val="00333014"/>
    <w:rsid w:val="00333600"/>
    <w:rsid w:val="00335635"/>
    <w:rsid w:val="0033714E"/>
    <w:rsid w:val="00337302"/>
    <w:rsid w:val="00340434"/>
    <w:rsid w:val="00340918"/>
    <w:rsid w:val="003431B4"/>
    <w:rsid w:val="003441D5"/>
    <w:rsid w:val="003447AB"/>
    <w:rsid w:val="00345940"/>
    <w:rsid w:val="003460CA"/>
    <w:rsid w:val="00346488"/>
    <w:rsid w:val="00346899"/>
    <w:rsid w:val="00347DDC"/>
    <w:rsid w:val="003504D8"/>
    <w:rsid w:val="0035137C"/>
    <w:rsid w:val="003528B1"/>
    <w:rsid w:val="0035526B"/>
    <w:rsid w:val="00355320"/>
    <w:rsid w:val="00356CC8"/>
    <w:rsid w:val="003579B2"/>
    <w:rsid w:val="00357AB2"/>
    <w:rsid w:val="00357AC8"/>
    <w:rsid w:val="003607FF"/>
    <w:rsid w:val="00361946"/>
    <w:rsid w:val="00362735"/>
    <w:rsid w:val="00363CB2"/>
    <w:rsid w:val="00364D7F"/>
    <w:rsid w:val="00365198"/>
    <w:rsid w:val="003655D3"/>
    <w:rsid w:val="00366B65"/>
    <w:rsid w:val="00367221"/>
    <w:rsid w:val="00370BCE"/>
    <w:rsid w:val="003716E5"/>
    <w:rsid w:val="00371F98"/>
    <w:rsid w:val="00373DE8"/>
    <w:rsid w:val="0037449C"/>
    <w:rsid w:val="003747B3"/>
    <w:rsid w:val="003748F7"/>
    <w:rsid w:val="00374977"/>
    <w:rsid w:val="00374A36"/>
    <w:rsid w:val="003753A7"/>
    <w:rsid w:val="003760F3"/>
    <w:rsid w:val="003766B7"/>
    <w:rsid w:val="003766BD"/>
    <w:rsid w:val="00376C1F"/>
    <w:rsid w:val="00376C26"/>
    <w:rsid w:val="0037728C"/>
    <w:rsid w:val="00380E1D"/>
    <w:rsid w:val="003822A8"/>
    <w:rsid w:val="003822E1"/>
    <w:rsid w:val="00383795"/>
    <w:rsid w:val="00383979"/>
    <w:rsid w:val="003852F5"/>
    <w:rsid w:val="00385655"/>
    <w:rsid w:val="00385B0F"/>
    <w:rsid w:val="003860DD"/>
    <w:rsid w:val="003865FD"/>
    <w:rsid w:val="0038760A"/>
    <w:rsid w:val="00390882"/>
    <w:rsid w:val="00392395"/>
    <w:rsid w:val="003923B9"/>
    <w:rsid w:val="00393827"/>
    <w:rsid w:val="00394426"/>
    <w:rsid w:val="0039493C"/>
    <w:rsid w:val="0039549D"/>
    <w:rsid w:val="003966DD"/>
    <w:rsid w:val="00396EB0"/>
    <w:rsid w:val="00397A9E"/>
    <w:rsid w:val="003A088C"/>
    <w:rsid w:val="003A0B34"/>
    <w:rsid w:val="003A1C40"/>
    <w:rsid w:val="003A1E8F"/>
    <w:rsid w:val="003A21A1"/>
    <w:rsid w:val="003A41BB"/>
    <w:rsid w:val="003A5CB9"/>
    <w:rsid w:val="003B12D9"/>
    <w:rsid w:val="003B1AFF"/>
    <w:rsid w:val="003B2335"/>
    <w:rsid w:val="003B2378"/>
    <w:rsid w:val="003B249C"/>
    <w:rsid w:val="003B29F8"/>
    <w:rsid w:val="003B2AB9"/>
    <w:rsid w:val="003B33D6"/>
    <w:rsid w:val="003B43A6"/>
    <w:rsid w:val="003B68A1"/>
    <w:rsid w:val="003B6FCA"/>
    <w:rsid w:val="003B6FD7"/>
    <w:rsid w:val="003C2B77"/>
    <w:rsid w:val="003C3BB3"/>
    <w:rsid w:val="003C3DE3"/>
    <w:rsid w:val="003C3FD4"/>
    <w:rsid w:val="003C40A6"/>
    <w:rsid w:val="003C413D"/>
    <w:rsid w:val="003C43BB"/>
    <w:rsid w:val="003C6185"/>
    <w:rsid w:val="003C61BC"/>
    <w:rsid w:val="003C6DC4"/>
    <w:rsid w:val="003C7FF3"/>
    <w:rsid w:val="003D1331"/>
    <w:rsid w:val="003D2703"/>
    <w:rsid w:val="003D63A8"/>
    <w:rsid w:val="003D652E"/>
    <w:rsid w:val="003E18CA"/>
    <w:rsid w:val="003E2C36"/>
    <w:rsid w:val="003E3048"/>
    <w:rsid w:val="003E3EE9"/>
    <w:rsid w:val="003E4192"/>
    <w:rsid w:val="003E4F6F"/>
    <w:rsid w:val="003E5CFC"/>
    <w:rsid w:val="003E5D80"/>
    <w:rsid w:val="003E6731"/>
    <w:rsid w:val="003E7358"/>
    <w:rsid w:val="003F01CE"/>
    <w:rsid w:val="003F0424"/>
    <w:rsid w:val="003F2C5B"/>
    <w:rsid w:val="003F3905"/>
    <w:rsid w:val="003F5017"/>
    <w:rsid w:val="003F58BC"/>
    <w:rsid w:val="003F5964"/>
    <w:rsid w:val="003F60DA"/>
    <w:rsid w:val="003F65FF"/>
    <w:rsid w:val="003F6F8E"/>
    <w:rsid w:val="003F7774"/>
    <w:rsid w:val="00402927"/>
    <w:rsid w:val="0040503E"/>
    <w:rsid w:val="004053E1"/>
    <w:rsid w:val="0040551B"/>
    <w:rsid w:val="00405DF7"/>
    <w:rsid w:val="00405DFE"/>
    <w:rsid w:val="004105AD"/>
    <w:rsid w:val="00410D3B"/>
    <w:rsid w:val="00411DB2"/>
    <w:rsid w:val="004125C3"/>
    <w:rsid w:val="00412EAC"/>
    <w:rsid w:val="00412FD5"/>
    <w:rsid w:val="00414D5E"/>
    <w:rsid w:val="00414E5B"/>
    <w:rsid w:val="004154D3"/>
    <w:rsid w:val="00415614"/>
    <w:rsid w:val="00415649"/>
    <w:rsid w:val="00415FE3"/>
    <w:rsid w:val="00416901"/>
    <w:rsid w:val="00416FB2"/>
    <w:rsid w:val="004179AE"/>
    <w:rsid w:val="00421392"/>
    <w:rsid w:val="0042209E"/>
    <w:rsid w:val="00422229"/>
    <w:rsid w:val="0042289F"/>
    <w:rsid w:val="00424862"/>
    <w:rsid w:val="00424CC0"/>
    <w:rsid w:val="00425AA3"/>
    <w:rsid w:val="004271B0"/>
    <w:rsid w:val="00427CED"/>
    <w:rsid w:val="00431609"/>
    <w:rsid w:val="00432D1B"/>
    <w:rsid w:val="00432D41"/>
    <w:rsid w:val="00436023"/>
    <w:rsid w:val="00436A7A"/>
    <w:rsid w:val="00436E6D"/>
    <w:rsid w:val="00437A7D"/>
    <w:rsid w:val="0044085E"/>
    <w:rsid w:val="004415C9"/>
    <w:rsid w:val="004417A8"/>
    <w:rsid w:val="00441FD6"/>
    <w:rsid w:val="00442682"/>
    <w:rsid w:val="00445359"/>
    <w:rsid w:val="00445FDB"/>
    <w:rsid w:val="004461E8"/>
    <w:rsid w:val="00447627"/>
    <w:rsid w:val="00450301"/>
    <w:rsid w:val="00450D70"/>
    <w:rsid w:val="00451352"/>
    <w:rsid w:val="00452E19"/>
    <w:rsid w:val="004531A5"/>
    <w:rsid w:val="00453518"/>
    <w:rsid w:val="0045416D"/>
    <w:rsid w:val="00454648"/>
    <w:rsid w:val="004612EF"/>
    <w:rsid w:val="004614A8"/>
    <w:rsid w:val="0046155F"/>
    <w:rsid w:val="00461E00"/>
    <w:rsid w:val="00462541"/>
    <w:rsid w:val="00462BBB"/>
    <w:rsid w:val="00462F0B"/>
    <w:rsid w:val="004655DF"/>
    <w:rsid w:val="004656B9"/>
    <w:rsid w:val="0046675E"/>
    <w:rsid w:val="00466882"/>
    <w:rsid w:val="00466EA2"/>
    <w:rsid w:val="0046779D"/>
    <w:rsid w:val="00467D83"/>
    <w:rsid w:val="004702D7"/>
    <w:rsid w:val="00471EAB"/>
    <w:rsid w:val="0047227C"/>
    <w:rsid w:val="004732BB"/>
    <w:rsid w:val="004756B6"/>
    <w:rsid w:val="00481309"/>
    <w:rsid w:val="00482273"/>
    <w:rsid w:val="00483671"/>
    <w:rsid w:val="00485D23"/>
    <w:rsid w:val="00485F08"/>
    <w:rsid w:val="00486786"/>
    <w:rsid w:val="00486A22"/>
    <w:rsid w:val="00487940"/>
    <w:rsid w:val="00487C4C"/>
    <w:rsid w:val="00487FAD"/>
    <w:rsid w:val="0049179B"/>
    <w:rsid w:val="0049206D"/>
    <w:rsid w:val="00492A44"/>
    <w:rsid w:val="00493C8A"/>
    <w:rsid w:val="00495D25"/>
    <w:rsid w:val="00497A73"/>
    <w:rsid w:val="004A147A"/>
    <w:rsid w:val="004A15E1"/>
    <w:rsid w:val="004A2E9D"/>
    <w:rsid w:val="004A3322"/>
    <w:rsid w:val="004A34E4"/>
    <w:rsid w:val="004A5307"/>
    <w:rsid w:val="004A58CB"/>
    <w:rsid w:val="004A71AE"/>
    <w:rsid w:val="004B0CA1"/>
    <w:rsid w:val="004B1F95"/>
    <w:rsid w:val="004B249A"/>
    <w:rsid w:val="004B3560"/>
    <w:rsid w:val="004B3B7A"/>
    <w:rsid w:val="004B5309"/>
    <w:rsid w:val="004B62C6"/>
    <w:rsid w:val="004B7A91"/>
    <w:rsid w:val="004C0720"/>
    <w:rsid w:val="004C1306"/>
    <w:rsid w:val="004C1309"/>
    <w:rsid w:val="004C1441"/>
    <w:rsid w:val="004C26F9"/>
    <w:rsid w:val="004C2D87"/>
    <w:rsid w:val="004C350C"/>
    <w:rsid w:val="004C4204"/>
    <w:rsid w:val="004C44E9"/>
    <w:rsid w:val="004C484C"/>
    <w:rsid w:val="004C4D52"/>
    <w:rsid w:val="004C54D7"/>
    <w:rsid w:val="004C5F13"/>
    <w:rsid w:val="004C5F99"/>
    <w:rsid w:val="004C60AC"/>
    <w:rsid w:val="004C67B1"/>
    <w:rsid w:val="004C6C35"/>
    <w:rsid w:val="004D0610"/>
    <w:rsid w:val="004D1910"/>
    <w:rsid w:val="004D2D1D"/>
    <w:rsid w:val="004D4424"/>
    <w:rsid w:val="004D478B"/>
    <w:rsid w:val="004D47B3"/>
    <w:rsid w:val="004D4D1E"/>
    <w:rsid w:val="004D7696"/>
    <w:rsid w:val="004E037A"/>
    <w:rsid w:val="004E0661"/>
    <w:rsid w:val="004E098D"/>
    <w:rsid w:val="004E1383"/>
    <w:rsid w:val="004E3598"/>
    <w:rsid w:val="004E3ADB"/>
    <w:rsid w:val="004E6907"/>
    <w:rsid w:val="004E7E7C"/>
    <w:rsid w:val="004F1849"/>
    <w:rsid w:val="004F1979"/>
    <w:rsid w:val="004F1A21"/>
    <w:rsid w:val="004F1F66"/>
    <w:rsid w:val="004F2181"/>
    <w:rsid w:val="004F4CF1"/>
    <w:rsid w:val="004F528B"/>
    <w:rsid w:val="004F7E71"/>
    <w:rsid w:val="005032DC"/>
    <w:rsid w:val="00503438"/>
    <w:rsid w:val="00504402"/>
    <w:rsid w:val="0050546A"/>
    <w:rsid w:val="005065B5"/>
    <w:rsid w:val="00507A49"/>
    <w:rsid w:val="00511DAF"/>
    <w:rsid w:val="00511FD7"/>
    <w:rsid w:val="0051225C"/>
    <w:rsid w:val="0051239C"/>
    <w:rsid w:val="00512B95"/>
    <w:rsid w:val="00512DE2"/>
    <w:rsid w:val="00513220"/>
    <w:rsid w:val="00513E87"/>
    <w:rsid w:val="00515464"/>
    <w:rsid w:val="00515F20"/>
    <w:rsid w:val="005161C5"/>
    <w:rsid w:val="00516470"/>
    <w:rsid w:val="00516A20"/>
    <w:rsid w:val="00517362"/>
    <w:rsid w:val="00517CF8"/>
    <w:rsid w:val="00517FF5"/>
    <w:rsid w:val="00520830"/>
    <w:rsid w:val="00521B0D"/>
    <w:rsid w:val="005250E2"/>
    <w:rsid w:val="0052530E"/>
    <w:rsid w:val="00527F7D"/>
    <w:rsid w:val="005302E3"/>
    <w:rsid w:val="005311C1"/>
    <w:rsid w:val="0053141E"/>
    <w:rsid w:val="0053255C"/>
    <w:rsid w:val="005328D5"/>
    <w:rsid w:val="005333B4"/>
    <w:rsid w:val="0053371B"/>
    <w:rsid w:val="00533D67"/>
    <w:rsid w:val="0053666D"/>
    <w:rsid w:val="005371E1"/>
    <w:rsid w:val="005376E1"/>
    <w:rsid w:val="005401D2"/>
    <w:rsid w:val="00540E14"/>
    <w:rsid w:val="00541AED"/>
    <w:rsid w:val="005424FE"/>
    <w:rsid w:val="00542606"/>
    <w:rsid w:val="005429A2"/>
    <w:rsid w:val="00542AC2"/>
    <w:rsid w:val="00544503"/>
    <w:rsid w:val="00545999"/>
    <w:rsid w:val="00546366"/>
    <w:rsid w:val="005472B9"/>
    <w:rsid w:val="00550304"/>
    <w:rsid w:val="00553468"/>
    <w:rsid w:val="00554023"/>
    <w:rsid w:val="00554589"/>
    <w:rsid w:val="0055462A"/>
    <w:rsid w:val="0055623E"/>
    <w:rsid w:val="00556346"/>
    <w:rsid w:val="005571F2"/>
    <w:rsid w:val="00557442"/>
    <w:rsid w:val="005604C2"/>
    <w:rsid w:val="00561BA3"/>
    <w:rsid w:val="005630D0"/>
    <w:rsid w:val="00563ADC"/>
    <w:rsid w:val="00564668"/>
    <w:rsid w:val="0056487C"/>
    <w:rsid w:val="005649DC"/>
    <w:rsid w:val="00564A79"/>
    <w:rsid w:val="0056717A"/>
    <w:rsid w:val="00571F27"/>
    <w:rsid w:val="00572A03"/>
    <w:rsid w:val="00575183"/>
    <w:rsid w:val="00576350"/>
    <w:rsid w:val="005768EF"/>
    <w:rsid w:val="005773D3"/>
    <w:rsid w:val="0058029F"/>
    <w:rsid w:val="00581403"/>
    <w:rsid w:val="00581FFA"/>
    <w:rsid w:val="00582CC1"/>
    <w:rsid w:val="0058316E"/>
    <w:rsid w:val="005836DD"/>
    <w:rsid w:val="00583C92"/>
    <w:rsid w:val="005843E2"/>
    <w:rsid w:val="0058448B"/>
    <w:rsid w:val="00586335"/>
    <w:rsid w:val="00587301"/>
    <w:rsid w:val="00587F00"/>
    <w:rsid w:val="00591D2A"/>
    <w:rsid w:val="0059357E"/>
    <w:rsid w:val="005939B8"/>
    <w:rsid w:val="00594957"/>
    <w:rsid w:val="00596E1C"/>
    <w:rsid w:val="005973B2"/>
    <w:rsid w:val="00597CAF"/>
    <w:rsid w:val="005A0CA5"/>
    <w:rsid w:val="005A0EA8"/>
    <w:rsid w:val="005A1273"/>
    <w:rsid w:val="005A3958"/>
    <w:rsid w:val="005A3C4C"/>
    <w:rsid w:val="005A426A"/>
    <w:rsid w:val="005A47BF"/>
    <w:rsid w:val="005A4C2C"/>
    <w:rsid w:val="005A6177"/>
    <w:rsid w:val="005A710B"/>
    <w:rsid w:val="005B03BB"/>
    <w:rsid w:val="005B0BC7"/>
    <w:rsid w:val="005B12E4"/>
    <w:rsid w:val="005B135B"/>
    <w:rsid w:val="005B1E69"/>
    <w:rsid w:val="005B21D9"/>
    <w:rsid w:val="005B2284"/>
    <w:rsid w:val="005B25EE"/>
    <w:rsid w:val="005B2AD7"/>
    <w:rsid w:val="005B30B1"/>
    <w:rsid w:val="005B35B8"/>
    <w:rsid w:val="005B3E54"/>
    <w:rsid w:val="005B4C59"/>
    <w:rsid w:val="005B67E9"/>
    <w:rsid w:val="005C1032"/>
    <w:rsid w:val="005C1F70"/>
    <w:rsid w:val="005C2277"/>
    <w:rsid w:val="005C3312"/>
    <w:rsid w:val="005C377E"/>
    <w:rsid w:val="005C3D85"/>
    <w:rsid w:val="005C497E"/>
    <w:rsid w:val="005C4D59"/>
    <w:rsid w:val="005C7EBC"/>
    <w:rsid w:val="005D0011"/>
    <w:rsid w:val="005D0AC8"/>
    <w:rsid w:val="005D2254"/>
    <w:rsid w:val="005D2459"/>
    <w:rsid w:val="005D256C"/>
    <w:rsid w:val="005D34E9"/>
    <w:rsid w:val="005D352E"/>
    <w:rsid w:val="005D3807"/>
    <w:rsid w:val="005D3AF2"/>
    <w:rsid w:val="005D4AFC"/>
    <w:rsid w:val="005D4B7E"/>
    <w:rsid w:val="005D521D"/>
    <w:rsid w:val="005D5789"/>
    <w:rsid w:val="005D6DD0"/>
    <w:rsid w:val="005E09B8"/>
    <w:rsid w:val="005E2B22"/>
    <w:rsid w:val="005E31AA"/>
    <w:rsid w:val="005E3695"/>
    <w:rsid w:val="005E3B23"/>
    <w:rsid w:val="005E53C9"/>
    <w:rsid w:val="005E64AC"/>
    <w:rsid w:val="005E7599"/>
    <w:rsid w:val="005F0B00"/>
    <w:rsid w:val="005F0FFE"/>
    <w:rsid w:val="005F2B34"/>
    <w:rsid w:val="005F3425"/>
    <w:rsid w:val="005F490C"/>
    <w:rsid w:val="005F64B6"/>
    <w:rsid w:val="005F6B1F"/>
    <w:rsid w:val="00601918"/>
    <w:rsid w:val="00602E24"/>
    <w:rsid w:val="00604ABB"/>
    <w:rsid w:val="00605389"/>
    <w:rsid w:val="00607488"/>
    <w:rsid w:val="0061097D"/>
    <w:rsid w:val="00610A78"/>
    <w:rsid w:val="006115A3"/>
    <w:rsid w:val="00612560"/>
    <w:rsid w:val="006147E3"/>
    <w:rsid w:val="006148EF"/>
    <w:rsid w:val="006149BF"/>
    <w:rsid w:val="00614DC8"/>
    <w:rsid w:val="0061549B"/>
    <w:rsid w:val="00616CA7"/>
    <w:rsid w:val="00616F9D"/>
    <w:rsid w:val="00617B43"/>
    <w:rsid w:val="00617E0C"/>
    <w:rsid w:val="0062117B"/>
    <w:rsid w:val="006219AF"/>
    <w:rsid w:val="006229C0"/>
    <w:rsid w:val="00622D6F"/>
    <w:rsid w:val="006232E8"/>
    <w:rsid w:val="0062407F"/>
    <w:rsid w:val="0062439B"/>
    <w:rsid w:val="006247F9"/>
    <w:rsid w:val="0062572B"/>
    <w:rsid w:val="00625D2B"/>
    <w:rsid w:val="00625E27"/>
    <w:rsid w:val="00626A0C"/>
    <w:rsid w:val="00626B75"/>
    <w:rsid w:val="0062719B"/>
    <w:rsid w:val="006272B1"/>
    <w:rsid w:val="00627463"/>
    <w:rsid w:val="00627573"/>
    <w:rsid w:val="006315F6"/>
    <w:rsid w:val="00631DBE"/>
    <w:rsid w:val="006335A7"/>
    <w:rsid w:val="00634986"/>
    <w:rsid w:val="00635204"/>
    <w:rsid w:val="0063643C"/>
    <w:rsid w:val="00636679"/>
    <w:rsid w:val="00636CCF"/>
    <w:rsid w:val="00636E48"/>
    <w:rsid w:val="0063757E"/>
    <w:rsid w:val="00640E68"/>
    <w:rsid w:val="00641DD8"/>
    <w:rsid w:val="006423B7"/>
    <w:rsid w:val="00642E9B"/>
    <w:rsid w:val="00642F93"/>
    <w:rsid w:val="00643437"/>
    <w:rsid w:val="00644B24"/>
    <w:rsid w:val="0064592A"/>
    <w:rsid w:val="00645EFB"/>
    <w:rsid w:val="0064682C"/>
    <w:rsid w:val="00646C7B"/>
    <w:rsid w:val="0064724F"/>
    <w:rsid w:val="00650FA2"/>
    <w:rsid w:val="00652561"/>
    <w:rsid w:val="006525F7"/>
    <w:rsid w:val="006532F3"/>
    <w:rsid w:val="006537CB"/>
    <w:rsid w:val="00653943"/>
    <w:rsid w:val="00654E8C"/>
    <w:rsid w:val="00655389"/>
    <w:rsid w:val="00656617"/>
    <w:rsid w:val="006617EF"/>
    <w:rsid w:val="00661AAB"/>
    <w:rsid w:val="0066356E"/>
    <w:rsid w:val="006659CD"/>
    <w:rsid w:val="00666D4B"/>
    <w:rsid w:val="00670611"/>
    <w:rsid w:val="0067162C"/>
    <w:rsid w:val="00671C04"/>
    <w:rsid w:val="00671DE0"/>
    <w:rsid w:val="0067227A"/>
    <w:rsid w:val="00673185"/>
    <w:rsid w:val="00673C15"/>
    <w:rsid w:val="006743A6"/>
    <w:rsid w:val="00674BAD"/>
    <w:rsid w:val="00675F79"/>
    <w:rsid w:val="00677CF4"/>
    <w:rsid w:val="00681793"/>
    <w:rsid w:val="00681FB6"/>
    <w:rsid w:val="00684C00"/>
    <w:rsid w:val="006866CD"/>
    <w:rsid w:val="00686A40"/>
    <w:rsid w:val="00691333"/>
    <w:rsid w:val="00691713"/>
    <w:rsid w:val="00691975"/>
    <w:rsid w:val="0069368F"/>
    <w:rsid w:val="00694A8D"/>
    <w:rsid w:val="00695776"/>
    <w:rsid w:val="00696217"/>
    <w:rsid w:val="00696EFA"/>
    <w:rsid w:val="00697C81"/>
    <w:rsid w:val="006A3E34"/>
    <w:rsid w:val="006A4BC3"/>
    <w:rsid w:val="006A50EF"/>
    <w:rsid w:val="006A6B1B"/>
    <w:rsid w:val="006A7CBA"/>
    <w:rsid w:val="006A7D3E"/>
    <w:rsid w:val="006A7F79"/>
    <w:rsid w:val="006B02D3"/>
    <w:rsid w:val="006B1795"/>
    <w:rsid w:val="006B1AD8"/>
    <w:rsid w:val="006B24F5"/>
    <w:rsid w:val="006B542F"/>
    <w:rsid w:val="006B6C00"/>
    <w:rsid w:val="006B6EC5"/>
    <w:rsid w:val="006B70C9"/>
    <w:rsid w:val="006B76C5"/>
    <w:rsid w:val="006B78FF"/>
    <w:rsid w:val="006B7DC1"/>
    <w:rsid w:val="006C1005"/>
    <w:rsid w:val="006C2198"/>
    <w:rsid w:val="006C259F"/>
    <w:rsid w:val="006C2BF1"/>
    <w:rsid w:val="006C3F85"/>
    <w:rsid w:val="006C49A1"/>
    <w:rsid w:val="006C4CAC"/>
    <w:rsid w:val="006C656C"/>
    <w:rsid w:val="006C66DD"/>
    <w:rsid w:val="006D018F"/>
    <w:rsid w:val="006D05FF"/>
    <w:rsid w:val="006D09CE"/>
    <w:rsid w:val="006D0AE8"/>
    <w:rsid w:val="006D0D75"/>
    <w:rsid w:val="006D15E1"/>
    <w:rsid w:val="006D1EC9"/>
    <w:rsid w:val="006D43A2"/>
    <w:rsid w:val="006D4F1F"/>
    <w:rsid w:val="006D5DC9"/>
    <w:rsid w:val="006D7B14"/>
    <w:rsid w:val="006E0599"/>
    <w:rsid w:val="006E0AF4"/>
    <w:rsid w:val="006E1455"/>
    <w:rsid w:val="006E2FD5"/>
    <w:rsid w:val="006E50D4"/>
    <w:rsid w:val="006E7556"/>
    <w:rsid w:val="006E773A"/>
    <w:rsid w:val="006E7C79"/>
    <w:rsid w:val="006E7EF1"/>
    <w:rsid w:val="006F1496"/>
    <w:rsid w:val="006F170C"/>
    <w:rsid w:val="006F184E"/>
    <w:rsid w:val="006F3910"/>
    <w:rsid w:val="006F60D6"/>
    <w:rsid w:val="006F6700"/>
    <w:rsid w:val="006F7782"/>
    <w:rsid w:val="006F7CF6"/>
    <w:rsid w:val="00700792"/>
    <w:rsid w:val="00701072"/>
    <w:rsid w:val="0070199A"/>
    <w:rsid w:val="00701B37"/>
    <w:rsid w:val="00701C75"/>
    <w:rsid w:val="00702FAF"/>
    <w:rsid w:val="007036D7"/>
    <w:rsid w:val="0070420E"/>
    <w:rsid w:val="007045DA"/>
    <w:rsid w:val="00704F2B"/>
    <w:rsid w:val="00706DDE"/>
    <w:rsid w:val="0071054C"/>
    <w:rsid w:val="00710CD1"/>
    <w:rsid w:val="00711A09"/>
    <w:rsid w:val="007121ED"/>
    <w:rsid w:val="00712A35"/>
    <w:rsid w:val="007135DD"/>
    <w:rsid w:val="00713C81"/>
    <w:rsid w:val="00713F58"/>
    <w:rsid w:val="00714ABC"/>
    <w:rsid w:val="00714CBF"/>
    <w:rsid w:val="00716151"/>
    <w:rsid w:val="007170CD"/>
    <w:rsid w:val="007170D6"/>
    <w:rsid w:val="00717A92"/>
    <w:rsid w:val="00717C08"/>
    <w:rsid w:val="007203EE"/>
    <w:rsid w:val="00721304"/>
    <w:rsid w:val="007215CE"/>
    <w:rsid w:val="0072196A"/>
    <w:rsid w:val="007219BF"/>
    <w:rsid w:val="00721E29"/>
    <w:rsid w:val="00721F84"/>
    <w:rsid w:val="00722951"/>
    <w:rsid w:val="007272DF"/>
    <w:rsid w:val="0073058B"/>
    <w:rsid w:val="00730F58"/>
    <w:rsid w:val="0073336E"/>
    <w:rsid w:val="00733375"/>
    <w:rsid w:val="00735484"/>
    <w:rsid w:val="00735A70"/>
    <w:rsid w:val="00736A9B"/>
    <w:rsid w:val="007379D8"/>
    <w:rsid w:val="00737BA0"/>
    <w:rsid w:val="00737CFB"/>
    <w:rsid w:val="007407BB"/>
    <w:rsid w:val="00741F5E"/>
    <w:rsid w:val="007421CF"/>
    <w:rsid w:val="00742229"/>
    <w:rsid w:val="00743063"/>
    <w:rsid w:val="00743810"/>
    <w:rsid w:val="00745550"/>
    <w:rsid w:val="00745C72"/>
    <w:rsid w:val="007460E3"/>
    <w:rsid w:val="00746310"/>
    <w:rsid w:val="00746829"/>
    <w:rsid w:val="00746C11"/>
    <w:rsid w:val="00746C8E"/>
    <w:rsid w:val="00746F52"/>
    <w:rsid w:val="00746F53"/>
    <w:rsid w:val="00746FF8"/>
    <w:rsid w:val="0075027C"/>
    <w:rsid w:val="0075143A"/>
    <w:rsid w:val="00752994"/>
    <w:rsid w:val="00755032"/>
    <w:rsid w:val="00756412"/>
    <w:rsid w:val="0075766D"/>
    <w:rsid w:val="007614EF"/>
    <w:rsid w:val="007620E3"/>
    <w:rsid w:val="007628D4"/>
    <w:rsid w:val="00762A62"/>
    <w:rsid w:val="00763FC2"/>
    <w:rsid w:val="00765056"/>
    <w:rsid w:val="007657AF"/>
    <w:rsid w:val="007669C9"/>
    <w:rsid w:val="00771BBD"/>
    <w:rsid w:val="007744F3"/>
    <w:rsid w:val="00775957"/>
    <w:rsid w:val="00775C6C"/>
    <w:rsid w:val="00776432"/>
    <w:rsid w:val="007772A8"/>
    <w:rsid w:val="00777ACC"/>
    <w:rsid w:val="0078075A"/>
    <w:rsid w:val="007808CA"/>
    <w:rsid w:val="00783391"/>
    <w:rsid w:val="007843FA"/>
    <w:rsid w:val="00784D50"/>
    <w:rsid w:val="00785259"/>
    <w:rsid w:val="00790F56"/>
    <w:rsid w:val="00791B26"/>
    <w:rsid w:val="00791F08"/>
    <w:rsid w:val="00792057"/>
    <w:rsid w:val="00793DFC"/>
    <w:rsid w:val="00793F65"/>
    <w:rsid w:val="007945E0"/>
    <w:rsid w:val="00795341"/>
    <w:rsid w:val="0079789E"/>
    <w:rsid w:val="00797B44"/>
    <w:rsid w:val="007A0796"/>
    <w:rsid w:val="007A192A"/>
    <w:rsid w:val="007A2484"/>
    <w:rsid w:val="007A248F"/>
    <w:rsid w:val="007A428F"/>
    <w:rsid w:val="007A6251"/>
    <w:rsid w:val="007A63D6"/>
    <w:rsid w:val="007B068C"/>
    <w:rsid w:val="007B0E52"/>
    <w:rsid w:val="007B1AC9"/>
    <w:rsid w:val="007B2A95"/>
    <w:rsid w:val="007B4067"/>
    <w:rsid w:val="007B4400"/>
    <w:rsid w:val="007B6AF2"/>
    <w:rsid w:val="007B788A"/>
    <w:rsid w:val="007C20D4"/>
    <w:rsid w:val="007C451D"/>
    <w:rsid w:val="007C6122"/>
    <w:rsid w:val="007C6474"/>
    <w:rsid w:val="007C6B8A"/>
    <w:rsid w:val="007C7745"/>
    <w:rsid w:val="007D06A2"/>
    <w:rsid w:val="007D123C"/>
    <w:rsid w:val="007D1DD5"/>
    <w:rsid w:val="007D293F"/>
    <w:rsid w:val="007D2968"/>
    <w:rsid w:val="007D3569"/>
    <w:rsid w:val="007D3E17"/>
    <w:rsid w:val="007D431D"/>
    <w:rsid w:val="007D4CE0"/>
    <w:rsid w:val="007D6E1B"/>
    <w:rsid w:val="007D79E4"/>
    <w:rsid w:val="007D79F8"/>
    <w:rsid w:val="007D7BE4"/>
    <w:rsid w:val="007D7CC4"/>
    <w:rsid w:val="007D7F98"/>
    <w:rsid w:val="007E0212"/>
    <w:rsid w:val="007E0558"/>
    <w:rsid w:val="007E1F51"/>
    <w:rsid w:val="007E22EC"/>
    <w:rsid w:val="007E25F5"/>
    <w:rsid w:val="007E285A"/>
    <w:rsid w:val="007E2BAD"/>
    <w:rsid w:val="007E4926"/>
    <w:rsid w:val="007E6287"/>
    <w:rsid w:val="007E6C20"/>
    <w:rsid w:val="007E7A72"/>
    <w:rsid w:val="007E7B8B"/>
    <w:rsid w:val="007E7CE0"/>
    <w:rsid w:val="007F0174"/>
    <w:rsid w:val="007F041D"/>
    <w:rsid w:val="007F091D"/>
    <w:rsid w:val="007F1D80"/>
    <w:rsid w:val="007F1E0A"/>
    <w:rsid w:val="007F1EA6"/>
    <w:rsid w:val="007F26AA"/>
    <w:rsid w:val="007F298B"/>
    <w:rsid w:val="007F3304"/>
    <w:rsid w:val="007F3861"/>
    <w:rsid w:val="007F39BD"/>
    <w:rsid w:val="007F4686"/>
    <w:rsid w:val="007F4B89"/>
    <w:rsid w:val="007F5505"/>
    <w:rsid w:val="007F5738"/>
    <w:rsid w:val="007F5A9C"/>
    <w:rsid w:val="007F6ECA"/>
    <w:rsid w:val="007F746C"/>
    <w:rsid w:val="007F76F4"/>
    <w:rsid w:val="007F7B21"/>
    <w:rsid w:val="00800448"/>
    <w:rsid w:val="0080213C"/>
    <w:rsid w:val="00803363"/>
    <w:rsid w:val="00805D13"/>
    <w:rsid w:val="00806046"/>
    <w:rsid w:val="00812F67"/>
    <w:rsid w:val="00813C3B"/>
    <w:rsid w:val="00813F9D"/>
    <w:rsid w:val="0081513E"/>
    <w:rsid w:val="008154EB"/>
    <w:rsid w:val="0081676A"/>
    <w:rsid w:val="00816BA6"/>
    <w:rsid w:val="008174BE"/>
    <w:rsid w:val="00820639"/>
    <w:rsid w:val="00820910"/>
    <w:rsid w:val="0082095F"/>
    <w:rsid w:val="00820BE7"/>
    <w:rsid w:val="00821F6B"/>
    <w:rsid w:val="00822942"/>
    <w:rsid w:val="0082300A"/>
    <w:rsid w:val="0082541B"/>
    <w:rsid w:val="00827D93"/>
    <w:rsid w:val="00831AEA"/>
    <w:rsid w:val="00832E8C"/>
    <w:rsid w:val="00834103"/>
    <w:rsid w:val="008342BF"/>
    <w:rsid w:val="008342D5"/>
    <w:rsid w:val="00835864"/>
    <w:rsid w:val="008371EB"/>
    <w:rsid w:val="00841609"/>
    <w:rsid w:val="0084178A"/>
    <w:rsid w:val="0084466A"/>
    <w:rsid w:val="008464D6"/>
    <w:rsid w:val="008468C4"/>
    <w:rsid w:val="00846CF0"/>
    <w:rsid w:val="00846FCF"/>
    <w:rsid w:val="0084767E"/>
    <w:rsid w:val="00850F04"/>
    <w:rsid w:val="008515D2"/>
    <w:rsid w:val="00851F5C"/>
    <w:rsid w:val="00852570"/>
    <w:rsid w:val="00853AA7"/>
    <w:rsid w:val="00853DF7"/>
    <w:rsid w:val="00855012"/>
    <w:rsid w:val="00855D5A"/>
    <w:rsid w:val="00856028"/>
    <w:rsid w:val="00856B1A"/>
    <w:rsid w:val="008574F5"/>
    <w:rsid w:val="0086154B"/>
    <w:rsid w:val="008615D8"/>
    <w:rsid w:val="00862ABA"/>
    <w:rsid w:val="00862F26"/>
    <w:rsid w:val="008648A7"/>
    <w:rsid w:val="008652E6"/>
    <w:rsid w:val="0086534B"/>
    <w:rsid w:val="00865C1F"/>
    <w:rsid w:val="008663DD"/>
    <w:rsid w:val="00866BC1"/>
    <w:rsid w:val="00866F9D"/>
    <w:rsid w:val="008679CA"/>
    <w:rsid w:val="00870C8C"/>
    <w:rsid w:val="00870E41"/>
    <w:rsid w:val="00872085"/>
    <w:rsid w:val="00872B54"/>
    <w:rsid w:val="008737A7"/>
    <w:rsid w:val="00873F7F"/>
    <w:rsid w:val="00874104"/>
    <w:rsid w:val="00874C91"/>
    <w:rsid w:val="00875A2B"/>
    <w:rsid w:val="00876889"/>
    <w:rsid w:val="00877A0A"/>
    <w:rsid w:val="00880C5F"/>
    <w:rsid w:val="00881BC5"/>
    <w:rsid w:val="00881C08"/>
    <w:rsid w:val="00881EBD"/>
    <w:rsid w:val="0088229A"/>
    <w:rsid w:val="008829BF"/>
    <w:rsid w:val="00884546"/>
    <w:rsid w:val="00884DAF"/>
    <w:rsid w:val="008850E6"/>
    <w:rsid w:val="008856CE"/>
    <w:rsid w:val="00885734"/>
    <w:rsid w:val="00885DD0"/>
    <w:rsid w:val="0088633B"/>
    <w:rsid w:val="008866D3"/>
    <w:rsid w:val="008873E3"/>
    <w:rsid w:val="00887DFF"/>
    <w:rsid w:val="00890CDD"/>
    <w:rsid w:val="00891A9A"/>
    <w:rsid w:val="00892939"/>
    <w:rsid w:val="00892ED8"/>
    <w:rsid w:val="00893120"/>
    <w:rsid w:val="008951D3"/>
    <w:rsid w:val="00895ED9"/>
    <w:rsid w:val="00896248"/>
    <w:rsid w:val="008975BC"/>
    <w:rsid w:val="00897644"/>
    <w:rsid w:val="00897F58"/>
    <w:rsid w:val="008A0138"/>
    <w:rsid w:val="008A0D04"/>
    <w:rsid w:val="008A20E1"/>
    <w:rsid w:val="008A24FA"/>
    <w:rsid w:val="008A56AB"/>
    <w:rsid w:val="008A5967"/>
    <w:rsid w:val="008A618C"/>
    <w:rsid w:val="008A6A07"/>
    <w:rsid w:val="008A7CAD"/>
    <w:rsid w:val="008B175D"/>
    <w:rsid w:val="008B18BC"/>
    <w:rsid w:val="008B2F8E"/>
    <w:rsid w:val="008B581A"/>
    <w:rsid w:val="008B613F"/>
    <w:rsid w:val="008B6D64"/>
    <w:rsid w:val="008B7434"/>
    <w:rsid w:val="008C0F71"/>
    <w:rsid w:val="008C1022"/>
    <w:rsid w:val="008C185D"/>
    <w:rsid w:val="008C3A5C"/>
    <w:rsid w:val="008C3C71"/>
    <w:rsid w:val="008C4CFA"/>
    <w:rsid w:val="008C5A32"/>
    <w:rsid w:val="008C6766"/>
    <w:rsid w:val="008C6F4C"/>
    <w:rsid w:val="008C7A8F"/>
    <w:rsid w:val="008C7C1A"/>
    <w:rsid w:val="008D0007"/>
    <w:rsid w:val="008D1354"/>
    <w:rsid w:val="008D1F10"/>
    <w:rsid w:val="008D222C"/>
    <w:rsid w:val="008D33D2"/>
    <w:rsid w:val="008D3E48"/>
    <w:rsid w:val="008D6A4B"/>
    <w:rsid w:val="008E0D9D"/>
    <w:rsid w:val="008E2A7C"/>
    <w:rsid w:val="008E6043"/>
    <w:rsid w:val="008E75F1"/>
    <w:rsid w:val="008F0197"/>
    <w:rsid w:val="008F0C02"/>
    <w:rsid w:val="008F2130"/>
    <w:rsid w:val="008F2395"/>
    <w:rsid w:val="008F44A8"/>
    <w:rsid w:val="008F5764"/>
    <w:rsid w:val="008F5839"/>
    <w:rsid w:val="008F65E6"/>
    <w:rsid w:val="008F70AB"/>
    <w:rsid w:val="008F78AE"/>
    <w:rsid w:val="008F79A4"/>
    <w:rsid w:val="0090016A"/>
    <w:rsid w:val="0090251B"/>
    <w:rsid w:val="009030B3"/>
    <w:rsid w:val="00904BBF"/>
    <w:rsid w:val="009066AE"/>
    <w:rsid w:val="00906FA0"/>
    <w:rsid w:val="00907969"/>
    <w:rsid w:val="00910F80"/>
    <w:rsid w:val="00911754"/>
    <w:rsid w:val="009126E9"/>
    <w:rsid w:val="00913324"/>
    <w:rsid w:val="009134F5"/>
    <w:rsid w:val="00913774"/>
    <w:rsid w:val="0091524B"/>
    <w:rsid w:val="00915969"/>
    <w:rsid w:val="00915B9C"/>
    <w:rsid w:val="009164FA"/>
    <w:rsid w:val="00916E13"/>
    <w:rsid w:val="009172D7"/>
    <w:rsid w:val="009177C0"/>
    <w:rsid w:val="00920683"/>
    <w:rsid w:val="009209DD"/>
    <w:rsid w:val="00923B79"/>
    <w:rsid w:val="00924840"/>
    <w:rsid w:val="009249C8"/>
    <w:rsid w:val="009254C2"/>
    <w:rsid w:val="009256CB"/>
    <w:rsid w:val="00925C7C"/>
    <w:rsid w:val="00925D31"/>
    <w:rsid w:val="0092665E"/>
    <w:rsid w:val="00926AC7"/>
    <w:rsid w:val="0092748C"/>
    <w:rsid w:val="00930392"/>
    <w:rsid w:val="009320A2"/>
    <w:rsid w:val="0093400D"/>
    <w:rsid w:val="00934474"/>
    <w:rsid w:val="00934568"/>
    <w:rsid w:val="00936E1B"/>
    <w:rsid w:val="009371C6"/>
    <w:rsid w:val="00940915"/>
    <w:rsid w:val="009435E5"/>
    <w:rsid w:val="00944A8E"/>
    <w:rsid w:val="00944C79"/>
    <w:rsid w:val="009452BC"/>
    <w:rsid w:val="009455BA"/>
    <w:rsid w:val="00945D01"/>
    <w:rsid w:val="00947043"/>
    <w:rsid w:val="00950167"/>
    <w:rsid w:val="009501EB"/>
    <w:rsid w:val="00950D8F"/>
    <w:rsid w:val="009511F3"/>
    <w:rsid w:val="00951A3B"/>
    <w:rsid w:val="00952362"/>
    <w:rsid w:val="00952B83"/>
    <w:rsid w:val="0095361E"/>
    <w:rsid w:val="00953994"/>
    <w:rsid w:val="00953A3F"/>
    <w:rsid w:val="00954718"/>
    <w:rsid w:val="0095479F"/>
    <w:rsid w:val="009553D3"/>
    <w:rsid w:val="00960676"/>
    <w:rsid w:val="00960A00"/>
    <w:rsid w:val="00960DDD"/>
    <w:rsid w:val="00961457"/>
    <w:rsid w:val="00961522"/>
    <w:rsid w:val="00963BDB"/>
    <w:rsid w:val="00963FA6"/>
    <w:rsid w:val="0096550C"/>
    <w:rsid w:val="00965847"/>
    <w:rsid w:val="00965B4F"/>
    <w:rsid w:val="00971223"/>
    <w:rsid w:val="009721DB"/>
    <w:rsid w:val="00972862"/>
    <w:rsid w:val="0097289B"/>
    <w:rsid w:val="00972DD2"/>
    <w:rsid w:val="009733CB"/>
    <w:rsid w:val="00974075"/>
    <w:rsid w:val="00975B8C"/>
    <w:rsid w:val="00975C17"/>
    <w:rsid w:val="00975E0C"/>
    <w:rsid w:val="00976C4F"/>
    <w:rsid w:val="00977511"/>
    <w:rsid w:val="009775B8"/>
    <w:rsid w:val="00977B1B"/>
    <w:rsid w:val="00977BD7"/>
    <w:rsid w:val="009804E3"/>
    <w:rsid w:val="00980527"/>
    <w:rsid w:val="00980802"/>
    <w:rsid w:val="00981E0C"/>
    <w:rsid w:val="00981E48"/>
    <w:rsid w:val="00982129"/>
    <w:rsid w:val="009841E7"/>
    <w:rsid w:val="00984ED2"/>
    <w:rsid w:val="00985C7F"/>
    <w:rsid w:val="00986796"/>
    <w:rsid w:val="009869AF"/>
    <w:rsid w:val="00987365"/>
    <w:rsid w:val="00987B0E"/>
    <w:rsid w:val="00987E28"/>
    <w:rsid w:val="0099008C"/>
    <w:rsid w:val="009916E2"/>
    <w:rsid w:val="009921D8"/>
    <w:rsid w:val="00992B10"/>
    <w:rsid w:val="009935F9"/>
    <w:rsid w:val="009948DA"/>
    <w:rsid w:val="00995537"/>
    <w:rsid w:val="00995910"/>
    <w:rsid w:val="00995E11"/>
    <w:rsid w:val="00997288"/>
    <w:rsid w:val="009A0DBB"/>
    <w:rsid w:val="009A1C79"/>
    <w:rsid w:val="009A22B5"/>
    <w:rsid w:val="009A2849"/>
    <w:rsid w:val="009A50FB"/>
    <w:rsid w:val="009A700B"/>
    <w:rsid w:val="009A731C"/>
    <w:rsid w:val="009B070F"/>
    <w:rsid w:val="009B2126"/>
    <w:rsid w:val="009B25FD"/>
    <w:rsid w:val="009B30D6"/>
    <w:rsid w:val="009B32F6"/>
    <w:rsid w:val="009B3E76"/>
    <w:rsid w:val="009B4C2D"/>
    <w:rsid w:val="009B4C51"/>
    <w:rsid w:val="009B4DE2"/>
    <w:rsid w:val="009B7208"/>
    <w:rsid w:val="009B7324"/>
    <w:rsid w:val="009C1873"/>
    <w:rsid w:val="009C1DBE"/>
    <w:rsid w:val="009C2348"/>
    <w:rsid w:val="009C2C49"/>
    <w:rsid w:val="009C3CF0"/>
    <w:rsid w:val="009C3E60"/>
    <w:rsid w:val="009C4600"/>
    <w:rsid w:val="009C5359"/>
    <w:rsid w:val="009C56F4"/>
    <w:rsid w:val="009C593A"/>
    <w:rsid w:val="009C60EC"/>
    <w:rsid w:val="009C6333"/>
    <w:rsid w:val="009C7DEA"/>
    <w:rsid w:val="009D02D2"/>
    <w:rsid w:val="009D3D8B"/>
    <w:rsid w:val="009D50A0"/>
    <w:rsid w:val="009D50AE"/>
    <w:rsid w:val="009D56A3"/>
    <w:rsid w:val="009D70F5"/>
    <w:rsid w:val="009E0893"/>
    <w:rsid w:val="009E1142"/>
    <w:rsid w:val="009E27E4"/>
    <w:rsid w:val="009E313E"/>
    <w:rsid w:val="009E3BD5"/>
    <w:rsid w:val="009E3CC1"/>
    <w:rsid w:val="009E3DBD"/>
    <w:rsid w:val="009E510F"/>
    <w:rsid w:val="009E662D"/>
    <w:rsid w:val="009E6809"/>
    <w:rsid w:val="009E7180"/>
    <w:rsid w:val="009E7C50"/>
    <w:rsid w:val="009E7C76"/>
    <w:rsid w:val="009F04FC"/>
    <w:rsid w:val="009F2527"/>
    <w:rsid w:val="009F2A71"/>
    <w:rsid w:val="009F2C0F"/>
    <w:rsid w:val="009F2FD2"/>
    <w:rsid w:val="009F34BC"/>
    <w:rsid w:val="009F37AA"/>
    <w:rsid w:val="009F4300"/>
    <w:rsid w:val="009F5E2C"/>
    <w:rsid w:val="009F6ADD"/>
    <w:rsid w:val="00A00945"/>
    <w:rsid w:val="00A03A12"/>
    <w:rsid w:val="00A04DD2"/>
    <w:rsid w:val="00A06161"/>
    <w:rsid w:val="00A0662C"/>
    <w:rsid w:val="00A06A4F"/>
    <w:rsid w:val="00A07672"/>
    <w:rsid w:val="00A104B8"/>
    <w:rsid w:val="00A1123A"/>
    <w:rsid w:val="00A11CC6"/>
    <w:rsid w:val="00A12DEA"/>
    <w:rsid w:val="00A13C87"/>
    <w:rsid w:val="00A15427"/>
    <w:rsid w:val="00A15BA4"/>
    <w:rsid w:val="00A16C7F"/>
    <w:rsid w:val="00A2113D"/>
    <w:rsid w:val="00A23ECA"/>
    <w:rsid w:val="00A25200"/>
    <w:rsid w:val="00A253C7"/>
    <w:rsid w:val="00A26804"/>
    <w:rsid w:val="00A26B89"/>
    <w:rsid w:val="00A26DB8"/>
    <w:rsid w:val="00A301F7"/>
    <w:rsid w:val="00A32785"/>
    <w:rsid w:val="00A33DD7"/>
    <w:rsid w:val="00A34B4B"/>
    <w:rsid w:val="00A367F2"/>
    <w:rsid w:val="00A401C6"/>
    <w:rsid w:val="00A41515"/>
    <w:rsid w:val="00A42891"/>
    <w:rsid w:val="00A4351B"/>
    <w:rsid w:val="00A43E02"/>
    <w:rsid w:val="00A45298"/>
    <w:rsid w:val="00A45816"/>
    <w:rsid w:val="00A47B28"/>
    <w:rsid w:val="00A47C19"/>
    <w:rsid w:val="00A5138F"/>
    <w:rsid w:val="00A52E05"/>
    <w:rsid w:val="00A5384A"/>
    <w:rsid w:val="00A54595"/>
    <w:rsid w:val="00A56262"/>
    <w:rsid w:val="00A5795A"/>
    <w:rsid w:val="00A60259"/>
    <w:rsid w:val="00A60C8C"/>
    <w:rsid w:val="00A61517"/>
    <w:rsid w:val="00A61CAF"/>
    <w:rsid w:val="00A6319E"/>
    <w:rsid w:val="00A65731"/>
    <w:rsid w:val="00A6576D"/>
    <w:rsid w:val="00A659A7"/>
    <w:rsid w:val="00A65BF3"/>
    <w:rsid w:val="00A662DC"/>
    <w:rsid w:val="00A66F26"/>
    <w:rsid w:val="00A67000"/>
    <w:rsid w:val="00A67D29"/>
    <w:rsid w:val="00A70A77"/>
    <w:rsid w:val="00A71882"/>
    <w:rsid w:val="00A71902"/>
    <w:rsid w:val="00A71988"/>
    <w:rsid w:val="00A743DB"/>
    <w:rsid w:val="00A760B6"/>
    <w:rsid w:val="00A7611D"/>
    <w:rsid w:val="00A776DD"/>
    <w:rsid w:val="00A80017"/>
    <w:rsid w:val="00A80549"/>
    <w:rsid w:val="00A80A1C"/>
    <w:rsid w:val="00A8289D"/>
    <w:rsid w:val="00A828B8"/>
    <w:rsid w:val="00A83AAC"/>
    <w:rsid w:val="00A84A61"/>
    <w:rsid w:val="00A85965"/>
    <w:rsid w:val="00A86255"/>
    <w:rsid w:val="00A86B12"/>
    <w:rsid w:val="00A87EC3"/>
    <w:rsid w:val="00A91129"/>
    <w:rsid w:val="00A9195B"/>
    <w:rsid w:val="00A935F7"/>
    <w:rsid w:val="00A93EE6"/>
    <w:rsid w:val="00A93F7C"/>
    <w:rsid w:val="00A94A0B"/>
    <w:rsid w:val="00A95305"/>
    <w:rsid w:val="00A95382"/>
    <w:rsid w:val="00A9699F"/>
    <w:rsid w:val="00AA01F5"/>
    <w:rsid w:val="00AA176A"/>
    <w:rsid w:val="00AA2124"/>
    <w:rsid w:val="00AA22C9"/>
    <w:rsid w:val="00AA2890"/>
    <w:rsid w:val="00AA2C0F"/>
    <w:rsid w:val="00AA52CB"/>
    <w:rsid w:val="00AA6322"/>
    <w:rsid w:val="00AB0C38"/>
    <w:rsid w:val="00AB0D16"/>
    <w:rsid w:val="00AB1E2C"/>
    <w:rsid w:val="00AB4F16"/>
    <w:rsid w:val="00AB581F"/>
    <w:rsid w:val="00AB7B46"/>
    <w:rsid w:val="00AC00F1"/>
    <w:rsid w:val="00AC156D"/>
    <w:rsid w:val="00AC1FB6"/>
    <w:rsid w:val="00AC367E"/>
    <w:rsid w:val="00AC454A"/>
    <w:rsid w:val="00AC54EC"/>
    <w:rsid w:val="00AC5DD0"/>
    <w:rsid w:val="00AC6CD6"/>
    <w:rsid w:val="00AC70BE"/>
    <w:rsid w:val="00AC7B55"/>
    <w:rsid w:val="00AD0A0A"/>
    <w:rsid w:val="00AD0FA8"/>
    <w:rsid w:val="00AD152A"/>
    <w:rsid w:val="00AD2B61"/>
    <w:rsid w:val="00AD2DE0"/>
    <w:rsid w:val="00AD354B"/>
    <w:rsid w:val="00AD44D9"/>
    <w:rsid w:val="00AD4D1A"/>
    <w:rsid w:val="00AD73AE"/>
    <w:rsid w:val="00AE2970"/>
    <w:rsid w:val="00AE2A17"/>
    <w:rsid w:val="00AE3519"/>
    <w:rsid w:val="00AE3995"/>
    <w:rsid w:val="00AE42BA"/>
    <w:rsid w:val="00AE47B5"/>
    <w:rsid w:val="00AE64F2"/>
    <w:rsid w:val="00AE672F"/>
    <w:rsid w:val="00AE705B"/>
    <w:rsid w:val="00AE78A9"/>
    <w:rsid w:val="00AE7DB2"/>
    <w:rsid w:val="00AE7E8E"/>
    <w:rsid w:val="00AF141F"/>
    <w:rsid w:val="00AF2996"/>
    <w:rsid w:val="00AF2DD8"/>
    <w:rsid w:val="00AF2E01"/>
    <w:rsid w:val="00AF3B59"/>
    <w:rsid w:val="00AF3EE2"/>
    <w:rsid w:val="00AF60D6"/>
    <w:rsid w:val="00AF63E7"/>
    <w:rsid w:val="00AF7131"/>
    <w:rsid w:val="00AF7DD8"/>
    <w:rsid w:val="00B00AA3"/>
    <w:rsid w:val="00B014A6"/>
    <w:rsid w:val="00B017F7"/>
    <w:rsid w:val="00B027AB"/>
    <w:rsid w:val="00B029E2"/>
    <w:rsid w:val="00B04B98"/>
    <w:rsid w:val="00B04C52"/>
    <w:rsid w:val="00B05896"/>
    <w:rsid w:val="00B06012"/>
    <w:rsid w:val="00B102E2"/>
    <w:rsid w:val="00B107E2"/>
    <w:rsid w:val="00B11F36"/>
    <w:rsid w:val="00B12A5E"/>
    <w:rsid w:val="00B12B08"/>
    <w:rsid w:val="00B12EBC"/>
    <w:rsid w:val="00B149C0"/>
    <w:rsid w:val="00B14CFC"/>
    <w:rsid w:val="00B14EE3"/>
    <w:rsid w:val="00B151B5"/>
    <w:rsid w:val="00B1522F"/>
    <w:rsid w:val="00B15B1F"/>
    <w:rsid w:val="00B16AF3"/>
    <w:rsid w:val="00B17686"/>
    <w:rsid w:val="00B2034A"/>
    <w:rsid w:val="00B20AE1"/>
    <w:rsid w:val="00B20C09"/>
    <w:rsid w:val="00B21E25"/>
    <w:rsid w:val="00B22E7D"/>
    <w:rsid w:val="00B23336"/>
    <w:rsid w:val="00B2353B"/>
    <w:rsid w:val="00B23ACE"/>
    <w:rsid w:val="00B26098"/>
    <w:rsid w:val="00B2779C"/>
    <w:rsid w:val="00B27919"/>
    <w:rsid w:val="00B301A4"/>
    <w:rsid w:val="00B3046E"/>
    <w:rsid w:val="00B30A0D"/>
    <w:rsid w:val="00B30ED2"/>
    <w:rsid w:val="00B3120E"/>
    <w:rsid w:val="00B31FC0"/>
    <w:rsid w:val="00B326EA"/>
    <w:rsid w:val="00B33ABA"/>
    <w:rsid w:val="00B33BE9"/>
    <w:rsid w:val="00B35C68"/>
    <w:rsid w:val="00B369D8"/>
    <w:rsid w:val="00B37B12"/>
    <w:rsid w:val="00B405AA"/>
    <w:rsid w:val="00B406CC"/>
    <w:rsid w:val="00B422BF"/>
    <w:rsid w:val="00B43EB8"/>
    <w:rsid w:val="00B442D3"/>
    <w:rsid w:val="00B4668C"/>
    <w:rsid w:val="00B46833"/>
    <w:rsid w:val="00B477C5"/>
    <w:rsid w:val="00B50799"/>
    <w:rsid w:val="00B51440"/>
    <w:rsid w:val="00B51B1B"/>
    <w:rsid w:val="00B51EE8"/>
    <w:rsid w:val="00B525C7"/>
    <w:rsid w:val="00B52931"/>
    <w:rsid w:val="00B52F5C"/>
    <w:rsid w:val="00B557E3"/>
    <w:rsid w:val="00B55FFA"/>
    <w:rsid w:val="00B56C99"/>
    <w:rsid w:val="00B57045"/>
    <w:rsid w:val="00B572ED"/>
    <w:rsid w:val="00B57A8E"/>
    <w:rsid w:val="00B57EAD"/>
    <w:rsid w:val="00B600CC"/>
    <w:rsid w:val="00B623F1"/>
    <w:rsid w:val="00B6432C"/>
    <w:rsid w:val="00B65696"/>
    <w:rsid w:val="00B65F35"/>
    <w:rsid w:val="00B669C1"/>
    <w:rsid w:val="00B66AB3"/>
    <w:rsid w:val="00B67C94"/>
    <w:rsid w:val="00B70028"/>
    <w:rsid w:val="00B712AF"/>
    <w:rsid w:val="00B714E2"/>
    <w:rsid w:val="00B72AC1"/>
    <w:rsid w:val="00B72CAA"/>
    <w:rsid w:val="00B73B6C"/>
    <w:rsid w:val="00B7486A"/>
    <w:rsid w:val="00B758B9"/>
    <w:rsid w:val="00B767AE"/>
    <w:rsid w:val="00B76F0C"/>
    <w:rsid w:val="00B81680"/>
    <w:rsid w:val="00B81BC2"/>
    <w:rsid w:val="00B82233"/>
    <w:rsid w:val="00B828D1"/>
    <w:rsid w:val="00B82C87"/>
    <w:rsid w:val="00B84A56"/>
    <w:rsid w:val="00B8589B"/>
    <w:rsid w:val="00B859AD"/>
    <w:rsid w:val="00B87F3F"/>
    <w:rsid w:val="00B90410"/>
    <w:rsid w:val="00B90455"/>
    <w:rsid w:val="00B90A58"/>
    <w:rsid w:val="00B912F0"/>
    <w:rsid w:val="00B92AA4"/>
    <w:rsid w:val="00B92CF8"/>
    <w:rsid w:val="00B93132"/>
    <w:rsid w:val="00B963E8"/>
    <w:rsid w:val="00B9689E"/>
    <w:rsid w:val="00B97CDF"/>
    <w:rsid w:val="00BA14D2"/>
    <w:rsid w:val="00BA2C40"/>
    <w:rsid w:val="00BA3C3E"/>
    <w:rsid w:val="00BA42B8"/>
    <w:rsid w:val="00BA4747"/>
    <w:rsid w:val="00BA53A6"/>
    <w:rsid w:val="00BA67A6"/>
    <w:rsid w:val="00BA6A13"/>
    <w:rsid w:val="00BA7B22"/>
    <w:rsid w:val="00BB00C7"/>
    <w:rsid w:val="00BB136E"/>
    <w:rsid w:val="00BB170F"/>
    <w:rsid w:val="00BB239E"/>
    <w:rsid w:val="00BB4E99"/>
    <w:rsid w:val="00BB50C6"/>
    <w:rsid w:val="00BB610A"/>
    <w:rsid w:val="00BB7922"/>
    <w:rsid w:val="00BC0C17"/>
    <w:rsid w:val="00BC0E59"/>
    <w:rsid w:val="00BC1902"/>
    <w:rsid w:val="00BC2192"/>
    <w:rsid w:val="00BC280A"/>
    <w:rsid w:val="00BC3E5F"/>
    <w:rsid w:val="00BC4B1C"/>
    <w:rsid w:val="00BC5530"/>
    <w:rsid w:val="00BC59AD"/>
    <w:rsid w:val="00BC5FD3"/>
    <w:rsid w:val="00BC6B83"/>
    <w:rsid w:val="00BD0240"/>
    <w:rsid w:val="00BD06D2"/>
    <w:rsid w:val="00BD0814"/>
    <w:rsid w:val="00BD0CA5"/>
    <w:rsid w:val="00BD3D60"/>
    <w:rsid w:val="00BD40F0"/>
    <w:rsid w:val="00BD4328"/>
    <w:rsid w:val="00BD4899"/>
    <w:rsid w:val="00BD54FE"/>
    <w:rsid w:val="00BD6493"/>
    <w:rsid w:val="00BD6FDF"/>
    <w:rsid w:val="00BD72AC"/>
    <w:rsid w:val="00BE016F"/>
    <w:rsid w:val="00BE1BE8"/>
    <w:rsid w:val="00BE1E62"/>
    <w:rsid w:val="00BE2319"/>
    <w:rsid w:val="00BE2529"/>
    <w:rsid w:val="00BE2E09"/>
    <w:rsid w:val="00BE38A1"/>
    <w:rsid w:val="00BE3FB7"/>
    <w:rsid w:val="00BE6F9C"/>
    <w:rsid w:val="00BE7567"/>
    <w:rsid w:val="00BE7C7D"/>
    <w:rsid w:val="00BF0596"/>
    <w:rsid w:val="00BF0791"/>
    <w:rsid w:val="00BF0B04"/>
    <w:rsid w:val="00BF108E"/>
    <w:rsid w:val="00BF2089"/>
    <w:rsid w:val="00BF5431"/>
    <w:rsid w:val="00BF66CD"/>
    <w:rsid w:val="00BF6BC0"/>
    <w:rsid w:val="00C000BE"/>
    <w:rsid w:val="00C01D50"/>
    <w:rsid w:val="00C02799"/>
    <w:rsid w:val="00C02897"/>
    <w:rsid w:val="00C05348"/>
    <w:rsid w:val="00C055CF"/>
    <w:rsid w:val="00C05DD1"/>
    <w:rsid w:val="00C07763"/>
    <w:rsid w:val="00C07B94"/>
    <w:rsid w:val="00C07CE7"/>
    <w:rsid w:val="00C10009"/>
    <w:rsid w:val="00C102AB"/>
    <w:rsid w:val="00C124FA"/>
    <w:rsid w:val="00C12B10"/>
    <w:rsid w:val="00C145E4"/>
    <w:rsid w:val="00C14B45"/>
    <w:rsid w:val="00C15126"/>
    <w:rsid w:val="00C1538D"/>
    <w:rsid w:val="00C1583E"/>
    <w:rsid w:val="00C16091"/>
    <w:rsid w:val="00C16762"/>
    <w:rsid w:val="00C16DAB"/>
    <w:rsid w:val="00C175FF"/>
    <w:rsid w:val="00C205DA"/>
    <w:rsid w:val="00C20712"/>
    <w:rsid w:val="00C20B5A"/>
    <w:rsid w:val="00C21D18"/>
    <w:rsid w:val="00C22D3A"/>
    <w:rsid w:val="00C2390C"/>
    <w:rsid w:val="00C24E11"/>
    <w:rsid w:val="00C313A6"/>
    <w:rsid w:val="00C31B3D"/>
    <w:rsid w:val="00C32996"/>
    <w:rsid w:val="00C33EDE"/>
    <w:rsid w:val="00C34A61"/>
    <w:rsid w:val="00C355C7"/>
    <w:rsid w:val="00C360FB"/>
    <w:rsid w:val="00C372C4"/>
    <w:rsid w:val="00C37ADE"/>
    <w:rsid w:val="00C412D9"/>
    <w:rsid w:val="00C415E2"/>
    <w:rsid w:val="00C43891"/>
    <w:rsid w:val="00C44C5A"/>
    <w:rsid w:val="00C47DA0"/>
    <w:rsid w:val="00C521EF"/>
    <w:rsid w:val="00C52435"/>
    <w:rsid w:val="00C52DB1"/>
    <w:rsid w:val="00C531CF"/>
    <w:rsid w:val="00C5407D"/>
    <w:rsid w:val="00C54679"/>
    <w:rsid w:val="00C54A00"/>
    <w:rsid w:val="00C54E4B"/>
    <w:rsid w:val="00C5561D"/>
    <w:rsid w:val="00C55E0A"/>
    <w:rsid w:val="00C560D5"/>
    <w:rsid w:val="00C56EAC"/>
    <w:rsid w:val="00C577DD"/>
    <w:rsid w:val="00C60FD4"/>
    <w:rsid w:val="00C6115F"/>
    <w:rsid w:val="00C61552"/>
    <w:rsid w:val="00C6216C"/>
    <w:rsid w:val="00C62E4C"/>
    <w:rsid w:val="00C63EFF"/>
    <w:rsid w:val="00C64B08"/>
    <w:rsid w:val="00C64D27"/>
    <w:rsid w:val="00C65726"/>
    <w:rsid w:val="00C660D9"/>
    <w:rsid w:val="00C6677D"/>
    <w:rsid w:val="00C677D2"/>
    <w:rsid w:val="00C708A9"/>
    <w:rsid w:val="00C718BE"/>
    <w:rsid w:val="00C71EEB"/>
    <w:rsid w:val="00C732B4"/>
    <w:rsid w:val="00C7592D"/>
    <w:rsid w:val="00C80E26"/>
    <w:rsid w:val="00C8206D"/>
    <w:rsid w:val="00C8387D"/>
    <w:rsid w:val="00C83F6E"/>
    <w:rsid w:val="00C86849"/>
    <w:rsid w:val="00C87276"/>
    <w:rsid w:val="00C8744F"/>
    <w:rsid w:val="00C916E2"/>
    <w:rsid w:val="00C91CF7"/>
    <w:rsid w:val="00C92458"/>
    <w:rsid w:val="00C94B17"/>
    <w:rsid w:val="00C94B98"/>
    <w:rsid w:val="00C9543E"/>
    <w:rsid w:val="00C9572C"/>
    <w:rsid w:val="00C96C60"/>
    <w:rsid w:val="00C971A2"/>
    <w:rsid w:val="00CA1A11"/>
    <w:rsid w:val="00CA3B2C"/>
    <w:rsid w:val="00CA3DEB"/>
    <w:rsid w:val="00CA4E66"/>
    <w:rsid w:val="00CA4F9B"/>
    <w:rsid w:val="00CA7F36"/>
    <w:rsid w:val="00CB0CE6"/>
    <w:rsid w:val="00CB106E"/>
    <w:rsid w:val="00CB1759"/>
    <w:rsid w:val="00CB2325"/>
    <w:rsid w:val="00CB3D2A"/>
    <w:rsid w:val="00CB3ED1"/>
    <w:rsid w:val="00CB409E"/>
    <w:rsid w:val="00CB463E"/>
    <w:rsid w:val="00CB58C5"/>
    <w:rsid w:val="00CB638C"/>
    <w:rsid w:val="00CB6684"/>
    <w:rsid w:val="00CB6FB8"/>
    <w:rsid w:val="00CB70CC"/>
    <w:rsid w:val="00CB730F"/>
    <w:rsid w:val="00CC0090"/>
    <w:rsid w:val="00CC0A1A"/>
    <w:rsid w:val="00CC1131"/>
    <w:rsid w:val="00CC235D"/>
    <w:rsid w:val="00CC2CDE"/>
    <w:rsid w:val="00CC2CED"/>
    <w:rsid w:val="00CC3849"/>
    <w:rsid w:val="00CC514B"/>
    <w:rsid w:val="00CC5D34"/>
    <w:rsid w:val="00CC6639"/>
    <w:rsid w:val="00CC6D22"/>
    <w:rsid w:val="00CD080B"/>
    <w:rsid w:val="00CD08E7"/>
    <w:rsid w:val="00CD0E42"/>
    <w:rsid w:val="00CD140B"/>
    <w:rsid w:val="00CD1439"/>
    <w:rsid w:val="00CD1C59"/>
    <w:rsid w:val="00CD1CB4"/>
    <w:rsid w:val="00CD3CAA"/>
    <w:rsid w:val="00CD3D2F"/>
    <w:rsid w:val="00CD42A0"/>
    <w:rsid w:val="00CD4771"/>
    <w:rsid w:val="00CD52CB"/>
    <w:rsid w:val="00CD5B4A"/>
    <w:rsid w:val="00CD5E06"/>
    <w:rsid w:val="00CD5F23"/>
    <w:rsid w:val="00CD6853"/>
    <w:rsid w:val="00CD69A2"/>
    <w:rsid w:val="00CD6BB4"/>
    <w:rsid w:val="00CD7E36"/>
    <w:rsid w:val="00CE0D6D"/>
    <w:rsid w:val="00CE1021"/>
    <w:rsid w:val="00CE17E5"/>
    <w:rsid w:val="00CE47BB"/>
    <w:rsid w:val="00CE496A"/>
    <w:rsid w:val="00CE6024"/>
    <w:rsid w:val="00CE6429"/>
    <w:rsid w:val="00CE71C7"/>
    <w:rsid w:val="00CE71F1"/>
    <w:rsid w:val="00CE7937"/>
    <w:rsid w:val="00CF02E2"/>
    <w:rsid w:val="00CF1365"/>
    <w:rsid w:val="00CF190C"/>
    <w:rsid w:val="00CF284D"/>
    <w:rsid w:val="00CF2BA7"/>
    <w:rsid w:val="00CF3FDD"/>
    <w:rsid w:val="00CF4682"/>
    <w:rsid w:val="00CF53FE"/>
    <w:rsid w:val="00CF59BC"/>
    <w:rsid w:val="00CF5F6B"/>
    <w:rsid w:val="00CF5F8B"/>
    <w:rsid w:val="00D00070"/>
    <w:rsid w:val="00D00BB7"/>
    <w:rsid w:val="00D02C66"/>
    <w:rsid w:val="00D04944"/>
    <w:rsid w:val="00D04C04"/>
    <w:rsid w:val="00D06CE9"/>
    <w:rsid w:val="00D077D7"/>
    <w:rsid w:val="00D10D41"/>
    <w:rsid w:val="00D1106D"/>
    <w:rsid w:val="00D11799"/>
    <w:rsid w:val="00D12CF3"/>
    <w:rsid w:val="00D14189"/>
    <w:rsid w:val="00D14268"/>
    <w:rsid w:val="00D142D7"/>
    <w:rsid w:val="00D15FD6"/>
    <w:rsid w:val="00D16402"/>
    <w:rsid w:val="00D176C3"/>
    <w:rsid w:val="00D20014"/>
    <w:rsid w:val="00D20EBE"/>
    <w:rsid w:val="00D21EFB"/>
    <w:rsid w:val="00D2203B"/>
    <w:rsid w:val="00D22DB2"/>
    <w:rsid w:val="00D246E7"/>
    <w:rsid w:val="00D24EF5"/>
    <w:rsid w:val="00D26290"/>
    <w:rsid w:val="00D26435"/>
    <w:rsid w:val="00D268D0"/>
    <w:rsid w:val="00D26D37"/>
    <w:rsid w:val="00D26EB7"/>
    <w:rsid w:val="00D27882"/>
    <w:rsid w:val="00D30D96"/>
    <w:rsid w:val="00D31207"/>
    <w:rsid w:val="00D33C74"/>
    <w:rsid w:val="00D349F2"/>
    <w:rsid w:val="00D35C9D"/>
    <w:rsid w:val="00D36371"/>
    <w:rsid w:val="00D374E0"/>
    <w:rsid w:val="00D43D43"/>
    <w:rsid w:val="00D44D85"/>
    <w:rsid w:val="00D46258"/>
    <w:rsid w:val="00D47DED"/>
    <w:rsid w:val="00D50CF9"/>
    <w:rsid w:val="00D51D6D"/>
    <w:rsid w:val="00D52505"/>
    <w:rsid w:val="00D52C09"/>
    <w:rsid w:val="00D531BD"/>
    <w:rsid w:val="00D54320"/>
    <w:rsid w:val="00D5453D"/>
    <w:rsid w:val="00D546CD"/>
    <w:rsid w:val="00D55BF9"/>
    <w:rsid w:val="00D5610D"/>
    <w:rsid w:val="00D567F6"/>
    <w:rsid w:val="00D56FBF"/>
    <w:rsid w:val="00D570B7"/>
    <w:rsid w:val="00D57588"/>
    <w:rsid w:val="00D60FF5"/>
    <w:rsid w:val="00D637EE"/>
    <w:rsid w:val="00D639EB"/>
    <w:rsid w:val="00D64487"/>
    <w:rsid w:val="00D6474C"/>
    <w:rsid w:val="00D6487C"/>
    <w:rsid w:val="00D65181"/>
    <w:rsid w:val="00D65437"/>
    <w:rsid w:val="00D6650D"/>
    <w:rsid w:val="00D6692E"/>
    <w:rsid w:val="00D67131"/>
    <w:rsid w:val="00D72E1B"/>
    <w:rsid w:val="00D7662D"/>
    <w:rsid w:val="00D77919"/>
    <w:rsid w:val="00D81686"/>
    <w:rsid w:val="00D82370"/>
    <w:rsid w:val="00D82A60"/>
    <w:rsid w:val="00D82BFA"/>
    <w:rsid w:val="00D82F30"/>
    <w:rsid w:val="00D8507C"/>
    <w:rsid w:val="00D8599D"/>
    <w:rsid w:val="00D90800"/>
    <w:rsid w:val="00D9135E"/>
    <w:rsid w:val="00D92164"/>
    <w:rsid w:val="00D921B0"/>
    <w:rsid w:val="00D932AF"/>
    <w:rsid w:val="00D93E6D"/>
    <w:rsid w:val="00D93F4C"/>
    <w:rsid w:val="00D9410D"/>
    <w:rsid w:val="00D945F1"/>
    <w:rsid w:val="00D95AEB"/>
    <w:rsid w:val="00D97714"/>
    <w:rsid w:val="00D97765"/>
    <w:rsid w:val="00D97DE8"/>
    <w:rsid w:val="00DA042E"/>
    <w:rsid w:val="00DA1451"/>
    <w:rsid w:val="00DA225F"/>
    <w:rsid w:val="00DA2BB7"/>
    <w:rsid w:val="00DA332D"/>
    <w:rsid w:val="00DA335F"/>
    <w:rsid w:val="00DA62E8"/>
    <w:rsid w:val="00DA6A4D"/>
    <w:rsid w:val="00DA6D6A"/>
    <w:rsid w:val="00DA71EF"/>
    <w:rsid w:val="00DB0515"/>
    <w:rsid w:val="00DB1597"/>
    <w:rsid w:val="00DB1F61"/>
    <w:rsid w:val="00DB2425"/>
    <w:rsid w:val="00DB3B12"/>
    <w:rsid w:val="00DB4A16"/>
    <w:rsid w:val="00DB5101"/>
    <w:rsid w:val="00DB53DD"/>
    <w:rsid w:val="00DB619C"/>
    <w:rsid w:val="00DB624D"/>
    <w:rsid w:val="00DB7DB0"/>
    <w:rsid w:val="00DC39CF"/>
    <w:rsid w:val="00DC4BF8"/>
    <w:rsid w:val="00DC7834"/>
    <w:rsid w:val="00DC7CDC"/>
    <w:rsid w:val="00DD1011"/>
    <w:rsid w:val="00DD1B87"/>
    <w:rsid w:val="00DD23F3"/>
    <w:rsid w:val="00DD4E65"/>
    <w:rsid w:val="00DD5E80"/>
    <w:rsid w:val="00DD62E8"/>
    <w:rsid w:val="00DD6379"/>
    <w:rsid w:val="00DD6554"/>
    <w:rsid w:val="00DD6E58"/>
    <w:rsid w:val="00DD7089"/>
    <w:rsid w:val="00DD7B97"/>
    <w:rsid w:val="00DE020B"/>
    <w:rsid w:val="00DE0509"/>
    <w:rsid w:val="00DE2B72"/>
    <w:rsid w:val="00DE321C"/>
    <w:rsid w:val="00DE3462"/>
    <w:rsid w:val="00DE3D59"/>
    <w:rsid w:val="00DE583C"/>
    <w:rsid w:val="00DE5CB7"/>
    <w:rsid w:val="00DE5F1D"/>
    <w:rsid w:val="00DE5FD2"/>
    <w:rsid w:val="00DE6622"/>
    <w:rsid w:val="00DE6A8E"/>
    <w:rsid w:val="00DF0776"/>
    <w:rsid w:val="00DF445F"/>
    <w:rsid w:val="00DF5031"/>
    <w:rsid w:val="00DF6748"/>
    <w:rsid w:val="00DF71BA"/>
    <w:rsid w:val="00DF7289"/>
    <w:rsid w:val="00DF749F"/>
    <w:rsid w:val="00E0097C"/>
    <w:rsid w:val="00E02E6C"/>
    <w:rsid w:val="00E03EFA"/>
    <w:rsid w:val="00E04B7B"/>
    <w:rsid w:val="00E06893"/>
    <w:rsid w:val="00E06B4E"/>
    <w:rsid w:val="00E072AE"/>
    <w:rsid w:val="00E1045B"/>
    <w:rsid w:val="00E10487"/>
    <w:rsid w:val="00E1153A"/>
    <w:rsid w:val="00E138EA"/>
    <w:rsid w:val="00E139ED"/>
    <w:rsid w:val="00E14D43"/>
    <w:rsid w:val="00E157C1"/>
    <w:rsid w:val="00E16D6A"/>
    <w:rsid w:val="00E179FF"/>
    <w:rsid w:val="00E17D56"/>
    <w:rsid w:val="00E2108C"/>
    <w:rsid w:val="00E21B3C"/>
    <w:rsid w:val="00E21BC4"/>
    <w:rsid w:val="00E2260E"/>
    <w:rsid w:val="00E2419A"/>
    <w:rsid w:val="00E24EF3"/>
    <w:rsid w:val="00E264B9"/>
    <w:rsid w:val="00E2756F"/>
    <w:rsid w:val="00E27707"/>
    <w:rsid w:val="00E315A8"/>
    <w:rsid w:val="00E31CE8"/>
    <w:rsid w:val="00E32F91"/>
    <w:rsid w:val="00E33E37"/>
    <w:rsid w:val="00E34441"/>
    <w:rsid w:val="00E34DEC"/>
    <w:rsid w:val="00E3531C"/>
    <w:rsid w:val="00E374D8"/>
    <w:rsid w:val="00E378CC"/>
    <w:rsid w:val="00E37A48"/>
    <w:rsid w:val="00E40CD1"/>
    <w:rsid w:val="00E4120D"/>
    <w:rsid w:val="00E430D7"/>
    <w:rsid w:val="00E430DB"/>
    <w:rsid w:val="00E44BAA"/>
    <w:rsid w:val="00E44D72"/>
    <w:rsid w:val="00E44FD6"/>
    <w:rsid w:val="00E45818"/>
    <w:rsid w:val="00E4721D"/>
    <w:rsid w:val="00E475E7"/>
    <w:rsid w:val="00E47732"/>
    <w:rsid w:val="00E50AC3"/>
    <w:rsid w:val="00E510D1"/>
    <w:rsid w:val="00E5161D"/>
    <w:rsid w:val="00E51869"/>
    <w:rsid w:val="00E5261E"/>
    <w:rsid w:val="00E5265C"/>
    <w:rsid w:val="00E54235"/>
    <w:rsid w:val="00E553A4"/>
    <w:rsid w:val="00E562CC"/>
    <w:rsid w:val="00E56382"/>
    <w:rsid w:val="00E564A0"/>
    <w:rsid w:val="00E57B4F"/>
    <w:rsid w:val="00E57DB9"/>
    <w:rsid w:val="00E60802"/>
    <w:rsid w:val="00E608F6"/>
    <w:rsid w:val="00E60A8C"/>
    <w:rsid w:val="00E6124C"/>
    <w:rsid w:val="00E615FE"/>
    <w:rsid w:val="00E626B8"/>
    <w:rsid w:val="00E653AB"/>
    <w:rsid w:val="00E65671"/>
    <w:rsid w:val="00E66459"/>
    <w:rsid w:val="00E66986"/>
    <w:rsid w:val="00E66FD1"/>
    <w:rsid w:val="00E670AF"/>
    <w:rsid w:val="00E67180"/>
    <w:rsid w:val="00E67384"/>
    <w:rsid w:val="00E67DFB"/>
    <w:rsid w:val="00E7056E"/>
    <w:rsid w:val="00E70CEA"/>
    <w:rsid w:val="00E71E3F"/>
    <w:rsid w:val="00E725C9"/>
    <w:rsid w:val="00E7359E"/>
    <w:rsid w:val="00E73E1C"/>
    <w:rsid w:val="00E744BE"/>
    <w:rsid w:val="00E74AB1"/>
    <w:rsid w:val="00E752E2"/>
    <w:rsid w:val="00E8028C"/>
    <w:rsid w:val="00E803D0"/>
    <w:rsid w:val="00E8074B"/>
    <w:rsid w:val="00E80E42"/>
    <w:rsid w:val="00E81805"/>
    <w:rsid w:val="00E82BD4"/>
    <w:rsid w:val="00E82C92"/>
    <w:rsid w:val="00E8370A"/>
    <w:rsid w:val="00E837B9"/>
    <w:rsid w:val="00E83844"/>
    <w:rsid w:val="00E84B5C"/>
    <w:rsid w:val="00E84CA8"/>
    <w:rsid w:val="00E855F6"/>
    <w:rsid w:val="00E85604"/>
    <w:rsid w:val="00E85BE9"/>
    <w:rsid w:val="00E85C9C"/>
    <w:rsid w:val="00E87848"/>
    <w:rsid w:val="00E91F72"/>
    <w:rsid w:val="00E92740"/>
    <w:rsid w:val="00E9398E"/>
    <w:rsid w:val="00E945BF"/>
    <w:rsid w:val="00E94B3D"/>
    <w:rsid w:val="00E95898"/>
    <w:rsid w:val="00E97298"/>
    <w:rsid w:val="00E97684"/>
    <w:rsid w:val="00E97F9C"/>
    <w:rsid w:val="00EA0DB8"/>
    <w:rsid w:val="00EA2CF1"/>
    <w:rsid w:val="00EA3D0A"/>
    <w:rsid w:val="00EA5EA1"/>
    <w:rsid w:val="00EA6C43"/>
    <w:rsid w:val="00EA7D38"/>
    <w:rsid w:val="00EB0959"/>
    <w:rsid w:val="00EB0B18"/>
    <w:rsid w:val="00EB1312"/>
    <w:rsid w:val="00EB47CF"/>
    <w:rsid w:val="00EB6168"/>
    <w:rsid w:val="00EC04EF"/>
    <w:rsid w:val="00EC108E"/>
    <w:rsid w:val="00EC1627"/>
    <w:rsid w:val="00EC1A31"/>
    <w:rsid w:val="00EC1DAE"/>
    <w:rsid w:val="00EC281A"/>
    <w:rsid w:val="00EC29EA"/>
    <w:rsid w:val="00EC4AF6"/>
    <w:rsid w:val="00EC68D4"/>
    <w:rsid w:val="00EC7257"/>
    <w:rsid w:val="00ED01AD"/>
    <w:rsid w:val="00ED07EE"/>
    <w:rsid w:val="00ED090A"/>
    <w:rsid w:val="00ED0A62"/>
    <w:rsid w:val="00ED22AD"/>
    <w:rsid w:val="00ED34F0"/>
    <w:rsid w:val="00ED380F"/>
    <w:rsid w:val="00ED54E4"/>
    <w:rsid w:val="00ED686E"/>
    <w:rsid w:val="00EE041B"/>
    <w:rsid w:val="00EE077F"/>
    <w:rsid w:val="00EE09A7"/>
    <w:rsid w:val="00EE1BE9"/>
    <w:rsid w:val="00EE20B5"/>
    <w:rsid w:val="00EE377B"/>
    <w:rsid w:val="00EE394F"/>
    <w:rsid w:val="00EE3D61"/>
    <w:rsid w:val="00EE3E5E"/>
    <w:rsid w:val="00EE3EC8"/>
    <w:rsid w:val="00EE4405"/>
    <w:rsid w:val="00EE453C"/>
    <w:rsid w:val="00EE4B71"/>
    <w:rsid w:val="00EE4F30"/>
    <w:rsid w:val="00EE505C"/>
    <w:rsid w:val="00EE5200"/>
    <w:rsid w:val="00EE5F29"/>
    <w:rsid w:val="00EF09C6"/>
    <w:rsid w:val="00EF105B"/>
    <w:rsid w:val="00EF1207"/>
    <w:rsid w:val="00EF1951"/>
    <w:rsid w:val="00EF2912"/>
    <w:rsid w:val="00EF340E"/>
    <w:rsid w:val="00EF5B6F"/>
    <w:rsid w:val="00EF6166"/>
    <w:rsid w:val="00F01731"/>
    <w:rsid w:val="00F037F5"/>
    <w:rsid w:val="00F03880"/>
    <w:rsid w:val="00F04D50"/>
    <w:rsid w:val="00F05D47"/>
    <w:rsid w:val="00F066EF"/>
    <w:rsid w:val="00F0713A"/>
    <w:rsid w:val="00F073E9"/>
    <w:rsid w:val="00F119C4"/>
    <w:rsid w:val="00F13E7D"/>
    <w:rsid w:val="00F21921"/>
    <w:rsid w:val="00F2256B"/>
    <w:rsid w:val="00F22CC5"/>
    <w:rsid w:val="00F239F1"/>
    <w:rsid w:val="00F249BD"/>
    <w:rsid w:val="00F24B4A"/>
    <w:rsid w:val="00F2650B"/>
    <w:rsid w:val="00F269B1"/>
    <w:rsid w:val="00F306FB"/>
    <w:rsid w:val="00F32323"/>
    <w:rsid w:val="00F32957"/>
    <w:rsid w:val="00F32E51"/>
    <w:rsid w:val="00F33350"/>
    <w:rsid w:val="00F36D7A"/>
    <w:rsid w:val="00F37F6C"/>
    <w:rsid w:val="00F37FF8"/>
    <w:rsid w:val="00F4041E"/>
    <w:rsid w:val="00F4136D"/>
    <w:rsid w:val="00F41F07"/>
    <w:rsid w:val="00F44EEE"/>
    <w:rsid w:val="00F4564C"/>
    <w:rsid w:val="00F471B7"/>
    <w:rsid w:val="00F50E54"/>
    <w:rsid w:val="00F51338"/>
    <w:rsid w:val="00F51AF2"/>
    <w:rsid w:val="00F52931"/>
    <w:rsid w:val="00F53206"/>
    <w:rsid w:val="00F54AC8"/>
    <w:rsid w:val="00F55B70"/>
    <w:rsid w:val="00F562DC"/>
    <w:rsid w:val="00F5687B"/>
    <w:rsid w:val="00F56BF0"/>
    <w:rsid w:val="00F57418"/>
    <w:rsid w:val="00F62600"/>
    <w:rsid w:val="00F62E27"/>
    <w:rsid w:val="00F63726"/>
    <w:rsid w:val="00F646A2"/>
    <w:rsid w:val="00F6579F"/>
    <w:rsid w:val="00F6614D"/>
    <w:rsid w:val="00F66735"/>
    <w:rsid w:val="00F66FE9"/>
    <w:rsid w:val="00F67632"/>
    <w:rsid w:val="00F67879"/>
    <w:rsid w:val="00F71E89"/>
    <w:rsid w:val="00F72C65"/>
    <w:rsid w:val="00F72E88"/>
    <w:rsid w:val="00F743D7"/>
    <w:rsid w:val="00F74DCA"/>
    <w:rsid w:val="00F75DC5"/>
    <w:rsid w:val="00F76414"/>
    <w:rsid w:val="00F82654"/>
    <w:rsid w:val="00F84342"/>
    <w:rsid w:val="00F847FC"/>
    <w:rsid w:val="00F8595F"/>
    <w:rsid w:val="00F86509"/>
    <w:rsid w:val="00F865AC"/>
    <w:rsid w:val="00F86A98"/>
    <w:rsid w:val="00F86E17"/>
    <w:rsid w:val="00F87B04"/>
    <w:rsid w:val="00F902A2"/>
    <w:rsid w:val="00F9172D"/>
    <w:rsid w:val="00F93857"/>
    <w:rsid w:val="00F96664"/>
    <w:rsid w:val="00F9672A"/>
    <w:rsid w:val="00FA010E"/>
    <w:rsid w:val="00FA05A6"/>
    <w:rsid w:val="00FA249F"/>
    <w:rsid w:val="00FA2AB8"/>
    <w:rsid w:val="00FA384A"/>
    <w:rsid w:val="00FA3FE1"/>
    <w:rsid w:val="00FA42EF"/>
    <w:rsid w:val="00FA4747"/>
    <w:rsid w:val="00FA54EE"/>
    <w:rsid w:val="00FA71D8"/>
    <w:rsid w:val="00FA7655"/>
    <w:rsid w:val="00FA7851"/>
    <w:rsid w:val="00FB01E2"/>
    <w:rsid w:val="00FB139C"/>
    <w:rsid w:val="00FB16BA"/>
    <w:rsid w:val="00FB3C18"/>
    <w:rsid w:val="00FB5225"/>
    <w:rsid w:val="00FB5A2B"/>
    <w:rsid w:val="00FB7354"/>
    <w:rsid w:val="00FB76AF"/>
    <w:rsid w:val="00FB7CFD"/>
    <w:rsid w:val="00FC166F"/>
    <w:rsid w:val="00FC18AD"/>
    <w:rsid w:val="00FC3104"/>
    <w:rsid w:val="00FC5068"/>
    <w:rsid w:val="00FC6432"/>
    <w:rsid w:val="00FC7A8A"/>
    <w:rsid w:val="00FC7CE6"/>
    <w:rsid w:val="00FC7EDA"/>
    <w:rsid w:val="00FC7F48"/>
    <w:rsid w:val="00FD0528"/>
    <w:rsid w:val="00FD0AA9"/>
    <w:rsid w:val="00FD1124"/>
    <w:rsid w:val="00FD604B"/>
    <w:rsid w:val="00FD732B"/>
    <w:rsid w:val="00FD7F5E"/>
    <w:rsid w:val="00FE0F76"/>
    <w:rsid w:val="00FE2100"/>
    <w:rsid w:val="00FE2C90"/>
    <w:rsid w:val="00FE3702"/>
    <w:rsid w:val="00FE3E04"/>
    <w:rsid w:val="00FE48EE"/>
    <w:rsid w:val="00FE4EA7"/>
    <w:rsid w:val="00FE5173"/>
    <w:rsid w:val="00FE5639"/>
    <w:rsid w:val="00FE672F"/>
    <w:rsid w:val="00FE6CB1"/>
    <w:rsid w:val="00FF0B06"/>
    <w:rsid w:val="00FF22FA"/>
    <w:rsid w:val="00FF3FEC"/>
    <w:rsid w:val="00FF4F13"/>
    <w:rsid w:val="00FF5FB0"/>
    <w:rsid w:val="00FF7276"/>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Cite" w:uiPriority="0"/>
    <w:lsdException w:name="annotation subjec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C6C35"/>
    <w:pPr>
      <w:tabs>
        <w:tab w:val="left" w:pos="1247"/>
        <w:tab w:val="left" w:pos="1814"/>
        <w:tab w:val="left" w:pos="2381"/>
        <w:tab w:val="left" w:pos="2948"/>
        <w:tab w:val="left" w:pos="3515"/>
      </w:tabs>
    </w:pPr>
    <w:rPr>
      <w:rFonts w:ascii="Times New Roman" w:eastAsia="Times New Roman" w:hAnsi="Times New Roman"/>
      <w:lang w:val="en-GB" w:eastAsia="en-US"/>
    </w:rPr>
  </w:style>
  <w:style w:type="paragraph" w:styleId="Heading1">
    <w:name w:val="heading 1"/>
    <w:basedOn w:val="Normal"/>
    <w:next w:val="Normal"/>
    <w:link w:val="Heading1Char"/>
    <w:qFormat/>
    <w:rsid w:val="00890CDD"/>
    <w:pPr>
      <w:keepNext/>
      <w:keepLines/>
      <w:widowControl w:val="0"/>
      <w:tabs>
        <w:tab w:val="clear" w:pos="1247"/>
        <w:tab w:val="clear" w:pos="1814"/>
        <w:tab w:val="clear" w:pos="2381"/>
        <w:tab w:val="clear" w:pos="2948"/>
        <w:tab w:val="clear" w:pos="3515"/>
      </w:tabs>
      <w:suppressAutoHyphens/>
      <w:autoSpaceDE w:val="0"/>
      <w:autoSpaceDN w:val="0"/>
      <w:adjustRightInd w:val="0"/>
      <w:spacing w:before="360" w:after="120"/>
      <w:ind w:left="720" w:hanging="720"/>
      <w:outlineLvl w:val="0"/>
    </w:pPr>
    <w:rPr>
      <w:rFonts w:ascii="Arial" w:eastAsia="SimSun" w:hAnsi="Arial"/>
      <w:b/>
      <w:color w:val="000000"/>
      <w:kern w:val="28"/>
      <w:sz w:val="26"/>
      <w:lang w:val="en-CA"/>
    </w:rPr>
  </w:style>
  <w:style w:type="paragraph" w:styleId="Heading2">
    <w:name w:val="heading 2"/>
    <w:aliases w:val="h2,A.B.C."/>
    <w:basedOn w:val="Normal"/>
    <w:next w:val="Normal"/>
    <w:link w:val="Heading2Char"/>
    <w:qFormat/>
    <w:rsid w:val="00890CDD"/>
    <w:pPr>
      <w:keepNext/>
      <w:widowControl w:val="0"/>
      <w:tabs>
        <w:tab w:val="clear" w:pos="1247"/>
        <w:tab w:val="clear" w:pos="1814"/>
        <w:tab w:val="clear" w:pos="2381"/>
        <w:tab w:val="clear" w:pos="2948"/>
        <w:tab w:val="clear" w:pos="3515"/>
      </w:tabs>
      <w:autoSpaceDE w:val="0"/>
      <w:autoSpaceDN w:val="0"/>
      <w:adjustRightInd w:val="0"/>
      <w:spacing w:after="240"/>
      <w:ind w:left="1248" w:hanging="624"/>
      <w:outlineLvl w:val="1"/>
    </w:pPr>
    <w:rPr>
      <w:rFonts w:eastAsia="SimSun"/>
      <w:b/>
      <w:kern w:val="24"/>
      <w:sz w:val="24"/>
      <w:szCs w:val="24"/>
      <w:lang w:val="en-CA"/>
    </w:rPr>
  </w:style>
  <w:style w:type="paragraph" w:styleId="Heading3">
    <w:name w:val="heading 3"/>
    <w:aliases w:val="h3,1.2.3."/>
    <w:basedOn w:val="Normal"/>
    <w:next w:val="Normal"/>
    <w:link w:val="Heading3Char"/>
    <w:qFormat/>
    <w:rsid w:val="00890CDD"/>
    <w:pPr>
      <w:keepNext/>
      <w:widowControl w:val="0"/>
      <w:tabs>
        <w:tab w:val="clear" w:pos="1247"/>
        <w:tab w:val="clear" w:pos="1814"/>
        <w:tab w:val="clear" w:pos="2381"/>
        <w:tab w:val="clear" w:pos="2948"/>
        <w:tab w:val="clear" w:pos="3515"/>
      </w:tabs>
      <w:suppressAutoHyphens/>
      <w:autoSpaceDE w:val="0"/>
      <w:autoSpaceDN w:val="0"/>
      <w:adjustRightInd w:val="0"/>
      <w:spacing w:before="120" w:after="240"/>
      <w:ind w:left="1248" w:hanging="624"/>
      <w:outlineLvl w:val="2"/>
    </w:pPr>
    <w:rPr>
      <w:rFonts w:eastAsia="SimSun"/>
      <w:b/>
      <w:color w:val="000000"/>
      <w:kern w:val="22"/>
      <w:szCs w:val="24"/>
      <w:lang w:val="en-CA"/>
    </w:rPr>
  </w:style>
  <w:style w:type="paragraph" w:styleId="Heading4">
    <w:name w:val="heading 4"/>
    <w:aliases w:val="h4,Level III for #'s"/>
    <w:basedOn w:val="Normal"/>
    <w:next w:val="Normal"/>
    <w:link w:val="Heading4Char"/>
    <w:qFormat/>
    <w:rsid w:val="00890CDD"/>
    <w:pPr>
      <w:keepNext/>
      <w:widowControl w:val="0"/>
      <w:tabs>
        <w:tab w:val="clear" w:pos="1247"/>
        <w:tab w:val="clear" w:pos="1814"/>
        <w:tab w:val="clear" w:pos="2381"/>
        <w:tab w:val="clear" w:pos="2948"/>
        <w:tab w:val="clear" w:pos="3515"/>
      </w:tabs>
      <w:suppressAutoHyphens/>
      <w:autoSpaceDE w:val="0"/>
      <w:autoSpaceDN w:val="0"/>
      <w:adjustRightInd w:val="0"/>
      <w:spacing w:before="120" w:after="240"/>
      <w:ind w:left="1248" w:hanging="624"/>
      <w:outlineLvl w:val="3"/>
    </w:pPr>
    <w:rPr>
      <w:rFonts w:eastAsia="Arial Unicode MS"/>
      <w:b/>
      <w:color w:val="000000"/>
      <w:szCs w:val="24"/>
      <w:lang w:val="en-CA"/>
    </w:rPr>
  </w:style>
  <w:style w:type="paragraph" w:styleId="Heading5">
    <w:name w:val="heading 5"/>
    <w:basedOn w:val="Normal"/>
    <w:next w:val="Normal"/>
    <w:link w:val="Heading5Char"/>
    <w:qFormat/>
    <w:rsid w:val="009452BC"/>
    <w:pPr>
      <w:keepNext/>
      <w:tabs>
        <w:tab w:val="clear" w:pos="1247"/>
        <w:tab w:val="clear" w:pos="1814"/>
        <w:tab w:val="clear" w:pos="2381"/>
        <w:tab w:val="clear" w:pos="2948"/>
        <w:tab w:val="clear" w:pos="3515"/>
      </w:tabs>
      <w:spacing w:before="120" w:after="60"/>
      <w:outlineLvl w:val="4"/>
    </w:pPr>
    <w:rPr>
      <w:rFonts w:eastAsia="SimSun"/>
      <w:color w:val="000000"/>
      <w:szCs w:val="24"/>
      <w:lang w:val="en-CA"/>
    </w:rPr>
  </w:style>
  <w:style w:type="paragraph" w:styleId="Heading6">
    <w:name w:val="heading 6"/>
    <w:basedOn w:val="Normal"/>
    <w:next w:val="Normal"/>
    <w:link w:val="Heading6Char"/>
    <w:autoRedefine/>
    <w:qFormat/>
    <w:rsid w:val="00890CDD"/>
    <w:pPr>
      <w:keepNext/>
      <w:tabs>
        <w:tab w:val="clear" w:pos="1247"/>
        <w:tab w:val="clear" w:pos="1814"/>
        <w:tab w:val="clear" w:pos="2381"/>
        <w:tab w:val="clear" w:pos="2948"/>
        <w:tab w:val="clear" w:pos="3515"/>
      </w:tabs>
      <w:autoSpaceDE w:val="0"/>
      <w:autoSpaceDN w:val="0"/>
      <w:adjustRightInd w:val="0"/>
      <w:outlineLvl w:val="5"/>
    </w:pPr>
    <w:rPr>
      <w:rFonts w:eastAsia="SimSun"/>
      <w:b/>
      <w:color w:val="000000"/>
      <w:sz w:val="28"/>
      <w:szCs w:val="24"/>
    </w:rPr>
  </w:style>
  <w:style w:type="paragraph" w:styleId="Heading7">
    <w:name w:val="heading 7"/>
    <w:basedOn w:val="Normal"/>
    <w:next w:val="Normal"/>
    <w:link w:val="Heading7Char"/>
    <w:qFormat/>
    <w:rsid w:val="009452BC"/>
    <w:pPr>
      <w:keepNext/>
      <w:tabs>
        <w:tab w:val="clear" w:pos="1247"/>
        <w:tab w:val="clear" w:pos="1814"/>
        <w:tab w:val="clear" w:pos="2381"/>
        <w:tab w:val="clear" w:pos="2948"/>
        <w:tab w:val="clear" w:pos="3515"/>
      </w:tabs>
      <w:spacing w:after="120"/>
      <w:outlineLvl w:val="6"/>
    </w:pPr>
    <w:rPr>
      <w:rFonts w:eastAsia="SimSun"/>
      <w:color w:val="000000"/>
      <w:szCs w:val="24"/>
      <w:u w:val="single"/>
      <w:lang w:val="en-CA"/>
    </w:rPr>
  </w:style>
  <w:style w:type="paragraph" w:styleId="Heading8">
    <w:name w:val="heading 8"/>
    <w:basedOn w:val="Normal"/>
    <w:next w:val="Normal"/>
    <w:link w:val="Heading8Char"/>
    <w:qFormat/>
    <w:rsid w:val="00890CDD"/>
    <w:pPr>
      <w:keepNext/>
      <w:tabs>
        <w:tab w:val="clear" w:pos="1247"/>
        <w:tab w:val="clear" w:pos="1814"/>
        <w:tab w:val="clear" w:pos="2381"/>
        <w:tab w:val="clear" w:pos="2948"/>
        <w:tab w:val="clear" w:pos="3515"/>
      </w:tabs>
      <w:spacing w:after="120"/>
      <w:jc w:val="right"/>
      <w:outlineLvl w:val="7"/>
    </w:pPr>
    <w:rPr>
      <w:rFonts w:ascii="Comic Sans MS" w:eastAsia="SimSun" w:hAnsi="Comic Sans MS"/>
      <w:b/>
      <w:bCs/>
      <w:color w:val="000080"/>
      <w:sz w:val="24"/>
      <w:szCs w:val="24"/>
    </w:rPr>
  </w:style>
  <w:style w:type="paragraph" w:styleId="Heading9">
    <w:name w:val="heading 9"/>
    <w:basedOn w:val="Normal"/>
    <w:next w:val="Normal"/>
    <w:link w:val="Heading9Char"/>
    <w:qFormat/>
    <w:rsid w:val="009452BC"/>
    <w:pPr>
      <w:keepNext/>
      <w:tabs>
        <w:tab w:val="clear" w:pos="1247"/>
        <w:tab w:val="clear" w:pos="1814"/>
        <w:tab w:val="clear" w:pos="2381"/>
        <w:tab w:val="clear" w:pos="2948"/>
        <w:tab w:val="clear" w:pos="3515"/>
      </w:tabs>
      <w:spacing w:after="120"/>
      <w:ind w:left="720" w:right="1442" w:hanging="360"/>
      <w:outlineLvl w:val="8"/>
    </w:pPr>
    <w:rPr>
      <w:rFonts w:eastAsia="SimSun"/>
      <w:i/>
      <w:i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
    <w:basedOn w:val="Normal-pool"/>
    <w:link w:val="FootnoteTextChar"/>
    <w:rsid w:val="00890CDD"/>
    <w:pPr>
      <w:spacing w:before="20" w:after="40"/>
      <w:ind w:left="1247"/>
    </w:pPr>
    <w:rPr>
      <w:rFonts w:eastAsia="SimSun"/>
      <w:sz w:val="18"/>
      <w:szCs w:val="20"/>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ink w:val="FootnoteText"/>
    <w:rsid w:val="00890CDD"/>
    <w:rPr>
      <w:rFonts w:ascii="Times New Roman" w:eastAsia="SimSun" w:hAnsi="Times New Roman" w:cs="Times New Roman"/>
      <w:sz w:val="18"/>
      <w:szCs w:val="20"/>
      <w:lang w:val="en-GB"/>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rsid w:val="00890CDD"/>
    <w:rPr>
      <w:rFonts w:ascii="Times New Roman" w:hAnsi="Times New Roman"/>
      <w:color w:val="auto"/>
      <w:sz w:val="20"/>
      <w:szCs w:val="18"/>
      <w:vertAlign w:val="superscript"/>
    </w:rPr>
  </w:style>
  <w:style w:type="paragraph" w:customStyle="1" w:styleId="Normal-pool">
    <w:name w:val="Normal-pool"/>
    <w:link w:val="Normal-poolChar"/>
    <w:rsid w:val="009452BC"/>
    <w:pPr>
      <w:tabs>
        <w:tab w:val="left" w:pos="1247"/>
        <w:tab w:val="left" w:pos="1814"/>
        <w:tab w:val="left" w:pos="2381"/>
        <w:tab w:val="left" w:pos="2948"/>
        <w:tab w:val="left" w:pos="3515"/>
      </w:tabs>
    </w:pPr>
    <w:rPr>
      <w:rFonts w:ascii="Times New Roman" w:eastAsia="Times New Roman" w:hAnsi="Times New Roman"/>
      <w:sz w:val="22"/>
      <w:szCs w:val="22"/>
      <w:lang w:val="en-GB" w:eastAsia="en-US"/>
    </w:rPr>
  </w:style>
  <w:style w:type="paragraph" w:customStyle="1" w:styleId="AATitle">
    <w:name w:val="AA_Title"/>
    <w:basedOn w:val="Normal-pool"/>
    <w:link w:val="AATitleChar"/>
    <w:rsid w:val="00890CDD"/>
    <w:pPr>
      <w:keepNext/>
      <w:keepLines/>
      <w:suppressAutoHyphens/>
      <w:ind w:right="3402"/>
    </w:pPr>
    <w:rPr>
      <w:b/>
      <w:sz w:val="20"/>
      <w:szCs w:val="20"/>
    </w:rPr>
  </w:style>
  <w:style w:type="paragraph" w:customStyle="1" w:styleId="CH2">
    <w:name w:val="CH2"/>
    <w:basedOn w:val="Normal-pool"/>
    <w:next w:val="Normal"/>
    <w:link w:val="CH2Char"/>
    <w:rsid w:val="00890CDD"/>
    <w:pPr>
      <w:keepNext/>
      <w:keepLines/>
      <w:tabs>
        <w:tab w:val="right" w:pos="851"/>
      </w:tabs>
      <w:suppressAutoHyphens/>
      <w:spacing w:before="120" w:after="120"/>
      <w:ind w:left="1247" w:right="284" w:hanging="1247"/>
    </w:pPr>
    <w:rPr>
      <w:b/>
      <w:sz w:val="24"/>
      <w:szCs w:val="24"/>
    </w:rPr>
  </w:style>
  <w:style w:type="paragraph" w:styleId="CommentText">
    <w:name w:val="annotation text"/>
    <w:basedOn w:val="Normal"/>
    <w:link w:val="CommentTextChar"/>
    <w:rsid w:val="00890CDD"/>
  </w:style>
  <w:style w:type="character" w:customStyle="1" w:styleId="CommentTextChar">
    <w:name w:val="Comment Text Char"/>
    <w:link w:val="CommentText"/>
    <w:rsid w:val="00890CDD"/>
    <w:rPr>
      <w:rFonts w:ascii="Times New Roman" w:eastAsia="Times New Roman" w:hAnsi="Times New Roman" w:cs="Times New Roman"/>
      <w:sz w:val="20"/>
      <w:szCs w:val="20"/>
      <w:lang w:val="en-GB"/>
    </w:rPr>
  </w:style>
  <w:style w:type="paragraph" w:customStyle="1" w:styleId="ColorfulList-Accent11">
    <w:name w:val="Colorful List - Accent 11"/>
    <w:basedOn w:val="Normal"/>
    <w:uiPriority w:val="34"/>
    <w:qFormat/>
    <w:rsid w:val="00890CDD"/>
    <w:pPr>
      <w:ind w:left="720"/>
    </w:pPr>
  </w:style>
  <w:style w:type="paragraph" w:customStyle="1" w:styleId="AATitle2">
    <w:name w:val="AA_Title2"/>
    <w:basedOn w:val="AATitle"/>
    <w:rsid w:val="00890CDD"/>
    <w:pPr>
      <w:spacing w:before="120" w:after="120"/>
      <w:ind w:right="1701"/>
    </w:pPr>
  </w:style>
  <w:style w:type="character" w:customStyle="1" w:styleId="CH2Char">
    <w:name w:val="CH2 Char"/>
    <w:link w:val="CH2"/>
    <w:rsid w:val="00890CDD"/>
    <w:rPr>
      <w:rFonts w:ascii="Times New Roman" w:eastAsia="Times New Roman" w:hAnsi="Times New Roman" w:cs="Times New Roman"/>
      <w:b/>
      <w:sz w:val="24"/>
      <w:szCs w:val="24"/>
      <w:lang w:val="en-GB"/>
    </w:rPr>
  </w:style>
  <w:style w:type="character" w:customStyle="1" w:styleId="AATitleChar">
    <w:name w:val="AA_Title Char"/>
    <w:link w:val="AATitle"/>
    <w:rsid w:val="00890CDD"/>
    <w:rPr>
      <w:rFonts w:ascii="Times New Roman" w:eastAsia="Times New Roman" w:hAnsi="Times New Roman" w:cs="Times New Roman"/>
      <w:b/>
      <w:sz w:val="20"/>
      <w:szCs w:val="20"/>
      <w:lang w:val="en-GB"/>
    </w:rPr>
  </w:style>
  <w:style w:type="character" w:customStyle="1" w:styleId="Normal-poolChar">
    <w:name w:val="Normal-pool Char"/>
    <w:link w:val="Normal-pool"/>
    <w:rsid w:val="00890CDD"/>
    <w:rPr>
      <w:rFonts w:ascii="Times New Roman" w:eastAsia="Times New Roman" w:hAnsi="Times New Roman"/>
      <w:sz w:val="22"/>
      <w:szCs w:val="22"/>
      <w:lang w:val="en-GB" w:eastAsia="en-US" w:bidi="ar-SA"/>
    </w:rPr>
  </w:style>
  <w:style w:type="paragraph" w:styleId="BalloonText">
    <w:name w:val="Balloon Text"/>
    <w:basedOn w:val="Normal"/>
    <w:link w:val="BalloonTextChar"/>
    <w:uiPriority w:val="99"/>
    <w:semiHidden/>
    <w:unhideWhenUsed/>
    <w:rsid w:val="00890CDD"/>
    <w:rPr>
      <w:rFonts w:ascii="Tahoma" w:hAnsi="Tahoma"/>
      <w:sz w:val="16"/>
      <w:szCs w:val="16"/>
    </w:rPr>
  </w:style>
  <w:style w:type="character" w:customStyle="1" w:styleId="BalloonTextChar">
    <w:name w:val="Balloon Text Char"/>
    <w:link w:val="BalloonText"/>
    <w:uiPriority w:val="99"/>
    <w:semiHidden/>
    <w:rsid w:val="00890CDD"/>
    <w:rPr>
      <w:rFonts w:ascii="Tahoma" w:eastAsia="Times New Roman" w:hAnsi="Tahoma" w:cs="Tahoma"/>
      <w:sz w:val="16"/>
      <w:szCs w:val="16"/>
      <w:lang w:val="en-GB"/>
    </w:rPr>
  </w:style>
  <w:style w:type="character" w:customStyle="1" w:styleId="Heading1Char">
    <w:name w:val="Heading 1 Char"/>
    <w:link w:val="Heading1"/>
    <w:rsid w:val="00890CDD"/>
    <w:rPr>
      <w:rFonts w:ascii="Arial" w:eastAsia="SimSun" w:hAnsi="Arial" w:cs="Times New Roman"/>
      <w:b/>
      <w:color w:val="000000"/>
      <w:kern w:val="28"/>
      <w:sz w:val="26"/>
      <w:szCs w:val="20"/>
      <w:lang w:val="en-CA"/>
    </w:rPr>
  </w:style>
  <w:style w:type="character" w:customStyle="1" w:styleId="Heading2Char">
    <w:name w:val="Heading 2 Char"/>
    <w:aliases w:val="h2 Char,A.B.C. Char"/>
    <w:link w:val="Heading2"/>
    <w:rsid w:val="00890CDD"/>
    <w:rPr>
      <w:rFonts w:ascii="Times New Roman" w:eastAsia="SimSun" w:hAnsi="Times New Roman" w:cs="Times New Roman"/>
      <w:b/>
      <w:kern w:val="24"/>
      <w:sz w:val="24"/>
      <w:szCs w:val="24"/>
      <w:lang w:val="en-CA"/>
    </w:rPr>
  </w:style>
  <w:style w:type="character" w:customStyle="1" w:styleId="Heading3Char">
    <w:name w:val="Heading 3 Char"/>
    <w:aliases w:val="h3 Char,1.2.3. Char"/>
    <w:link w:val="Heading3"/>
    <w:rsid w:val="00890CDD"/>
    <w:rPr>
      <w:rFonts w:ascii="Times New Roman" w:eastAsia="SimSun" w:hAnsi="Times New Roman" w:cs="Times New Roman"/>
      <w:b/>
      <w:color w:val="000000"/>
      <w:kern w:val="22"/>
      <w:sz w:val="20"/>
      <w:szCs w:val="24"/>
      <w:lang w:val="en-CA"/>
    </w:rPr>
  </w:style>
  <w:style w:type="character" w:customStyle="1" w:styleId="Heading4Char">
    <w:name w:val="Heading 4 Char"/>
    <w:aliases w:val="h4 Char,Level III for #'s Char"/>
    <w:link w:val="Heading4"/>
    <w:rsid w:val="00890CDD"/>
    <w:rPr>
      <w:rFonts w:ascii="Times New Roman" w:eastAsia="Arial Unicode MS" w:hAnsi="Times New Roman" w:cs="Times New Roman"/>
      <w:b/>
      <w:color w:val="000000"/>
      <w:sz w:val="20"/>
      <w:szCs w:val="24"/>
      <w:lang w:val="en-CA"/>
    </w:rPr>
  </w:style>
  <w:style w:type="character" w:customStyle="1" w:styleId="Heading5Char">
    <w:name w:val="Heading 5 Char"/>
    <w:link w:val="Heading5"/>
    <w:rsid w:val="00890CDD"/>
    <w:rPr>
      <w:rFonts w:ascii="Times New Roman" w:eastAsia="SimSun" w:hAnsi="Times New Roman"/>
      <w:color w:val="000000"/>
      <w:szCs w:val="24"/>
      <w:lang w:val="en-CA"/>
    </w:rPr>
  </w:style>
  <w:style w:type="character" w:customStyle="1" w:styleId="Heading6Char">
    <w:name w:val="Heading 6 Char"/>
    <w:link w:val="Heading6"/>
    <w:rsid w:val="00890CDD"/>
    <w:rPr>
      <w:rFonts w:ascii="Times New Roman" w:eastAsia="SimSun" w:hAnsi="Times New Roman" w:cs="Times New Roman"/>
      <w:b/>
      <w:color w:val="000000"/>
      <w:sz w:val="28"/>
      <w:szCs w:val="24"/>
    </w:rPr>
  </w:style>
  <w:style w:type="character" w:customStyle="1" w:styleId="Heading7Char">
    <w:name w:val="Heading 7 Char"/>
    <w:link w:val="Heading7"/>
    <w:rsid w:val="00890CDD"/>
    <w:rPr>
      <w:rFonts w:ascii="Times New Roman" w:eastAsia="SimSun" w:hAnsi="Times New Roman"/>
      <w:color w:val="000000"/>
      <w:szCs w:val="24"/>
      <w:u w:val="single"/>
      <w:lang w:val="en-CA"/>
    </w:rPr>
  </w:style>
  <w:style w:type="character" w:customStyle="1" w:styleId="Heading8Char">
    <w:name w:val="Heading 8 Char"/>
    <w:link w:val="Heading8"/>
    <w:rsid w:val="00890CDD"/>
    <w:rPr>
      <w:rFonts w:ascii="Comic Sans MS" w:eastAsia="SimSun" w:hAnsi="Comic Sans MS" w:cs="Arial"/>
      <w:b/>
      <w:bCs/>
      <w:color w:val="000080"/>
      <w:sz w:val="24"/>
      <w:szCs w:val="24"/>
      <w:lang w:val="en-GB"/>
    </w:rPr>
  </w:style>
  <w:style w:type="character" w:customStyle="1" w:styleId="Heading9Char">
    <w:name w:val="Heading 9 Char"/>
    <w:link w:val="Heading9"/>
    <w:rsid w:val="00890CDD"/>
    <w:rPr>
      <w:rFonts w:ascii="Times New Roman" w:eastAsia="SimSun" w:hAnsi="Times New Roman"/>
      <w:i/>
      <w:iCs/>
      <w:color w:val="000000"/>
      <w:szCs w:val="24"/>
    </w:rPr>
  </w:style>
  <w:style w:type="paragraph" w:styleId="BodyTextIndent">
    <w:name w:val="Body Text Indent"/>
    <w:basedOn w:val="Normal"/>
    <w:link w:val="BodyTextIndentChar"/>
    <w:rsid w:val="009452BC"/>
    <w:pPr>
      <w:tabs>
        <w:tab w:val="clear" w:pos="1247"/>
        <w:tab w:val="clear" w:pos="1814"/>
        <w:tab w:val="clear" w:pos="2381"/>
        <w:tab w:val="clear" w:pos="2948"/>
        <w:tab w:val="clear" w:pos="3515"/>
      </w:tabs>
      <w:ind w:left="1440" w:hanging="1440"/>
    </w:pPr>
    <w:rPr>
      <w:rFonts w:eastAsia="SimSun"/>
      <w:color w:val="000000"/>
      <w:szCs w:val="24"/>
      <w:lang w:val="en-CA"/>
    </w:rPr>
  </w:style>
  <w:style w:type="character" w:customStyle="1" w:styleId="BodyTextIndentChar">
    <w:name w:val="Body Text Indent Char"/>
    <w:link w:val="BodyTextIndent"/>
    <w:rsid w:val="00890CDD"/>
    <w:rPr>
      <w:rFonts w:ascii="Times New Roman" w:eastAsia="SimSun" w:hAnsi="Times New Roman"/>
      <w:color w:val="000000"/>
      <w:szCs w:val="24"/>
      <w:lang w:val="en-CA"/>
    </w:rPr>
  </w:style>
  <w:style w:type="paragraph" w:styleId="BodyTextIndent2">
    <w:name w:val="Body Text Indent 2"/>
    <w:basedOn w:val="Normal"/>
    <w:link w:val="BodyTextIndent2Char"/>
    <w:rsid w:val="009452BC"/>
    <w:pPr>
      <w:tabs>
        <w:tab w:val="clear" w:pos="1247"/>
        <w:tab w:val="clear" w:pos="1814"/>
        <w:tab w:val="clear" w:pos="2381"/>
        <w:tab w:val="clear" w:pos="2948"/>
        <w:tab w:val="clear" w:pos="3515"/>
      </w:tabs>
      <w:autoSpaceDE w:val="0"/>
      <w:autoSpaceDN w:val="0"/>
      <w:adjustRightInd w:val="0"/>
      <w:spacing w:after="120"/>
      <w:ind w:left="360"/>
    </w:pPr>
    <w:rPr>
      <w:rFonts w:eastAsia="SimSun"/>
      <w:i/>
      <w:color w:val="000000"/>
      <w:szCs w:val="24"/>
      <w:lang w:val="en-CA"/>
    </w:rPr>
  </w:style>
  <w:style w:type="character" w:customStyle="1" w:styleId="BodyTextIndent2Char">
    <w:name w:val="Body Text Indent 2 Char"/>
    <w:link w:val="BodyTextIndent2"/>
    <w:rsid w:val="00890CDD"/>
    <w:rPr>
      <w:rFonts w:ascii="Times New Roman" w:eastAsia="SimSun" w:hAnsi="Times New Roman"/>
      <w:i/>
      <w:color w:val="000000"/>
      <w:szCs w:val="24"/>
      <w:lang w:val="en-CA"/>
    </w:rPr>
  </w:style>
  <w:style w:type="paragraph" w:styleId="BodyTextIndent3">
    <w:name w:val="Body Text Indent 3"/>
    <w:basedOn w:val="Normal"/>
    <w:link w:val="BodyTextIndent3Char"/>
    <w:rsid w:val="009452BC"/>
    <w:pPr>
      <w:tabs>
        <w:tab w:val="clear" w:pos="1247"/>
        <w:tab w:val="clear" w:pos="1814"/>
        <w:tab w:val="clear" w:pos="2381"/>
        <w:tab w:val="clear" w:pos="2948"/>
        <w:tab w:val="clear" w:pos="3515"/>
      </w:tabs>
      <w:spacing w:after="120"/>
      <w:ind w:left="360"/>
    </w:pPr>
    <w:rPr>
      <w:rFonts w:eastAsia="SimSun"/>
      <w:color w:val="000000"/>
      <w:szCs w:val="24"/>
      <w:lang w:val="en-CA"/>
    </w:rPr>
  </w:style>
  <w:style w:type="character" w:customStyle="1" w:styleId="BodyTextIndent3Char">
    <w:name w:val="Body Text Indent 3 Char"/>
    <w:link w:val="BodyTextIndent3"/>
    <w:rsid w:val="00890CDD"/>
    <w:rPr>
      <w:rFonts w:ascii="Times New Roman" w:eastAsia="SimSun" w:hAnsi="Times New Roman"/>
      <w:color w:val="000000"/>
      <w:szCs w:val="24"/>
      <w:lang w:val="en-CA"/>
    </w:rPr>
  </w:style>
  <w:style w:type="paragraph" w:styleId="Header">
    <w:name w:val="header"/>
    <w:basedOn w:val="Normal"/>
    <w:link w:val="HeaderChar"/>
    <w:rsid w:val="009452BC"/>
    <w:pPr>
      <w:tabs>
        <w:tab w:val="clear" w:pos="1247"/>
        <w:tab w:val="clear" w:pos="1814"/>
        <w:tab w:val="clear" w:pos="2381"/>
        <w:tab w:val="clear" w:pos="2948"/>
        <w:tab w:val="clear" w:pos="3515"/>
        <w:tab w:val="center" w:pos="4320"/>
        <w:tab w:val="right" w:pos="8640"/>
      </w:tabs>
      <w:spacing w:after="120"/>
    </w:pPr>
    <w:rPr>
      <w:rFonts w:eastAsia="SimSun"/>
      <w:color w:val="000000"/>
      <w:szCs w:val="24"/>
      <w:lang w:val="en-CA"/>
    </w:rPr>
  </w:style>
  <w:style w:type="character" w:customStyle="1" w:styleId="HeaderChar">
    <w:name w:val="Header Char"/>
    <w:link w:val="Header"/>
    <w:rsid w:val="00890CDD"/>
    <w:rPr>
      <w:rFonts w:ascii="Times New Roman" w:eastAsia="SimSun" w:hAnsi="Times New Roman"/>
      <w:color w:val="000000"/>
      <w:szCs w:val="24"/>
      <w:lang w:val="en-CA"/>
    </w:rPr>
  </w:style>
  <w:style w:type="paragraph" w:styleId="Footer">
    <w:name w:val="footer"/>
    <w:basedOn w:val="Normal"/>
    <w:link w:val="FooterChar"/>
    <w:uiPriority w:val="99"/>
    <w:rsid w:val="009452BC"/>
    <w:pPr>
      <w:tabs>
        <w:tab w:val="clear" w:pos="1247"/>
        <w:tab w:val="clear" w:pos="1814"/>
        <w:tab w:val="clear" w:pos="2381"/>
        <w:tab w:val="clear" w:pos="2948"/>
        <w:tab w:val="clear" w:pos="3515"/>
        <w:tab w:val="center" w:pos="4320"/>
        <w:tab w:val="right" w:pos="8640"/>
      </w:tabs>
      <w:spacing w:after="120"/>
    </w:pPr>
    <w:rPr>
      <w:rFonts w:eastAsia="SimSun"/>
      <w:color w:val="000000"/>
      <w:szCs w:val="24"/>
      <w:lang w:val="en-CA"/>
    </w:rPr>
  </w:style>
  <w:style w:type="character" w:customStyle="1" w:styleId="FooterChar">
    <w:name w:val="Footer Char"/>
    <w:link w:val="Footer"/>
    <w:uiPriority w:val="99"/>
    <w:rsid w:val="00890CDD"/>
    <w:rPr>
      <w:rFonts w:ascii="Times New Roman" w:eastAsia="SimSun" w:hAnsi="Times New Roman"/>
      <w:color w:val="000000"/>
      <w:szCs w:val="24"/>
      <w:lang w:val="en-CA"/>
    </w:rPr>
  </w:style>
  <w:style w:type="paragraph" w:customStyle="1" w:styleId="Bullet-1stlevel">
    <w:name w:val="Bullet - 1st level"/>
    <w:basedOn w:val="Normal"/>
    <w:rsid w:val="00890CDD"/>
    <w:pPr>
      <w:tabs>
        <w:tab w:val="clear" w:pos="1247"/>
        <w:tab w:val="clear" w:pos="1814"/>
        <w:tab w:val="clear" w:pos="2381"/>
        <w:tab w:val="clear" w:pos="2948"/>
        <w:tab w:val="clear" w:pos="3515"/>
        <w:tab w:val="num"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2160" w:hanging="720"/>
      <w:jc w:val="both"/>
      <w:textAlignment w:val="baseline"/>
    </w:pPr>
    <w:rPr>
      <w:rFonts w:ascii="Arial" w:eastAsia="SimSun" w:hAnsi="Arial"/>
      <w:sz w:val="23"/>
    </w:rPr>
  </w:style>
  <w:style w:type="paragraph" w:customStyle="1" w:styleId="Style1">
    <w:name w:val="Style1"/>
    <w:basedOn w:val="Normal"/>
    <w:rsid w:val="00890CDD"/>
    <w:pPr>
      <w:numPr>
        <w:numId w:val="3"/>
      </w:numPr>
      <w:tabs>
        <w:tab w:val="clear" w:pos="1247"/>
        <w:tab w:val="clear" w:pos="1814"/>
        <w:tab w:val="clear" w:pos="2381"/>
        <w:tab w:val="clear" w:pos="2948"/>
        <w:tab w:val="clear" w:pos="3515"/>
      </w:tabs>
    </w:pPr>
    <w:rPr>
      <w:rFonts w:eastAsia="SimSun"/>
      <w:sz w:val="24"/>
      <w:szCs w:val="24"/>
      <w:lang w:val="en-CA"/>
    </w:rPr>
  </w:style>
  <w:style w:type="paragraph" w:customStyle="1" w:styleId="Bullet-1stLevelMarge">
    <w:name w:val="Bullet - 1st Level Marge"/>
    <w:basedOn w:val="Normal"/>
    <w:rsid w:val="00890CDD"/>
    <w:pPr>
      <w:numPr>
        <w:numId w:val="4"/>
      </w:numPr>
      <w:tabs>
        <w:tab w:val="clear" w:pos="1247"/>
        <w:tab w:val="clear" w:pos="1814"/>
        <w:tab w:val="clear" w:pos="2381"/>
        <w:tab w:val="clear" w:pos="2948"/>
        <w:tab w:val="clear" w:pos="3515"/>
      </w:tabs>
      <w:overflowPunct w:val="0"/>
      <w:autoSpaceDE w:val="0"/>
      <w:autoSpaceDN w:val="0"/>
      <w:adjustRightInd w:val="0"/>
      <w:textAlignment w:val="baseline"/>
    </w:pPr>
    <w:rPr>
      <w:rFonts w:ascii="Arial" w:eastAsia="SimSun" w:hAnsi="Arial"/>
      <w:sz w:val="23"/>
    </w:rPr>
  </w:style>
  <w:style w:type="paragraph" w:customStyle="1" w:styleId="MargeBulletNormalText">
    <w:name w:val="Marge Bullet Normal Text"/>
    <w:basedOn w:val="Normal"/>
    <w:rsid w:val="00890CDD"/>
    <w:pPr>
      <w:numPr>
        <w:numId w:val="5"/>
      </w:numPr>
      <w:tabs>
        <w:tab w:val="clear" w:pos="1247"/>
        <w:tab w:val="clear" w:pos="1814"/>
        <w:tab w:val="clear" w:pos="2381"/>
        <w:tab w:val="clear" w:pos="2948"/>
        <w:tab w:val="clear" w:pos="3515"/>
      </w:tabs>
      <w:overflowPunct w:val="0"/>
      <w:autoSpaceDE w:val="0"/>
      <w:autoSpaceDN w:val="0"/>
      <w:adjustRightInd w:val="0"/>
      <w:textAlignment w:val="baseline"/>
    </w:pPr>
    <w:rPr>
      <w:rFonts w:ascii="Arial" w:eastAsia="SimSun" w:hAnsi="Arial"/>
      <w:sz w:val="23"/>
    </w:rPr>
  </w:style>
  <w:style w:type="paragraph" w:customStyle="1" w:styleId="TechnicalNoteBullet1">
    <w:name w:val="Technical Note Bullet 1"/>
    <w:basedOn w:val="Normal"/>
    <w:rsid w:val="00890CDD"/>
    <w:pPr>
      <w:numPr>
        <w:numId w:val="6"/>
      </w:numPr>
      <w:tabs>
        <w:tab w:val="clear" w:pos="1247"/>
        <w:tab w:val="clear" w:pos="1814"/>
        <w:tab w:val="clear" w:pos="2381"/>
        <w:tab w:val="clear" w:pos="2948"/>
        <w:tab w:val="clear" w:pos="3515"/>
        <w:tab w:val="decimal" w:pos="5040"/>
        <w:tab w:val="left" w:pos="5580"/>
      </w:tabs>
      <w:ind w:right="274"/>
      <w:jc w:val="both"/>
    </w:pPr>
    <w:rPr>
      <w:rFonts w:ascii="Arial" w:eastAsia="SimSun" w:hAnsi="Arial" w:cs="Arial"/>
      <w:sz w:val="23"/>
      <w:szCs w:val="24"/>
      <w:lang w:val="en-US"/>
    </w:rPr>
  </w:style>
  <w:style w:type="paragraph" w:customStyle="1" w:styleId="TechnicalNoteBullet2">
    <w:name w:val="Technical Note Bullet 2"/>
    <w:basedOn w:val="TechnicalNoteBullet1"/>
    <w:rsid w:val="00890CDD"/>
    <w:pPr>
      <w:numPr>
        <w:numId w:val="7"/>
      </w:numPr>
      <w:tabs>
        <w:tab w:val="clear" w:pos="1440"/>
        <w:tab w:val="num" w:pos="2160"/>
      </w:tabs>
      <w:ind w:left="2160" w:hanging="360"/>
    </w:pPr>
    <w:rPr>
      <w:lang w:val="en-CA"/>
    </w:rPr>
  </w:style>
  <w:style w:type="paragraph" w:customStyle="1" w:styleId="Paragraphesection2">
    <w:name w:val="Paragraphe section 2"/>
    <w:basedOn w:val="Normal"/>
    <w:rsid w:val="00890CDD"/>
    <w:pPr>
      <w:numPr>
        <w:ilvl w:val="1"/>
        <w:numId w:val="8"/>
      </w:numPr>
      <w:tabs>
        <w:tab w:val="clear" w:pos="1247"/>
        <w:tab w:val="clear" w:pos="1814"/>
        <w:tab w:val="clear" w:pos="2160"/>
        <w:tab w:val="clear" w:pos="2381"/>
        <w:tab w:val="clear" w:pos="2948"/>
        <w:tab w:val="clear" w:pos="3515"/>
        <w:tab w:val="num" w:pos="360"/>
        <w:tab w:val="left" w:pos="144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0" w:firstLine="0"/>
      <w:jc w:val="both"/>
      <w:textAlignment w:val="baseline"/>
    </w:pPr>
    <w:rPr>
      <w:rFonts w:ascii="Arial" w:eastAsia="SimSun" w:hAnsi="Arial"/>
      <w:sz w:val="23"/>
      <w:lang w:val="en-CA"/>
    </w:rPr>
  </w:style>
  <w:style w:type="paragraph" w:customStyle="1" w:styleId="Text-Normal-Bold">
    <w:name w:val="Text-Normal-Bold"/>
    <w:basedOn w:val="Text-Normal"/>
    <w:next w:val="Text-Normal"/>
    <w:rsid w:val="00890CDD"/>
    <w:rPr>
      <w:b/>
    </w:rPr>
  </w:style>
  <w:style w:type="paragraph" w:customStyle="1" w:styleId="Text-Normal">
    <w:name w:val="Text-Normal"/>
    <w:basedOn w:val="Normal"/>
    <w:rsid w:val="00890CDD"/>
    <w:pPr>
      <w:tabs>
        <w:tab w:val="clear" w:pos="1247"/>
        <w:tab w:val="clear" w:pos="1814"/>
        <w:tab w:val="clear" w:pos="2381"/>
        <w:tab w:val="clear" w:pos="2948"/>
        <w:tab w:val="clear" w:pos="3515"/>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1440"/>
      <w:jc w:val="both"/>
      <w:textAlignment w:val="baseline"/>
    </w:pPr>
    <w:rPr>
      <w:rFonts w:ascii="Arial" w:eastAsia="SimSun" w:hAnsi="Arial"/>
      <w:sz w:val="23"/>
    </w:rPr>
  </w:style>
  <w:style w:type="paragraph" w:customStyle="1" w:styleId="Bullet1">
    <w:name w:val="Bullet1"/>
    <w:basedOn w:val="Normal"/>
    <w:rsid w:val="00890CDD"/>
    <w:pPr>
      <w:numPr>
        <w:numId w:val="18"/>
      </w:numPr>
      <w:tabs>
        <w:tab w:val="clear" w:pos="1247"/>
        <w:tab w:val="clear" w:pos="1814"/>
        <w:tab w:val="clear" w:pos="2381"/>
        <w:tab w:val="clear" w:pos="2948"/>
        <w:tab w:val="clear" w:pos="3515"/>
      </w:tabs>
    </w:pPr>
    <w:rPr>
      <w:rFonts w:eastAsia="SimSun"/>
      <w:sz w:val="24"/>
      <w:szCs w:val="24"/>
      <w:lang w:val="en-US"/>
    </w:rPr>
  </w:style>
  <w:style w:type="paragraph" w:styleId="ListBullet2">
    <w:name w:val="List Bullet 2"/>
    <w:basedOn w:val="Normal"/>
    <w:autoRedefine/>
    <w:rsid w:val="00890CDD"/>
    <w:pPr>
      <w:widowControl w:val="0"/>
      <w:numPr>
        <w:numId w:val="2"/>
      </w:numPr>
      <w:tabs>
        <w:tab w:val="clear" w:pos="1247"/>
        <w:tab w:val="clear" w:pos="1814"/>
        <w:tab w:val="clear" w:pos="2160"/>
        <w:tab w:val="clear" w:pos="2381"/>
        <w:tab w:val="clear" w:pos="2948"/>
        <w:tab w:val="clear" w:pos="3515"/>
        <w:tab w:val="num" w:pos="1440"/>
      </w:tabs>
      <w:autoSpaceDE w:val="0"/>
      <w:autoSpaceDN w:val="0"/>
      <w:adjustRightInd w:val="0"/>
      <w:spacing w:after="60"/>
      <w:ind w:left="1440"/>
    </w:pPr>
    <w:rPr>
      <w:rFonts w:eastAsia="SimSun"/>
      <w:color w:val="000000"/>
      <w:sz w:val="22"/>
      <w:lang w:val="en-CA"/>
    </w:rPr>
  </w:style>
  <w:style w:type="paragraph" w:styleId="TOC1">
    <w:name w:val="toc 1"/>
    <w:basedOn w:val="Normal"/>
    <w:next w:val="Normal"/>
    <w:autoRedefine/>
    <w:uiPriority w:val="39"/>
    <w:qFormat/>
    <w:rsid w:val="009452BC"/>
    <w:pPr>
      <w:tabs>
        <w:tab w:val="clear" w:pos="1247"/>
        <w:tab w:val="clear" w:pos="1814"/>
        <w:tab w:val="clear" w:pos="2381"/>
        <w:tab w:val="clear" w:pos="2948"/>
        <w:tab w:val="clear" w:pos="3515"/>
        <w:tab w:val="left" w:pos="993"/>
        <w:tab w:val="right" w:leader="dot" w:pos="9487"/>
      </w:tabs>
      <w:spacing w:before="120"/>
      <w:ind w:left="993" w:hanging="426"/>
    </w:pPr>
    <w:rPr>
      <w:b/>
      <w:bCs/>
      <w:noProof/>
      <w:szCs w:val="24"/>
    </w:rPr>
  </w:style>
  <w:style w:type="paragraph" w:styleId="TOC2">
    <w:name w:val="toc 2"/>
    <w:basedOn w:val="Normal"/>
    <w:next w:val="Normal"/>
    <w:autoRedefine/>
    <w:uiPriority w:val="39"/>
    <w:qFormat/>
    <w:rsid w:val="00890CDD"/>
    <w:pPr>
      <w:tabs>
        <w:tab w:val="clear" w:pos="1247"/>
        <w:tab w:val="clear" w:pos="1814"/>
        <w:tab w:val="clear" w:pos="2381"/>
        <w:tab w:val="clear" w:pos="2948"/>
        <w:tab w:val="clear" w:pos="3515"/>
        <w:tab w:val="right" w:leader="dot" w:pos="9487"/>
      </w:tabs>
      <w:spacing w:before="120" w:after="120"/>
      <w:ind w:left="1418" w:hanging="425"/>
    </w:pPr>
    <w:rPr>
      <w:noProof/>
      <w:szCs w:val="24"/>
    </w:rPr>
  </w:style>
  <w:style w:type="paragraph" w:styleId="TOC3">
    <w:name w:val="toc 3"/>
    <w:basedOn w:val="Normal"/>
    <w:next w:val="Normal"/>
    <w:autoRedefine/>
    <w:uiPriority w:val="39"/>
    <w:qFormat/>
    <w:rsid w:val="00890CDD"/>
    <w:pPr>
      <w:tabs>
        <w:tab w:val="clear" w:pos="1247"/>
        <w:tab w:val="clear" w:pos="1814"/>
        <w:tab w:val="clear" w:pos="2381"/>
        <w:tab w:val="clear" w:pos="2948"/>
        <w:tab w:val="clear" w:pos="3515"/>
        <w:tab w:val="left" w:pos="1843"/>
        <w:tab w:val="right" w:leader="dot" w:pos="9487"/>
      </w:tabs>
      <w:ind w:left="1843" w:hanging="425"/>
    </w:pPr>
    <w:rPr>
      <w:noProof/>
      <w:szCs w:val="24"/>
    </w:rPr>
  </w:style>
  <w:style w:type="paragraph" w:styleId="BlockText">
    <w:name w:val="Block Text"/>
    <w:basedOn w:val="Normal"/>
    <w:rsid w:val="00890CDD"/>
    <w:pPr>
      <w:tabs>
        <w:tab w:val="clear" w:pos="1247"/>
        <w:tab w:val="clear" w:pos="1814"/>
        <w:tab w:val="clear" w:pos="2381"/>
        <w:tab w:val="clear" w:pos="2948"/>
        <w:tab w:val="clear" w:pos="3515"/>
      </w:tabs>
      <w:autoSpaceDE w:val="0"/>
      <w:autoSpaceDN w:val="0"/>
      <w:adjustRightInd w:val="0"/>
      <w:ind w:left="360" w:right="1442"/>
    </w:pPr>
    <w:rPr>
      <w:rFonts w:eastAsia="SimSun"/>
      <w:i/>
      <w:iCs/>
      <w:sz w:val="22"/>
      <w:szCs w:val="24"/>
      <w:lang w:val="en-US"/>
    </w:rPr>
  </w:style>
  <w:style w:type="paragraph" w:styleId="Caption">
    <w:name w:val="caption"/>
    <w:basedOn w:val="Normal"/>
    <w:next w:val="Normal"/>
    <w:qFormat/>
    <w:rsid w:val="00890CDD"/>
    <w:pPr>
      <w:tabs>
        <w:tab w:val="clear" w:pos="1247"/>
        <w:tab w:val="clear" w:pos="1814"/>
        <w:tab w:val="clear" w:pos="2381"/>
        <w:tab w:val="clear" w:pos="2948"/>
        <w:tab w:val="clear" w:pos="3515"/>
      </w:tabs>
      <w:spacing w:after="120"/>
    </w:pPr>
    <w:rPr>
      <w:rFonts w:ascii="Arial Narrow" w:eastAsia="SimSun" w:hAnsi="Arial Narrow" w:cs="Arial"/>
      <w:b/>
      <w:bCs/>
      <w:sz w:val="18"/>
      <w:szCs w:val="24"/>
      <w:lang w:val="en-CA"/>
    </w:rPr>
  </w:style>
  <w:style w:type="character" w:styleId="Hyperlink">
    <w:name w:val="Hyperlink"/>
    <w:rsid w:val="00890CDD"/>
    <w:rPr>
      <w:color w:val="0000FF"/>
      <w:u w:val="single"/>
    </w:rPr>
  </w:style>
  <w:style w:type="character" w:styleId="PageNumber">
    <w:name w:val="page number"/>
    <w:basedOn w:val="DefaultParagraphFont"/>
    <w:rsid w:val="00890CDD"/>
  </w:style>
  <w:style w:type="paragraph" w:styleId="DocumentMap">
    <w:name w:val="Document Map"/>
    <w:basedOn w:val="Normal"/>
    <w:link w:val="DocumentMapChar"/>
    <w:semiHidden/>
    <w:rsid w:val="009452BC"/>
    <w:pPr>
      <w:shd w:val="clear" w:color="auto" w:fill="000080"/>
      <w:tabs>
        <w:tab w:val="clear" w:pos="1247"/>
        <w:tab w:val="clear" w:pos="1814"/>
        <w:tab w:val="clear" w:pos="2381"/>
        <w:tab w:val="clear" w:pos="2948"/>
        <w:tab w:val="clear" w:pos="3515"/>
      </w:tabs>
      <w:spacing w:after="120"/>
    </w:pPr>
    <w:rPr>
      <w:rFonts w:ascii="Tahoma" w:eastAsia="SimSun" w:hAnsi="Tahoma"/>
      <w:color w:val="000000"/>
      <w:szCs w:val="24"/>
      <w:lang w:val="en-CA"/>
    </w:rPr>
  </w:style>
  <w:style w:type="character" w:customStyle="1" w:styleId="DocumentMapChar">
    <w:name w:val="Document Map Char"/>
    <w:link w:val="DocumentMap"/>
    <w:semiHidden/>
    <w:rsid w:val="00890CDD"/>
    <w:rPr>
      <w:rFonts w:ascii="Tahoma" w:eastAsia="SimSun" w:hAnsi="Tahoma"/>
      <w:color w:val="000000"/>
      <w:szCs w:val="24"/>
      <w:shd w:val="clear" w:color="auto" w:fill="000080"/>
      <w:lang w:val="en-CA"/>
    </w:rPr>
  </w:style>
  <w:style w:type="paragraph" w:styleId="NormalWeb">
    <w:name w:val="Normal (Web)"/>
    <w:basedOn w:val="Normal"/>
    <w:uiPriority w:val="99"/>
    <w:rsid w:val="00890CDD"/>
    <w:pPr>
      <w:shd w:val="clear" w:color="auto" w:fill="FFFFFF"/>
      <w:tabs>
        <w:tab w:val="clear" w:pos="1247"/>
        <w:tab w:val="clear" w:pos="1814"/>
        <w:tab w:val="clear" w:pos="2381"/>
        <w:tab w:val="clear" w:pos="2948"/>
        <w:tab w:val="clear" w:pos="3515"/>
      </w:tabs>
      <w:spacing w:before="150" w:after="3"/>
      <w:ind w:left="75" w:right="75"/>
    </w:pPr>
    <w:rPr>
      <w:rFonts w:ascii="Arial" w:eastAsia="SimSun" w:hAnsi="Arial" w:cs="Arial"/>
      <w:color w:val="000000"/>
      <w:lang w:val="en-CA" w:eastAsia="en-CA"/>
    </w:rPr>
  </w:style>
  <w:style w:type="character" w:styleId="Strong">
    <w:name w:val="Strong"/>
    <w:qFormat/>
    <w:rsid w:val="00890CDD"/>
    <w:rPr>
      <w:b/>
      <w:bCs/>
    </w:rPr>
  </w:style>
  <w:style w:type="paragraph" w:styleId="BodyText2">
    <w:name w:val="Body Text 2"/>
    <w:basedOn w:val="Normal"/>
    <w:link w:val="BodyText2Char"/>
    <w:rsid w:val="009452BC"/>
    <w:pPr>
      <w:tabs>
        <w:tab w:val="clear" w:pos="1247"/>
        <w:tab w:val="clear" w:pos="1814"/>
        <w:tab w:val="clear" w:pos="2381"/>
        <w:tab w:val="clear" w:pos="2948"/>
        <w:tab w:val="clear" w:pos="3515"/>
      </w:tabs>
      <w:spacing w:after="120" w:line="480" w:lineRule="auto"/>
    </w:pPr>
    <w:rPr>
      <w:rFonts w:eastAsia="SimSun"/>
      <w:color w:val="000000"/>
      <w:szCs w:val="24"/>
      <w:lang w:val="en-CA"/>
    </w:rPr>
  </w:style>
  <w:style w:type="character" w:customStyle="1" w:styleId="BodyText2Char">
    <w:name w:val="Body Text 2 Char"/>
    <w:link w:val="BodyText2"/>
    <w:rsid w:val="00890CDD"/>
    <w:rPr>
      <w:rFonts w:ascii="Times New Roman" w:eastAsia="SimSun" w:hAnsi="Times New Roman"/>
      <w:color w:val="000000"/>
      <w:szCs w:val="24"/>
      <w:lang w:val="en-CA"/>
    </w:rPr>
  </w:style>
  <w:style w:type="paragraph" w:customStyle="1" w:styleId="NormalUK">
    <w:name w:val="Normal (UK)"/>
    <w:rsid w:val="00890CDD"/>
    <w:pPr>
      <w:overflowPunct w:val="0"/>
      <w:autoSpaceDE w:val="0"/>
      <w:autoSpaceDN w:val="0"/>
      <w:adjustRightInd w:val="0"/>
      <w:spacing w:before="120" w:after="120" w:line="264" w:lineRule="auto"/>
      <w:jc w:val="both"/>
      <w:textAlignment w:val="baseline"/>
    </w:pPr>
    <w:rPr>
      <w:rFonts w:ascii="Arial" w:eastAsia="SimSun" w:hAnsi="Arial"/>
      <w:noProof/>
      <w:sz w:val="23"/>
      <w:lang w:val="en-CA" w:eastAsia="en-US"/>
    </w:rPr>
  </w:style>
  <w:style w:type="paragraph" w:customStyle="1" w:styleId="Bullet10">
    <w:name w:val="Bullet 1"/>
    <w:basedOn w:val="Normal"/>
    <w:rsid w:val="00890CDD"/>
    <w:pPr>
      <w:widowControl w:val="0"/>
      <w:numPr>
        <w:numId w:val="9"/>
      </w:numPr>
      <w:tabs>
        <w:tab w:val="clear" w:pos="1247"/>
        <w:tab w:val="clear" w:pos="1814"/>
        <w:tab w:val="clear" w:pos="2381"/>
        <w:tab w:val="clear" w:pos="2948"/>
        <w:tab w:val="clear" w:pos="3515"/>
      </w:tabs>
      <w:spacing w:after="120"/>
    </w:pPr>
    <w:rPr>
      <w:rFonts w:eastAsia="SimSun"/>
      <w:sz w:val="22"/>
      <w:szCs w:val="24"/>
      <w:lang w:val="en-CA"/>
    </w:rPr>
  </w:style>
  <w:style w:type="character" w:styleId="CommentReference">
    <w:name w:val="annotation reference"/>
    <w:uiPriority w:val="99"/>
    <w:semiHidden/>
    <w:rsid w:val="00890CDD"/>
    <w:rPr>
      <w:sz w:val="16"/>
      <w:szCs w:val="16"/>
    </w:rPr>
  </w:style>
  <w:style w:type="paragraph" w:styleId="CommentSubject">
    <w:name w:val="annotation subject"/>
    <w:basedOn w:val="CommentText"/>
    <w:next w:val="CommentText"/>
    <w:link w:val="CommentSubjectChar"/>
    <w:semiHidden/>
    <w:rsid w:val="00890CDD"/>
    <w:pPr>
      <w:tabs>
        <w:tab w:val="clear" w:pos="1247"/>
        <w:tab w:val="clear" w:pos="1814"/>
        <w:tab w:val="clear" w:pos="2381"/>
        <w:tab w:val="clear" w:pos="2948"/>
        <w:tab w:val="clear" w:pos="3515"/>
      </w:tabs>
      <w:spacing w:after="120"/>
    </w:pPr>
    <w:rPr>
      <w:rFonts w:eastAsia="SimSun"/>
      <w:b/>
      <w:bCs/>
      <w:color w:val="000000"/>
      <w:lang w:val="en-CA"/>
    </w:rPr>
  </w:style>
  <w:style w:type="character" w:customStyle="1" w:styleId="CommentSubjectChar">
    <w:name w:val="Comment Subject Char"/>
    <w:link w:val="CommentSubject"/>
    <w:semiHidden/>
    <w:rsid w:val="00890CDD"/>
    <w:rPr>
      <w:rFonts w:ascii="Times New Roman" w:eastAsia="SimSun" w:hAnsi="Times New Roman" w:cs="Times New Roman"/>
      <w:b/>
      <w:bCs/>
      <w:color w:val="000000"/>
      <w:sz w:val="20"/>
      <w:szCs w:val="20"/>
      <w:lang w:val="en-CA"/>
    </w:rPr>
  </w:style>
  <w:style w:type="character" w:styleId="FollowedHyperlink">
    <w:name w:val="FollowedHyperlink"/>
    <w:rsid w:val="00890CDD"/>
    <w:rPr>
      <w:color w:val="800080"/>
      <w:u w:val="single"/>
    </w:rPr>
  </w:style>
  <w:style w:type="paragraph" w:styleId="BodyText">
    <w:name w:val="Body Text"/>
    <w:basedOn w:val="Normal"/>
    <w:link w:val="BodyTextChar"/>
    <w:rsid w:val="009452BC"/>
    <w:pPr>
      <w:tabs>
        <w:tab w:val="clear" w:pos="1247"/>
        <w:tab w:val="clear" w:pos="1814"/>
        <w:tab w:val="clear" w:pos="2381"/>
        <w:tab w:val="clear" w:pos="2948"/>
        <w:tab w:val="clear" w:pos="3515"/>
      </w:tabs>
      <w:spacing w:after="120"/>
    </w:pPr>
    <w:rPr>
      <w:rFonts w:eastAsia="SimSun"/>
      <w:color w:val="000000"/>
      <w:szCs w:val="24"/>
      <w:lang w:val="en-CA"/>
    </w:rPr>
  </w:style>
  <w:style w:type="character" w:customStyle="1" w:styleId="BodyTextChar">
    <w:name w:val="Body Text Char"/>
    <w:link w:val="BodyText"/>
    <w:rsid w:val="00890CDD"/>
    <w:rPr>
      <w:rFonts w:ascii="Times New Roman" w:eastAsia="SimSun" w:hAnsi="Times New Roman"/>
      <w:color w:val="000000"/>
      <w:szCs w:val="24"/>
      <w:lang w:val="en-CA"/>
    </w:rPr>
  </w:style>
  <w:style w:type="paragraph" w:customStyle="1" w:styleId="Text15">
    <w:name w:val="Text15"/>
    <w:basedOn w:val="Normal"/>
    <w:rsid w:val="00890CDD"/>
    <w:pPr>
      <w:tabs>
        <w:tab w:val="clear" w:pos="1247"/>
        <w:tab w:val="clear" w:pos="1814"/>
        <w:tab w:val="clear" w:pos="2381"/>
        <w:tab w:val="clear" w:pos="2948"/>
        <w:tab w:val="clear" w:pos="3515"/>
      </w:tabs>
      <w:spacing w:line="360" w:lineRule="auto"/>
    </w:pPr>
    <w:rPr>
      <w:rFonts w:ascii="Tahoma" w:eastAsia="SimSun" w:hAnsi="Tahoma"/>
      <w:sz w:val="24"/>
      <w:lang w:val="de-DE" w:eastAsia="de-DE"/>
    </w:rPr>
  </w:style>
  <w:style w:type="paragraph" w:styleId="BodyText3">
    <w:name w:val="Body Text 3"/>
    <w:basedOn w:val="Normal"/>
    <w:link w:val="BodyText3Char"/>
    <w:rsid w:val="00890CDD"/>
    <w:pPr>
      <w:tabs>
        <w:tab w:val="clear" w:pos="1247"/>
        <w:tab w:val="clear" w:pos="1814"/>
        <w:tab w:val="clear" w:pos="2381"/>
        <w:tab w:val="clear" w:pos="2948"/>
        <w:tab w:val="clear" w:pos="3515"/>
      </w:tabs>
      <w:spacing w:after="120"/>
      <w:jc w:val="center"/>
    </w:pPr>
    <w:rPr>
      <w:rFonts w:eastAsia="SimSun"/>
      <w:b/>
      <w:sz w:val="28"/>
      <w:szCs w:val="24"/>
      <w:lang w:val="en-CA"/>
    </w:rPr>
  </w:style>
  <w:style w:type="character" w:customStyle="1" w:styleId="BodyText3Char">
    <w:name w:val="Body Text 3 Char"/>
    <w:link w:val="BodyText3"/>
    <w:rsid w:val="00890CDD"/>
    <w:rPr>
      <w:rFonts w:ascii="Times New Roman" w:eastAsia="SimSun" w:hAnsi="Times New Roman" w:cs="Times New Roman"/>
      <w:b/>
      <w:sz w:val="28"/>
      <w:szCs w:val="24"/>
      <w:lang w:val="en-CA"/>
    </w:rPr>
  </w:style>
  <w:style w:type="paragraph" w:styleId="TOC4">
    <w:name w:val="toc 4"/>
    <w:basedOn w:val="Normal"/>
    <w:next w:val="Normal"/>
    <w:autoRedefine/>
    <w:uiPriority w:val="39"/>
    <w:rsid w:val="00890CDD"/>
    <w:pPr>
      <w:tabs>
        <w:tab w:val="clear" w:pos="1247"/>
        <w:tab w:val="clear" w:pos="1814"/>
        <w:tab w:val="clear" w:pos="2381"/>
        <w:tab w:val="clear" w:pos="2948"/>
        <w:tab w:val="clear" w:pos="3515"/>
        <w:tab w:val="left" w:pos="1701"/>
        <w:tab w:val="right" w:leader="dot" w:pos="9487"/>
      </w:tabs>
      <w:ind w:left="2268" w:hanging="425"/>
    </w:pPr>
    <w:rPr>
      <w:noProof/>
      <w:szCs w:val="24"/>
    </w:rPr>
  </w:style>
  <w:style w:type="paragraph" w:styleId="TOC5">
    <w:name w:val="toc 5"/>
    <w:basedOn w:val="Normal"/>
    <w:next w:val="Normal"/>
    <w:autoRedefine/>
    <w:semiHidden/>
    <w:rsid w:val="00890CDD"/>
    <w:pPr>
      <w:tabs>
        <w:tab w:val="clear" w:pos="1247"/>
        <w:tab w:val="clear" w:pos="1814"/>
        <w:tab w:val="clear" w:pos="2381"/>
        <w:tab w:val="clear" w:pos="2948"/>
        <w:tab w:val="clear" w:pos="3515"/>
      </w:tabs>
      <w:ind w:left="800"/>
    </w:pPr>
    <w:rPr>
      <w:rFonts w:ascii="Calibri" w:hAnsi="Calibri"/>
      <w:szCs w:val="24"/>
    </w:rPr>
  </w:style>
  <w:style w:type="paragraph" w:styleId="TOC6">
    <w:name w:val="toc 6"/>
    <w:basedOn w:val="Normal"/>
    <w:next w:val="Normal"/>
    <w:autoRedefine/>
    <w:semiHidden/>
    <w:rsid w:val="00890CDD"/>
    <w:pPr>
      <w:tabs>
        <w:tab w:val="clear" w:pos="1247"/>
        <w:tab w:val="clear" w:pos="1814"/>
        <w:tab w:val="clear" w:pos="2381"/>
        <w:tab w:val="clear" w:pos="2948"/>
        <w:tab w:val="clear" w:pos="3515"/>
      </w:tabs>
      <w:ind w:left="1000"/>
    </w:pPr>
    <w:rPr>
      <w:rFonts w:ascii="Calibri" w:hAnsi="Calibri"/>
      <w:szCs w:val="24"/>
    </w:rPr>
  </w:style>
  <w:style w:type="paragraph" w:styleId="TOC7">
    <w:name w:val="toc 7"/>
    <w:basedOn w:val="Normal"/>
    <w:next w:val="Normal"/>
    <w:autoRedefine/>
    <w:semiHidden/>
    <w:rsid w:val="00890CDD"/>
    <w:pPr>
      <w:tabs>
        <w:tab w:val="clear" w:pos="1247"/>
        <w:tab w:val="clear" w:pos="1814"/>
        <w:tab w:val="clear" w:pos="2381"/>
        <w:tab w:val="clear" w:pos="2948"/>
        <w:tab w:val="clear" w:pos="3515"/>
      </w:tabs>
      <w:ind w:left="1200"/>
    </w:pPr>
    <w:rPr>
      <w:rFonts w:ascii="Calibri" w:hAnsi="Calibri"/>
      <w:szCs w:val="24"/>
    </w:rPr>
  </w:style>
  <w:style w:type="paragraph" w:styleId="TOC8">
    <w:name w:val="toc 8"/>
    <w:basedOn w:val="Normal"/>
    <w:next w:val="Normal"/>
    <w:autoRedefine/>
    <w:semiHidden/>
    <w:rsid w:val="00890CDD"/>
    <w:pPr>
      <w:tabs>
        <w:tab w:val="clear" w:pos="1247"/>
        <w:tab w:val="clear" w:pos="1814"/>
        <w:tab w:val="clear" w:pos="2381"/>
        <w:tab w:val="clear" w:pos="2948"/>
        <w:tab w:val="clear" w:pos="3515"/>
      </w:tabs>
      <w:ind w:left="1400"/>
    </w:pPr>
    <w:rPr>
      <w:rFonts w:ascii="Calibri" w:hAnsi="Calibri"/>
      <w:szCs w:val="24"/>
    </w:rPr>
  </w:style>
  <w:style w:type="paragraph" w:styleId="TOC9">
    <w:name w:val="toc 9"/>
    <w:basedOn w:val="Normal"/>
    <w:next w:val="Normal"/>
    <w:autoRedefine/>
    <w:semiHidden/>
    <w:rsid w:val="00890CDD"/>
    <w:pPr>
      <w:tabs>
        <w:tab w:val="clear" w:pos="1247"/>
        <w:tab w:val="clear" w:pos="1814"/>
        <w:tab w:val="clear" w:pos="2381"/>
        <w:tab w:val="clear" w:pos="2948"/>
        <w:tab w:val="clear" w:pos="3515"/>
      </w:tabs>
      <w:ind w:left="1600"/>
    </w:pPr>
    <w:rPr>
      <w:rFonts w:ascii="Calibri" w:hAnsi="Calibri"/>
      <w:szCs w:val="24"/>
    </w:rPr>
  </w:style>
  <w:style w:type="paragraph" w:customStyle="1" w:styleId="Level1">
    <w:name w:val="Level1"/>
    <w:basedOn w:val="Normal"/>
    <w:autoRedefine/>
    <w:rsid w:val="00890CDD"/>
    <w:pPr>
      <w:numPr>
        <w:numId w:val="12"/>
      </w:numPr>
      <w:tabs>
        <w:tab w:val="clear" w:pos="360"/>
        <w:tab w:val="clear" w:pos="1247"/>
        <w:tab w:val="clear" w:pos="1814"/>
        <w:tab w:val="clear" w:pos="2381"/>
        <w:tab w:val="clear" w:pos="2948"/>
        <w:tab w:val="clear" w:pos="3515"/>
        <w:tab w:val="left" w:pos="1157"/>
      </w:tabs>
      <w:spacing w:before="120" w:after="240"/>
      <w:ind w:left="1200"/>
    </w:pPr>
    <w:rPr>
      <w:rFonts w:ascii="Times New (W1)" w:eastAsia="SimSun" w:hAnsi="Times New (W1)"/>
    </w:rPr>
  </w:style>
  <w:style w:type="paragraph" w:customStyle="1" w:styleId="JD">
    <w:name w:val="JD"/>
    <w:basedOn w:val="Normal"/>
    <w:rsid w:val="00890CDD"/>
    <w:pPr>
      <w:tabs>
        <w:tab w:val="clear" w:pos="1247"/>
        <w:tab w:val="clear" w:pos="1814"/>
        <w:tab w:val="clear" w:pos="2381"/>
        <w:tab w:val="clear" w:pos="2948"/>
        <w:tab w:val="clear" w:pos="3515"/>
      </w:tabs>
    </w:pPr>
    <w:rPr>
      <w:rFonts w:eastAsia="SimSun"/>
      <w:sz w:val="24"/>
    </w:rPr>
  </w:style>
  <w:style w:type="paragraph" w:customStyle="1" w:styleId="Anxhead">
    <w:name w:val="Anx head"/>
    <w:basedOn w:val="Normal"/>
    <w:rsid w:val="00890CDD"/>
    <w:pPr>
      <w:tabs>
        <w:tab w:val="clear" w:pos="1247"/>
        <w:tab w:val="clear" w:pos="1814"/>
        <w:tab w:val="clear" w:pos="2381"/>
        <w:tab w:val="clear" w:pos="2948"/>
        <w:tab w:val="clear" w:pos="3515"/>
      </w:tabs>
    </w:pPr>
    <w:rPr>
      <w:rFonts w:eastAsia="SimSun"/>
      <w:b/>
      <w:bCs/>
      <w:sz w:val="28"/>
      <w:szCs w:val="22"/>
    </w:rPr>
  </w:style>
  <w:style w:type="paragraph" w:customStyle="1" w:styleId="Anxsubhead">
    <w:name w:val="Anx subhead"/>
    <w:basedOn w:val="Normal"/>
    <w:rsid w:val="00890CDD"/>
    <w:pPr>
      <w:tabs>
        <w:tab w:val="clear" w:pos="1814"/>
        <w:tab w:val="clear" w:pos="2381"/>
        <w:tab w:val="clear" w:pos="2948"/>
        <w:tab w:val="clear" w:pos="3515"/>
      </w:tabs>
      <w:ind w:left="1247"/>
    </w:pPr>
    <w:rPr>
      <w:rFonts w:eastAsia="SimSun"/>
      <w:b/>
      <w:bCs/>
      <w:sz w:val="24"/>
      <w:szCs w:val="24"/>
    </w:rPr>
  </w:style>
  <w:style w:type="paragraph" w:customStyle="1" w:styleId="Anxtitle">
    <w:name w:val="Anx title"/>
    <w:basedOn w:val="Normal"/>
    <w:rsid w:val="00890CDD"/>
    <w:pPr>
      <w:tabs>
        <w:tab w:val="clear" w:pos="1247"/>
        <w:tab w:val="clear" w:pos="1814"/>
        <w:tab w:val="clear" w:pos="2381"/>
        <w:tab w:val="clear" w:pos="2948"/>
        <w:tab w:val="clear" w:pos="3515"/>
      </w:tabs>
      <w:ind w:left="1247"/>
    </w:pPr>
    <w:rPr>
      <w:rFonts w:eastAsia="SimSun"/>
      <w:b/>
      <w:bCs/>
      <w:sz w:val="28"/>
      <w:szCs w:val="26"/>
    </w:rPr>
  </w:style>
  <w:style w:type="paragraph" w:customStyle="1" w:styleId="CH1">
    <w:name w:val="CH1"/>
    <w:basedOn w:val="Heading2"/>
    <w:autoRedefine/>
    <w:rsid w:val="00890CDD"/>
    <w:pPr>
      <w:keepNext w:val="0"/>
      <w:widowControl/>
      <w:numPr>
        <w:numId w:val="13"/>
      </w:numPr>
      <w:tabs>
        <w:tab w:val="left" w:pos="1134"/>
        <w:tab w:val="left" w:pos="1871"/>
        <w:tab w:val="left" w:pos="2495"/>
      </w:tabs>
      <w:autoSpaceDE/>
      <w:autoSpaceDN/>
      <w:adjustRightInd/>
      <w:spacing w:before="240" w:after="120"/>
      <w:ind w:left="1191" w:right="567" w:hanging="567"/>
    </w:pPr>
    <w:rPr>
      <w:kern w:val="0"/>
      <w:sz w:val="28"/>
      <w:szCs w:val="28"/>
      <w:lang w:val="en-GB"/>
    </w:rPr>
  </w:style>
  <w:style w:type="paragraph" w:customStyle="1" w:styleId="CH3">
    <w:name w:val="CH3"/>
    <w:basedOn w:val="Normal"/>
    <w:autoRedefine/>
    <w:rsid w:val="00890CDD"/>
    <w:pPr>
      <w:tabs>
        <w:tab w:val="clear" w:pos="1247"/>
        <w:tab w:val="clear" w:pos="1814"/>
        <w:tab w:val="clear" w:pos="2381"/>
        <w:tab w:val="clear" w:pos="2948"/>
        <w:tab w:val="clear" w:pos="3515"/>
      </w:tabs>
      <w:suppressAutoHyphens/>
      <w:spacing w:before="240" w:after="120"/>
      <w:ind w:left="1134" w:hanging="567"/>
    </w:pPr>
    <w:rPr>
      <w:rFonts w:eastAsia="SimSun"/>
      <w:b/>
      <w:bCs/>
    </w:rPr>
  </w:style>
  <w:style w:type="paragraph" w:customStyle="1" w:styleId="CH4">
    <w:name w:val="CH4"/>
    <w:basedOn w:val="CH3"/>
    <w:autoRedefine/>
    <w:rsid w:val="00890CDD"/>
    <w:pPr>
      <w:suppressAutoHyphens w:val="0"/>
      <w:ind w:left="851" w:hanging="142"/>
    </w:pPr>
    <w:rPr>
      <w:iCs/>
    </w:rPr>
  </w:style>
  <w:style w:type="paragraph" w:customStyle="1" w:styleId="Paralevel1">
    <w:name w:val="Para level1"/>
    <w:basedOn w:val="Normal"/>
    <w:autoRedefine/>
    <w:rsid w:val="009452BC"/>
    <w:pPr>
      <w:numPr>
        <w:numId w:val="49"/>
      </w:numPr>
      <w:tabs>
        <w:tab w:val="clear" w:pos="1247"/>
        <w:tab w:val="clear" w:pos="1814"/>
        <w:tab w:val="clear" w:pos="2381"/>
        <w:tab w:val="clear" w:pos="2948"/>
        <w:tab w:val="clear" w:pos="3515"/>
        <w:tab w:val="left" w:pos="1843"/>
      </w:tabs>
      <w:suppressAutoHyphens/>
      <w:spacing w:after="120"/>
    </w:pPr>
    <w:rPr>
      <w:rFonts w:eastAsia="SimSun"/>
      <w:lang w:val="en-US"/>
    </w:rPr>
  </w:style>
  <w:style w:type="character" w:customStyle="1" w:styleId="Paralevel1Char">
    <w:name w:val="Para level1 Char"/>
    <w:rsid w:val="00890CDD"/>
    <w:rPr>
      <w:lang w:val="en-GB" w:eastAsia="en-US" w:bidi="ar-SA"/>
    </w:rPr>
  </w:style>
  <w:style w:type="paragraph" w:customStyle="1" w:styleId="Paralevel2">
    <w:name w:val="Para level2"/>
    <w:basedOn w:val="Paralevel1"/>
    <w:autoRedefine/>
    <w:rsid w:val="009452BC"/>
    <w:pPr>
      <w:ind w:left="1843"/>
    </w:pPr>
  </w:style>
  <w:style w:type="character" w:customStyle="1" w:styleId="Paralevel2Char">
    <w:name w:val="Para level2 Char"/>
    <w:rsid w:val="00890CDD"/>
    <w:rPr>
      <w:lang w:val="en-GB" w:eastAsia="en-US" w:bidi="ar-SA"/>
    </w:rPr>
  </w:style>
  <w:style w:type="paragraph" w:customStyle="1" w:styleId="Paralevel3">
    <w:name w:val="Para level3"/>
    <w:basedOn w:val="Paralevel2"/>
    <w:rsid w:val="009452BC"/>
    <w:pPr>
      <w:numPr>
        <w:numId w:val="15"/>
      </w:numPr>
      <w:tabs>
        <w:tab w:val="clear" w:pos="2892"/>
        <w:tab w:val="num" w:pos="360"/>
      </w:tabs>
      <w:ind w:left="0" w:firstLine="0"/>
    </w:pPr>
  </w:style>
  <w:style w:type="paragraph" w:customStyle="1" w:styleId="Subtitle">
    <w:name w:val="Sub title"/>
    <w:basedOn w:val="Heading2"/>
    <w:rsid w:val="00890CDD"/>
    <w:pPr>
      <w:widowControl/>
      <w:autoSpaceDE/>
      <w:autoSpaceDN/>
      <w:adjustRightInd/>
      <w:spacing w:after="0"/>
      <w:ind w:left="1247" w:firstLine="0"/>
    </w:pPr>
    <w:rPr>
      <w:kern w:val="0"/>
      <w:lang w:val="en-GB"/>
    </w:rPr>
  </w:style>
  <w:style w:type="paragraph" w:styleId="Title">
    <w:name w:val="Title"/>
    <w:basedOn w:val="Normal"/>
    <w:link w:val="TitleChar"/>
    <w:autoRedefine/>
    <w:qFormat/>
    <w:rsid w:val="00890CDD"/>
    <w:pPr>
      <w:tabs>
        <w:tab w:val="clear" w:pos="1247"/>
        <w:tab w:val="clear" w:pos="1814"/>
        <w:tab w:val="clear" w:pos="2381"/>
        <w:tab w:val="clear" w:pos="2948"/>
        <w:tab w:val="clear" w:pos="3515"/>
      </w:tabs>
      <w:spacing w:before="360" w:after="240"/>
      <w:ind w:left="1247" w:right="567"/>
      <w:outlineLvl w:val="0"/>
    </w:pPr>
    <w:rPr>
      <w:rFonts w:eastAsia="SimSun"/>
      <w:b/>
      <w:bCs/>
      <w:kern w:val="28"/>
      <w:sz w:val="28"/>
      <w:szCs w:val="28"/>
    </w:rPr>
  </w:style>
  <w:style w:type="character" w:customStyle="1" w:styleId="TitleChar">
    <w:name w:val="Title Char"/>
    <w:link w:val="Title"/>
    <w:rsid w:val="00890CDD"/>
    <w:rPr>
      <w:rFonts w:ascii="Times New Roman" w:eastAsia="SimSun" w:hAnsi="Times New Roman" w:cs="Arial"/>
      <w:b/>
      <w:bCs/>
      <w:kern w:val="28"/>
      <w:sz w:val="28"/>
      <w:szCs w:val="28"/>
      <w:lang w:val="en-GB"/>
    </w:rPr>
  </w:style>
  <w:style w:type="paragraph" w:customStyle="1" w:styleId="paralevel10">
    <w:name w:val="para level1"/>
    <w:basedOn w:val="Normal"/>
    <w:rsid w:val="00890CDD"/>
    <w:pPr>
      <w:tabs>
        <w:tab w:val="clear" w:pos="1247"/>
        <w:tab w:val="clear" w:pos="1814"/>
        <w:tab w:val="clear" w:pos="2381"/>
        <w:tab w:val="clear" w:pos="2948"/>
        <w:tab w:val="clear" w:pos="3515"/>
      </w:tabs>
      <w:suppressAutoHyphens/>
      <w:spacing w:after="120"/>
      <w:ind w:left="1247"/>
    </w:pPr>
    <w:rPr>
      <w:rFonts w:eastAsia="SimSun"/>
      <w:lang w:val="en-US"/>
    </w:rPr>
  </w:style>
  <w:style w:type="paragraph" w:customStyle="1" w:styleId="paralevel30">
    <w:name w:val="para level3"/>
    <w:basedOn w:val="Normal"/>
    <w:rsid w:val="00890CDD"/>
    <w:pPr>
      <w:widowControl w:val="0"/>
      <w:tabs>
        <w:tab w:val="clear" w:pos="1247"/>
        <w:tab w:val="clear" w:pos="1814"/>
        <w:tab w:val="clear" w:pos="2381"/>
        <w:tab w:val="clear" w:pos="2948"/>
        <w:tab w:val="clear" w:pos="3515"/>
      </w:tabs>
      <w:spacing w:after="120"/>
      <w:ind w:left="3119" w:hanging="624"/>
    </w:pPr>
    <w:rPr>
      <w:lang w:val="en-US"/>
    </w:rPr>
  </w:style>
  <w:style w:type="paragraph" w:customStyle="1" w:styleId="main">
    <w:name w:val="main"/>
    <w:basedOn w:val="Normal"/>
    <w:autoRedefine/>
    <w:rsid w:val="00890CDD"/>
    <w:pPr>
      <w:tabs>
        <w:tab w:val="clear" w:pos="1247"/>
        <w:tab w:val="clear" w:pos="1814"/>
        <w:tab w:val="clear" w:pos="2381"/>
        <w:tab w:val="clear" w:pos="2948"/>
        <w:tab w:val="clear" w:pos="3515"/>
      </w:tabs>
      <w:autoSpaceDE w:val="0"/>
      <w:autoSpaceDN w:val="0"/>
      <w:adjustRightInd w:val="0"/>
      <w:jc w:val="center"/>
    </w:pPr>
    <w:rPr>
      <w:rFonts w:eastAsia="SimSun"/>
      <w:sz w:val="22"/>
    </w:rPr>
  </w:style>
  <w:style w:type="paragraph" w:customStyle="1" w:styleId="Level2">
    <w:name w:val="Level2"/>
    <w:basedOn w:val="Level1"/>
    <w:rsid w:val="00890CDD"/>
    <w:pPr>
      <w:numPr>
        <w:numId w:val="16"/>
      </w:numPr>
      <w:tabs>
        <w:tab w:val="left" w:pos="578"/>
      </w:tabs>
      <w:suppressAutoHyphens/>
      <w:spacing w:before="0" w:line="360" w:lineRule="auto"/>
    </w:pPr>
    <w:rPr>
      <w:rFonts w:ascii="Times New Roman" w:hAnsi="Times New Roman"/>
      <w:sz w:val="22"/>
    </w:rPr>
  </w:style>
  <w:style w:type="paragraph" w:customStyle="1" w:styleId="Normal-num">
    <w:name w:val="Normal-num"/>
    <w:basedOn w:val="Normal"/>
    <w:next w:val="Normal"/>
    <w:rsid w:val="00890CDD"/>
    <w:pPr>
      <w:numPr>
        <w:numId w:val="17"/>
      </w:numPr>
      <w:tabs>
        <w:tab w:val="clear" w:pos="1247"/>
        <w:tab w:val="clear" w:pos="1814"/>
        <w:tab w:val="clear" w:pos="2381"/>
        <w:tab w:val="clear" w:pos="2948"/>
        <w:tab w:val="clear" w:pos="3515"/>
      </w:tabs>
      <w:suppressAutoHyphens/>
    </w:pPr>
    <w:rPr>
      <w:sz w:val="22"/>
      <w:szCs w:val="22"/>
      <w:lang w:eastAsia="zh-CN"/>
    </w:rPr>
  </w:style>
  <w:style w:type="table" w:styleId="TableGrid">
    <w:name w:val="Table Grid"/>
    <w:basedOn w:val="TableNormal"/>
    <w:uiPriority w:val="59"/>
    <w:rsid w:val="00890CDD"/>
    <w:pPr>
      <w:spacing w:after="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90CDD"/>
    <w:rPr>
      <w:i/>
      <w:iCs/>
    </w:rPr>
  </w:style>
  <w:style w:type="character" w:customStyle="1" w:styleId="containertitle4">
    <w:name w:val="containertitle4"/>
    <w:rsid w:val="00890CDD"/>
    <w:rPr>
      <w:rFonts w:ascii="Georgia" w:hAnsi="Georgia" w:hint="default"/>
      <w:b/>
      <w:bCs/>
      <w:color w:val="003399"/>
      <w:sz w:val="30"/>
      <w:szCs w:val="30"/>
    </w:rPr>
  </w:style>
  <w:style w:type="paragraph" w:customStyle="1" w:styleId="Default">
    <w:name w:val="Default"/>
    <w:rsid w:val="00890CDD"/>
    <w:pPr>
      <w:autoSpaceDE w:val="0"/>
      <w:autoSpaceDN w:val="0"/>
      <w:adjustRightInd w:val="0"/>
    </w:pPr>
    <w:rPr>
      <w:rFonts w:ascii="Times New Roman" w:eastAsia="SimSun" w:hAnsi="Times New Roman"/>
      <w:color w:val="000000"/>
      <w:sz w:val="24"/>
      <w:szCs w:val="24"/>
      <w:lang w:eastAsia="en-US"/>
    </w:rPr>
  </w:style>
  <w:style w:type="character" w:styleId="HTMLCite">
    <w:name w:val="HTML Cite"/>
    <w:rsid w:val="00890CDD"/>
    <w:rPr>
      <w:i w:val="0"/>
      <w:iCs w:val="0"/>
      <w:color w:val="006621"/>
    </w:rPr>
  </w:style>
  <w:style w:type="paragraph" w:customStyle="1" w:styleId="CM3">
    <w:name w:val="CM3"/>
    <w:basedOn w:val="Default"/>
    <w:next w:val="Default"/>
    <w:rsid w:val="00890CDD"/>
    <w:pPr>
      <w:spacing w:line="253" w:lineRule="atLeast"/>
    </w:pPr>
    <w:rPr>
      <w:rFonts w:eastAsia="Times New Roman"/>
      <w:color w:val="auto"/>
      <w:lang w:val="en-CA" w:eastAsia="en-CA"/>
    </w:rPr>
  </w:style>
  <w:style w:type="paragraph" w:customStyle="1" w:styleId="NoSpacing1">
    <w:name w:val="No Spacing1"/>
    <w:uiPriority w:val="1"/>
    <w:qFormat/>
    <w:rsid w:val="00890CDD"/>
    <w:rPr>
      <w:rFonts w:ascii="Times New Roman" w:eastAsia="SimSun" w:hAnsi="Times New Roman"/>
      <w:color w:val="000000"/>
      <w:sz w:val="22"/>
      <w:szCs w:val="24"/>
      <w:lang w:val="en-CA" w:eastAsia="en-US"/>
    </w:rPr>
  </w:style>
  <w:style w:type="paragraph" w:customStyle="1" w:styleId="textheader">
    <w:name w:val="textheader"/>
    <w:basedOn w:val="Normal"/>
    <w:rsid w:val="00890CDD"/>
    <w:pPr>
      <w:tabs>
        <w:tab w:val="clear" w:pos="1247"/>
        <w:tab w:val="clear" w:pos="1814"/>
        <w:tab w:val="clear" w:pos="2381"/>
        <w:tab w:val="clear" w:pos="2948"/>
        <w:tab w:val="clear" w:pos="3515"/>
      </w:tabs>
      <w:spacing w:before="100" w:beforeAutospacing="1" w:after="100" w:afterAutospacing="1"/>
    </w:pPr>
    <w:rPr>
      <w:rFonts w:ascii="Georgia" w:hAnsi="Georgia" w:cs="Arial"/>
      <w:b/>
      <w:bCs/>
      <w:color w:val="003399"/>
      <w:sz w:val="18"/>
      <w:szCs w:val="18"/>
      <w:lang w:val="en-US"/>
    </w:rPr>
  </w:style>
  <w:style w:type="paragraph" w:customStyle="1" w:styleId="BBTitle">
    <w:name w:val="BB_Title"/>
    <w:basedOn w:val="Normal-pool"/>
    <w:rsid w:val="00890CDD"/>
    <w:pPr>
      <w:keepNext/>
      <w:keepLines/>
      <w:suppressAutoHyphens/>
      <w:spacing w:before="320" w:after="240"/>
      <w:ind w:left="1247" w:right="567"/>
    </w:pPr>
    <w:rPr>
      <w:b/>
      <w:sz w:val="28"/>
      <w:szCs w:val="28"/>
    </w:rPr>
  </w:style>
  <w:style w:type="paragraph" w:customStyle="1" w:styleId="Normalnumber">
    <w:name w:val="Normal_number"/>
    <w:basedOn w:val="Normal-pool"/>
    <w:link w:val="NormalnumberChar"/>
    <w:rsid w:val="00890CDD"/>
    <w:pPr>
      <w:numPr>
        <w:numId w:val="20"/>
      </w:numPr>
      <w:tabs>
        <w:tab w:val="clear" w:pos="1247"/>
        <w:tab w:val="clear" w:pos="1814"/>
        <w:tab w:val="clear" w:pos="2381"/>
        <w:tab w:val="clear" w:pos="2948"/>
        <w:tab w:val="clear" w:pos="3515"/>
        <w:tab w:val="left" w:pos="624"/>
      </w:tabs>
      <w:spacing w:after="120"/>
    </w:pPr>
    <w:rPr>
      <w:sz w:val="20"/>
      <w:szCs w:val="20"/>
    </w:rPr>
  </w:style>
  <w:style w:type="character" w:customStyle="1" w:styleId="FootnoteTextChar1">
    <w:name w:val="Footnote Text Char1"/>
    <w:aliases w:val="fn Char1,Footnotes Char1,ft Char1,fn cafc Char1,Footnote ak Char1,Footnote Text Char Char1,fn Char Char1,footnote text Char Char,Footnotes Char Char1,Footnote ak Char Char,footnote citation Char,Footnotes Char Char Char,ft Char Char"/>
    <w:uiPriority w:val="99"/>
    <w:rsid w:val="00890CDD"/>
    <w:rPr>
      <w:color w:val="000000"/>
      <w:lang w:val="en-CA"/>
    </w:rPr>
  </w:style>
  <w:style w:type="numbering" w:customStyle="1" w:styleId="Normallist">
    <w:name w:val="Normal_list"/>
    <w:basedOn w:val="NoList"/>
    <w:rsid w:val="00890CDD"/>
    <w:pPr>
      <w:numPr>
        <w:numId w:val="21"/>
      </w:numPr>
    </w:pPr>
  </w:style>
  <w:style w:type="character" w:customStyle="1" w:styleId="NormalnumberChar">
    <w:name w:val="Normal_number Char"/>
    <w:link w:val="Normalnumber"/>
    <w:rsid w:val="00890CDD"/>
    <w:rPr>
      <w:rFonts w:ascii="Times New Roman" w:eastAsia="Times New Roman" w:hAnsi="Times New Roman" w:cs="Times New Roman"/>
      <w:sz w:val="20"/>
      <w:szCs w:val="20"/>
      <w:lang w:val="en-GB"/>
    </w:rPr>
  </w:style>
  <w:style w:type="paragraph" w:styleId="EndnoteText">
    <w:name w:val="endnote text"/>
    <w:basedOn w:val="Normal"/>
    <w:link w:val="EndnoteTextChar"/>
    <w:rsid w:val="00890CDD"/>
    <w:pPr>
      <w:tabs>
        <w:tab w:val="clear" w:pos="1247"/>
        <w:tab w:val="clear" w:pos="1814"/>
        <w:tab w:val="clear" w:pos="2381"/>
        <w:tab w:val="clear" w:pos="2948"/>
        <w:tab w:val="clear" w:pos="3515"/>
      </w:tabs>
      <w:spacing w:after="120"/>
    </w:pPr>
    <w:rPr>
      <w:rFonts w:eastAsia="SimSun"/>
      <w:color w:val="000000"/>
      <w:lang w:val="en-CA"/>
    </w:rPr>
  </w:style>
  <w:style w:type="character" w:customStyle="1" w:styleId="EndnoteTextChar">
    <w:name w:val="Endnote Text Char"/>
    <w:link w:val="EndnoteText"/>
    <w:rsid w:val="00890CDD"/>
    <w:rPr>
      <w:rFonts w:ascii="Times New Roman" w:eastAsia="SimSun" w:hAnsi="Times New Roman" w:cs="Times New Roman"/>
      <w:color w:val="000000"/>
      <w:sz w:val="20"/>
      <w:szCs w:val="20"/>
      <w:lang w:val="en-CA"/>
    </w:rPr>
  </w:style>
  <w:style w:type="character" w:styleId="EndnoteReference">
    <w:name w:val="endnote reference"/>
    <w:rsid w:val="00890CDD"/>
    <w:rPr>
      <w:vertAlign w:val="superscript"/>
    </w:rPr>
  </w:style>
  <w:style w:type="character" w:customStyle="1" w:styleId="hps">
    <w:name w:val="hps"/>
    <w:rsid w:val="00890CDD"/>
  </w:style>
  <w:style w:type="paragraph" w:customStyle="1" w:styleId="EPAParagraph">
    <w:name w:val="EPA Paragraph"/>
    <w:basedOn w:val="Normal"/>
    <w:link w:val="EPAParagraphChar"/>
    <w:qFormat/>
    <w:rsid w:val="00890CDD"/>
    <w:pPr>
      <w:tabs>
        <w:tab w:val="clear" w:pos="1247"/>
        <w:tab w:val="clear" w:pos="1814"/>
        <w:tab w:val="clear" w:pos="2381"/>
        <w:tab w:val="clear" w:pos="2948"/>
        <w:tab w:val="clear" w:pos="3515"/>
      </w:tabs>
      <w:spacing w:after="120"/>
    </w:pPr>
    <w:rPr>
      <w:rFonts w:eastAsia="SimSun"/>
      <w:color w:val="000000"/>
      <w:szCs w:val="24"/>
      <w:lang w:val="en-CA"/>
    </w:rPr>
  </w:style>
  <w:style w:type="character" w:customStyle="1" w:styleId="EPAParagraphChar">
    <w:name w:val="EPA Paragraph Char"/>
    <w:link w:val="EPAParagraph"/>
    <w:rsid w:val="00890CDD"/>
    <w:rPr>
      <w:rFonts w:ascii="Times New Roman" w:eastAsia="SimSun" w:hAnsi="Times New Roman" w:cs="Times New Roman"/>
      <w:color w:val="000000"/>
      <w:sz w:val="20"/>
      <w:szCs w:val="24"/>
      <w:lang w:val="en-CA"/>
    </w:rPr>
  </w:style>
  <w:style w:type="paragraph" w:customStyle="1" w:styleId="EPABulletedList">
    <w:name w:val="EPA Bulleted List"/>
    <w:basedOn w:val="Normal"/>
    <w:link w:val="EPABulletedListChar"/>
    <w:qFormat/>
    <w:rsid w:val="00890CDD"/>
    <w:pPr>
      <w:numPr>
        <w:numId w:val="22"/>
      </w:numPr>
      <w:tabs>
        <w:tab w:val="clear" w:pos="1247"/>
        <w:tab w:val="clear" w:pos="1814"/>
        <w:tab w:val="clear" w:pos="2381"/>
        <w:tab w:val="clear" w:pos="2948"/>
        <w:tab w:val="clear" w:pos="3515"/>
      </w:tabs>
      <w:spacing w:after="120"/>
      <w:ind w:left="284" w:hanging="284"/>
    </w:pPr>
    <w:rPr>
      <w:rFonts w:eastAsia="SimSun"/>
      <w:color w:val="000000"/>
      <w:szCs w:val="24"/>
      <w:lang w:val="en-CA"/>
    </w:rPr>
  </w:style>
  <w:style w:type="character" w:customStyle="1" w:styleId="EPABulletedListChar">
    <w:name w:val="EPA Bulleted List Char"/>
    <w:link w:val="EPABulletedList"/>
    <w:rsid w:val="00890CDD"/>
    <w:rPr>
      <w:rFonts w:ascii="Times New Roman" w:eastAsia="SimSun" w:hAnsi="Times New Roman" w:cs="Times New Roman"/>
      <w:color w:val="000000"/>
      <w:sz w:val="20"/>
      <w:szCs w:val="24"/>
      <w:lang w:val="en-CA"/>
    </w:rPr>
  </w:style>
  <w:style w:type="paragraph" w:customStyle="1" w:styleId="ColorfulShading-Accent11">
    <w:name w:val="Colorful Shading - Accent 11"/>
    <w:hidden/>
    <w:uiPriority w:val="99"/>
    <w:semiHidden/>
    <w:rsid w:val="00890CDD"/>
    <w:rPr>
      <w:rFonts w:ascii="Times New Roman" w:eastAsia="SimSun" w:hAnsi="Times New Roman"/>
      <w:color w:val="000000"/>
      <w:sz w:val="22"/>
      <w:szCs w:val="24"/>
      <w:lang w:val="en-CA" w:eastAsia="en-US"/>
    </w:rPr>
  </w:style>
  <w:style w:type="paragraph" w:customStyle="1" w:styleId="TOCHeading1">
    <w:name w:val="TOC Heading1"/>
    <w:basedOn w:val="Heading1"/>
    <w:next w:val="Normal"/>
    <w:uiPriority w:val="39"/>
    <w:semiHidden/>
    <w:unhideWhenUsed/>
    <w:qFormat/>
    <w:rsid w:val="00890CDD"/>
    <w:pPr>
      <w:widowControl/>
      <w:suppressAutoHyphens w:val="0"/>
      <w:autoSpaceDE/>
      <w:autoSpaceDN/>
      <w:adjustRightInd/>
      <w:spacing w:before="480" w:after="0" w:line="276" w:lineRule="auto"/>
      <w:ind w:left="0" w:firstLine="0"/>
      <w:outlineLvl w:val="9"/>
    </w:pPr>
    <w:rPr>
      <w:rFonts w:ascii="Cambria" w:eastAsia="MS Gothic" w:hAnsi="Cambria"/>
      <w:bCs/>
      <w:color w:val="365F91"/>
      <w:kern w:val="0"/>
      <w:sz w:val="28"/>
      <w:szCs w:val="28"/>
      <w:lang w:val="en-US"/>
    </w:rPr>
  </w:style>
  <w:style w:type="paragraph" w:customStyle="1" w:styleId="CarCarCar">
    <w:name w:val="Car Car Car"/>
    <w:basedOn w:val="Normal"/>
    <w:rsid w:val="00890CDD"/>
    <w:pPr>
      <w:tabs>
        <w:tab w:val="clear" w:pos="1247"/>
        <w:tab w:val="clear" w:pos="1814"/>
        <w:tab w:val="clear" w:pos="2381"/>
        <w:tab w:val="clear" w:pos="2948"/>
        <w:tab w:val="clear" w:pos="3515"/>
      </w:tabs>
      <w:spacing w:after="160" w:line="240" w:lineRule="exact"/>
    </w:pPr>
    <w:rPr>
      <w:rFonts w:ascii="Verdana" w:eastAsia="MS Mincho" w:hAnsi="Verdana" w:cs="Verdana"/>
      <w:sz w:val="24"/>
      <w:szCs w:val="24"/>
    </w:rPr>
  </w:style>
  <w:style w:type="character" w:customStyle="1" w:styleId="stylecourrierlectronique31">
    <w:name w:val="stylecourrierlectronique31"/>
    <w:semiHidden/>
    <w:rsid w:val="00890CDD"/>
    <w:rPr>
      <w:rFonts w:ascii="Arial" w:hAnsi="Arial" w:cs="Arial" w:hint="default"/>
      <w:color w:val="000080"/>
      <w:sz w:val="20"/>
      <w:szCs w:val="20"/>
    </w:rPr>
  </w:style>
  <w:style w:type="paragraph" w:customStyle="1" w:styleId="StyleComplexCalibriAfter0ptLinespacingAtleast12pt">
    <w:name w:val="Style (Complex) Calibri After:  0 pt Line spacing:  At least 12 pt"/>
    <w:basedOn w:val="Normal"/>
    <w:rsid w:val="0020097C"/>
    <w:pPr>
      <w:tabs>
        <w:tab w:val="clear" w:pos="1247"/>
        <w:tab w:val="clear" w:pos="1814"/>
        <w:tab w:val="clear" w:pos="2381"/>
        <w:tab w:val="clear" w:pos="2948"/>
        <w:tab w:val="clear" w:pos="3515"/>
      </w:tabs>
      <w:spacing w:before="240" w:line="240" w:lineRule="atLeast"/>
    </w:pPr>
    <w:rPr>
      <w:rFonts w:ascii="Calibri" w:eastAsia="SimSun" w:hAnsi="Calibri" w:cs="Calibri"/>
      <w:sz w:val="22"/>
      <w:szCs w:val="22"/>
      <w:lang w:val="en-US"/>
    </w:rPr>
  </w:style>
  <w:style w:type="table" w:customStyle="1" w:styleId="Calendar3">
    <w:name w:val="Calendar 3"/>
    <w:basedOn w:val="TableNormal"/>
    <w:uiPriority w:val="99"/>
    <w:qFormat/>
    <w:rsid w:val="00193CC2"/>
    <w:pPr>
      <w:jc w:val="right"/>
    </w:pPr>
    <w:rPr>
      <w:rFonts w:ascii="Cambria" w:eastAsia="Times New Roman" w:hAnsi="Cambria"/>
      <w:color w:val="7F7F7F"/>
      <w:lang w:eastAsia="ja-JP"/>
    </w:rPr>
    <w:tblPr>
      <w:tblInd w:w="0" w:type="dxa"/>
      <w:tblCellMar>
        <w:top w:w="0" w:type="dxa"/>
        <w:left w:w="108" w:type="dxa"/>
        <w:bottom w:w="0" w:type="dxa"/>
        <w:right w:w="108" w:type="dxa"/>
      </w:tblCellMar>
    </w:tblPr>
    <w:tblStylePr w:type="firstRow">
      <w:pPr>
        <w:wordWrap/>
        <w:jc w:val="right"/>
      </w:pPr>
      <w:rPr>
        <w:color w:val="365F91"/>
        <w:sz w:val="44"/>
      </w:rPr>
    </w:tblStylePr>
    <w:tblStylePr w:type="firstCol">
      <w:rPr>
        <w:color w:val="365F91"/>
      </w:rPr>
    </w:tblStylePr>
    <w:tblStylePr w:type="lastCol">
      <w:rPr>
        <w:color w:val="365F91"/>
      </w:rPr>
    </w:tblStylePr>
  </w:style>
  <w:style w:type="character" w:customStyle="1" w:styleId="st1">
    <w:name w:val="st1"/>
    <w:basedOn w:val="DefaultParagraphFont"/>
    <w:rsid w:val="00A03A12"/>
  </w:style>
  <w:style w:type="paragraph" w:customStyle="1" w:styleId="ZZAnxheader">
    <w:name w:val="ZZ_Anx_header"/>
    <w:basedOn w:val="Normal"/>
    <w:rsid w:val="00035913"/>
    <w:pPr>
      <w:tabs>
        <w:tab w:val="left" w:pos="4082"/>
      </w:tabs>
    </w:pPr>
    <w:rPr>
      <w:b/>
      <w:bCs/>
      <w:sz w:val="28"/>
      <w:szCs w:val="22"/>
    </w:rPr>
  </w:style>
  <w:style w:type="paragraph" w:customStyle="1" w:styleId="ZZAnxtitle">
    <w:name w:val="ZZ_Anx_title"/>
    <w:basedOn w:val="Normal"/>
    <w:rsid w:val="00035913"/>
    <w:pPr>
      <w:tabs>
        <w:tab w:val="left" w:pos="4082"/>
      </w:tabs>
      <w:spacing w:before="360" w:after="120"/>
      <w:ind w:left="1247"/>
    </w:pPr>
    <w:rPr>
      <w:b/>
      <w:bCs/>
      <w:sz w:val="28"/>
      <w:szCs w:val="26"/>
    </w:rPr>
  </w:style>
  <w:style w:type="paragraph" w:styleId="Revision">
    <w:name w:val="Revision"/>
    <w:hidden/>
    <w:uiPriority w:val="71"/>
    <w:rsid w:val="00C54E4B"/>
    <w:rPr>
      <w:rFonts w:ascii="Times New Roman" w:eastAsia="Times New Roman" w:hAnsi="Times New Roman"/>
      <w:lang w:val="en-GB" w:eastAsia="en-US"/>
    </w:rPr>
  </w:style>
</w:styles>
</file>

<file path=word/webSettings.xml><?xml version="1.0" encoding="utf-8"?>
<w:webSettings xmlns:r="http://schemas.openxmlformats.org/officeDocument/2006/relationships" xmlns:w="http://schemas.openxmlformats.org/wordprocessingml/2006/main">
  <w:divs>
    <w:div w:id="39745704">
      <w:bodyDiv w:val="1"/>
      <w:marLeft w:val="0"/>
      <w:marRight w:val="0"/>
      <w:marTop w:val="0"/>
      <w:marBottom w:val="0"/>
      <w:divBdr>
        <w:top w:val="none" w:sz="0" w:space="0" w:color="auto"/>
        <w:left w:val="none" w:sz="0" w:space="0" w:color="auto"/>
        <w:bottom w:val="none" w:sz="0" w:space="0" w:color="auto"/>
        <w:right w:val="none" w:sz="0" w:space="0" w:color="auto"/>
      </w:divBdr>
    </w:div>
    <w:div w:id="59326816">
      <w:bodyDiv w:val="1"/>
      <w:marLeft w:val="0"/>
      <w:marRight w:val="0"/>
      <w:marTop w:val="0"/>
      <w:marBottom w:val="0"/>
      <w:divBdr>
        <w:top w:val="none" w:sz="0" w:space="0" w:color="auto"/>
        <w:left w:val="none" w:sz="0" w:space="0" w:color="auto"/>
        <w:bottom w:val="none" w:sz="0" w:space="0" w:color="auto"/>
        <w:right w:val="none" w:sz="0" w:space="0" w:color="auto"/>
      </w:divBdr>
    </w:div>
    <w:div w:id="101924102">
      <w:bodyDiv w:val="1"/>
      <w:marLeft w:val="0"/>
      <w:marRight w:val="0"/>
      <w:marTop w:val="0"/>
      <w:marBottom w:val="0"/>
      <w:divBdr>
        <w:top w:val="none" w:sz="0" w:space="0" w:color="auto"/>
        <w:left w:val="none" w:sz="0" w:space="0" w:color="auto"/>
        <w:bottom w:val="none" w:sz="0" w:space="0" w:color="auto"/>
        <w:right w:val="none" w:sz="0" w:space="0" w:color="auto"/>
      </w:divBdr>
    </w:div>
    <w:div w:id="274168547">
      <w:bodyDiv w:val="1"/>
      <w:marLeft w:val="0"/>
      <w:marRight w:val="0"/>
      <w:marTop w:val="0"/>
      <w:marBottom w:val="0"/>
      <w:divBdr>
        <w:top w:val="none" w:sz="0" w:space="0" w:color="auto"/>
        <w:left w:val="none" w:sz="0" w:space="0" w:color="auto"/>
        <w:bottom w:val="none" w:sz="0" w:space="0" w:color="auto"/>
        <w:right w:val="none" w:sz="0" w:space="0" w:color="auto"/>
      </w:divBdr>
    </w:div>
    <w:div w:id="293872670">
      <w:bodyDiv w:val="1"/>
      <w:marLeft w:val="0"/>
      <w:marRight w:val="0"/>
      <w:marTop w:val="0"/>
      <w:marBottom w:val="0"/>
      <w:divBdr>
        <w:top w:val="none" w:sz="0" w:space="0" w:color="auto"/>
        <w:left w:val="none" w:sz="0" w:space="0" w:color="auto"/>
        <w:bottom w:val="none" w:sz="0" w:space="0" w:color="auto"/>
        <w:right w:val="none" w:sz="0" w:space="0" w:color="auto"/>
      </w:divBdr>
    </w:div>
    <w:div w:id="299072564">
      <w:bodyDiv w:val="1"/>
      <w:marLeft w:val="0"/>
      <w:marRight w:val="0"/>
      <w:marTop w:val="0"/>
      <w:marBottom w:val="0"/>
      <w:divBdr>
        <w:top w:val="none" w:sz="0" w:space="0" w:color="auto"/>
        <w:left w:val="none" w:sz="0" w:space="0" w:color="auto"/>
        <w:bottom w:val="none" w:sz="0" w:space="0" w:color="auto"/>
        <w:right w:val="none" w:sz="0" w:space="0" w:color="auto"/>
      </w:divBdr>
    </w:div>
    <w:div w:id="372735237">
      <w:bodyDiv w:val="1"/>
      <w:marLeft w:val="0"/>
      <w:marRight w:val="0"/>
      <w:marTop w:val="0"/>
      <w:marBottom w:val="0"/>
      <w:divBdr>
        <w:top w:val="none" w:sz="0" w:space="0" w:color="auto"/>
        <w:left w:val="none" w:sz="0" w:space="0" w:color="auto"/>
        <w:bottom w:val="none" w:sz="0" w:space="0" w:color="auto"/>
        <w:right w:val="none" w:sz="0" w:space="0" w:color="auto"/>
      </w:divBdr>
    </w:div>
    <w:div w:id="375816108">
      <w:bodyDiv w:val="1"/>
      <w:marLeft w:val="0"/>
      <w:marRight w:val="0"/>
      <w:marTop w:val="0"/>
      <w:marBottom w:val="0"/>
      <w:divBdr>
        <w:top w:val="none" w:sz="0" w:space="0" w:color="auto"/>
        <w:left w:val="none" w:sz="0" w:space="0" w:color="auto"/>
        <w:bottom w:val="none" w:sz="0" w:space="0" w:color="auto"/>
        <w:right w:val="none" w:sz="0" w:space="0" w:color="auto"/>
      </w:divBdr>
    </w:div>
    <w:div w:id="406612121">
      <w:bodyDiv w:val="1"/>
      <w:marLeft w:val="0"/>
      <w:marRight w:val="0"/>
      <w:marTop w:val="0"/>
      <w:marBottom w:val="0"/>
      <w:divBdr>
        <w:top w:val="none" w:sz="0" w:space="0" w:color="auto"/>
        <w:left w:val="none" w:sz="0" w:space="0" w:color="auto"/>
        <w:bottom w:val="none" w:sz="0" w:space="0" w:color="auto"/>
        <w:right w:val="none" w:sz="0" w:space="0" w:color="auto"/>
      </w:divBdr>
    </w:div>
    <w:div w:id="426970392">
      <w:bodyDiv w:val="1"/>
      <w:marLeft w:val="0"/>
      <w:marRight w:val="0"/>
      <w:marTop w:val="0"/>
      <w:marBottom w:val="0"/>
      <w:divBdr>
        <w:top w:val="none" w:sz="0" w:space="0" w:color="auto"/>
        <w:left w:val="none" w:sz="0" w:space="0" w:color="auto"/>
        <w:bottom w:val="none" w:sz="0" w:space="0" w:color="auto"/>
        <w:right w:val="none" w:sz="0" w:space="0" w:color="auto"/>
      </w:divBdr>
    </w:div>
    <w:div w:id="429013615">
      <w:bodyDiv w:val="1"/>
      <w:marLeft w:val="0"/>
      <w:marRight w:val="0"/>
      <w:marTop w:val="0"/>
      <w:marBottom w:val="0"/>
      <w:divBdr>
        <w:top w:val="none" w:sz="0" w:space="0" w:color="auto"/>
        <w:left w:val="none" w:sz="0" w:space="0" w:color="auto"/>
        <w:bottom w:val="none" w:sz="0" w:space="0" w:color="auto"/>
        <w:right w:val="none" w:sz="0" w:space="0" w:color="auto"/>
      </w:divBdr>
    </w:div>
    <w:div w:id="442919271">
      <w:bodyDiv w:val="1"/>
      <w:marLeft w:val="0"/>
      <w:marRight w:val="0"/>
      <w:marTop w:val="0"/>
      <w:marBottom w:val="0"/>
      <w:divBdr>
        <w:top w:val="none" w:sz="0" w:space="0" w:color="auto"/>
        <w:left w:val="none" w:sz="0" w:space="0" w:color="auto"/>
        <w:bottom w:val="none" w:sz="0" w:space="0" w:color="auto"/>
        <w:right w:val="none" w:sz="0" w:space="0" w:color="auto"/>
      </w:divBdr>
    </w:div>
    <w:div w:id="486435675">
      <w:bodyDiv w:val="1"/>
      <w:marLeft w:val="0"/>
      <w:marRight w:val="0"/>
      <w:marTop w:val="0"/>
      <w:marBottom w:val="0"/>
      <w:divBdr>
        <w:top w:val="none" w:sz="0" w:space="0" w:color="auto"/>
        <w:left w:val="none" w:sz="0" w:space="0" w:color="auto"/>
        <w:bottom w:val="none" w:sz="0" w:space="0" w:color="auto"/>
        <w:right w:val="none" w:sz="0" w:space="0" w:color="auto"/>
      </w:divBdr>
    </w:div>
    <w:div w:id="496767914">
      <w:bodyDiv w:val="1"/>
      <w:marLeft w:val="0"/>
      <w:marRight w:val="0"/>
      <w:marTop w:val="0"/>
      <w:marBottom w:val="0"/>
      <w:divBdr>
        <w:top w:val="none" w:sz="0" w:space="0" w:color="auto"/>
        <w:left w:val="none" w:sz="0" w:space="0" w:color="auto"/>
        <w:bottom w:val="none" w:sz="0" w:space="0" w:color="auto"/>
        <w:right w:val="none" w:sz="0" w:space="0" w:color="auto"/>
      </w:divBdr>
    </w:div>
    <w:div w:id="497623770">
      <w:bodyDiv w:val="1"/>
      <w:marLeft w:val="0"/>
      <w:marRight w:val="0"/>
      <w:marTop w:val="0"/>
      <w:marBottom w:val="0"/>
      <w:divBdr>
        <w:top w:val="none" w:sz="0" w:space="0" w:color="auto"/>
        <w:left w:val="none" w:sz="0" w:space="0" w:color="auto"/>
        <w:bottom w:val="none" w:sz="0" w:space="0" w:color="auto"/>
        <w:right w:val="none" w:sz="0" w:space="0" w:color="auto"/>
      </w:divBdr>
    </w:div>
    <w:div w:id="529953961">
      <w:bodyDiv w:val="1"/>
      <w:marLeft w:val="0"/>
      <w:marRight w:val="0"/>
      <w:marTop w:val="0"/>
      <w:marBottom w:val="0"/>
      <w:divBdr>
        <w:top w:val="none" w:sz="0" w:space="0" w:color="auto"/>
        <w:left w:val="none" w:sz="0" w:space="0" w:color="auto"/>
        <w:bottom w:val="none" w:sz="0" w:space="0" w:color="auto"/>
        <w:right w:val="none" w:sz="0" w:space="0" w:color="auto"/>
      </w:divBdr>
    </w:div>
    <w:div w:id="581333783">
      <w:bodyDiv w:val="1"/>
      <w:marLeft w:val="0"/>
      <w:marRight w:val="0"/>
      <w:marTop w:val="0"/>
      <w:marBottom w:val="0"/>
      <w:divBdr>
        <w:top w:val="none" w:sz="0" w:space="0" w:color="auto"/>
        <w:left w:val="none" w:sz="0" w:space="0" w:color="auto"/>
        <w:bottom w:val="none" w:sz="0" w:space="0" w:color="auto"/>
        <w:right w:val="none" w:sz="0" w:space="0" w:color="auto"/>
      </w:divBdr>
    </w:div>
    <w:div w:id="602614883">
      <w:bodyDiv w:val="1"/>
      <w:marLeft w:val="0"/>
      <w:marRight w:val="0"/>
      <w:marTop w:val="0"/>
      <w:marBottom w:val="0"/>
      <w:divBdr>
        <w:top w:val="none" w:sz="0" w:space="0" w:color="auto"/>
        <w:left w:val="none" w:sz="0" w:space="0" w:color="auto"/>
        <w:bottom w:val="none" w:sz="0" w:space="0" w:color="auto"/>
        <w:right w:val="none" w:sz="0" w:space="0" w:color="auto"/>
      </w:divBdr>
    </w:div>
    <w:div w:id="727533592">
      <w:bodyDiv w:val="1"/>
      <w:marLeft w:val="0"/>
      <w:marRight w:val="0"/>
      <w:marTop w:val="0"/>
      <w:marBottom w:val="0"/>
      <w:divBdr>
        <w:top w:val="none" w:sz="0" w:space="0" w:color="auto"/>
        <w:left w:val="none" w:sz="0" w:space="0" w:color="auto"/>
        <w:bottom w:val="none" w:sz="0" w:space="0" w:color="auto"/>
        <w:right w:val="none" w:sz="0" w:space="0" w:color="auto"/>
      </w:divBdr>
    </w:div>
    <w:div w:id="737628590">
      <w:bodyDiv w:val="1"/>
      <w:marLeft w:val="0"/>
      <w:marRight w:val="0"/>
      <w:marTop w:val="0"/>
      <w:marBottom w:val="0"/>
      <w:divBdr>
        <w:top w:val="none" w:sz="0" w:space="0" w:color="auto"/>
        <w:left w:val="none" w:sz="0" w:space="0" w:color="auto"/>
        <w:bottom w:val="none" w:sz="0" w:space="0" w:color="auto"/>
        <w:right w:val="none" w:sz="0" w:space="0" w:color="auto"/>
      </w:divBdr>
      <w:divsChild>
        <w:div w:id="956057816">
          <w:marLeft w:val="0"/>
          <w:marRight w:val="0"/>
          <w:marTop w:val="0"/>
          <w:marBottom w:val="0"/>
          <w:divBdr>
            <w:top w:val="none" w:sz="0" w:space="0" w:color="auto"/>
            <w:left w:val="none" w:sz="0" w:space="0" w:color="auto"/>
            <w:bottom w:val="none" w:sz="0" w:space="0" w:color="auto"/>
            <w:right w:val="none" w:sz="0" w:space="0" w:color="auto"/>
          </w:divBdr>
          <w:divsChild>
            <w:div w:id="1452362322">
              <w:marLeft w:val="0"/>
              <w:marRight w:val="0"/>
              <w:marTop w:val="0"/>
              <w:marBottom w:val="0"/>
              <w:divBdr>
                <w:top w:val="none" w:sz="0" w:space="0" w:color="auto"/>
                <w:left w:val="none" w:sz="0" w:space="0" w:color="auto"/>
                <w:bottom w:val="none" w:sz="0" w:space="0" w:color="auto"/>
                <w:right w:val="none" w:sz="0" w:space="0" w:color="auto"/>
              </w:divBdr>
              <w:divsChild>
                <w:div w:id="14680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1921">
      <w:bodyDiv w:val="1"/>
      <w:marLeft w:val="0"/>
      <w:marRight w:val="0"/>
      <w:marTop w:val="0"/>
      <w:marBottom w:val="0"/>
      <w:divBdr>
        <w:top w:val="none" w:sz="0" w:space="0" w:color="auto"/>
        <w:left w:val="none" w:sz="0" w:space="0" w:color="auto"/>
        <w:bottom w:val="none" w:sz="0" w:space="0" w:color="auto"/>
        <w:right w:val="none" w:sz="0" w:space="0" w:color="auto"/>
      </w:divBdr>
    </w:div>
    <w:div w:id="760031726">
      <w:bodyDiv w:val="1"/>
      <w:marLeft w:val="0"/>
      <w:marRight w:val="0"/>
      <w:marTop w:val="0"/>
      <w:marBottom w:val="0"/>
      <w:divBdr>
        <w:top w:val="none" w:sz="0" w:space="0" w:color="auto"/>
        <w:left w:val="none" w:sz="0" w:space="0" w:color="auto"/>
        <w:bottom w:val="none" w:sz="0" w:space="0" w:color="auto"/>
        <w:right w:val="none" w:sz="0" w:space="0" w:color="auto"/>
      </w:divBdr>
    </w:div>
    <w:div w:id="769396832">
      <w:bodyDiv w:val="1"/>
      <w:marLeft w:val="0"/>
      <w:marRight w:val="0"/>
      <w:marTop w:val="0"/>
      <w:marBottom w:val="0"/>
      <w:divBdr>
        <w:top w:val="none" w:sz="0" w:space="0" w:color="auto"/>
        <w:left w:val="none" w:sz="0" w:space="0" w:color="auto"/>
        <w:bottom w:val="none" w:sz="0" w:space="0" w:color="auto"/>
        <w:right w:val="none" w:sz="0" w:space="0" w:color="auto"/>
      </w:divBdr>
      <w:divsChild>
        <w:div w:id="102845083">
          <w:marLeft w:val="0"/>
          <w:marRight w:val="0"/>
          <w:marTop w:val="0"/>
          <w:marBottom w:val="0"/>
          <w:divBdr>
            <w:top w:val="none" w:sz="0" w:space="0" w:color="auto"/>
            <w:left w:val="none" w:sz="0" w:space="0" w:color="auto"/>
            <w:bottom w:val="none" w:sz="0" w:space="0" w:color="auto"/>
            <w:right w:val="none" w:sz="0" w:space="0" w:color="auto"/>
          </w:divBdr>
          <w:divsChild>
            <w:div w:id="1082024927">
              <w:marLeft w:val="0"/>
              <w:marRight w:val="0"/>
              <w:marTop w:val="0"/>
              <w:marBottom w:val="0"/>
              <w:divBdr>
                <w:top w:val="none" w:sz="0" w:space="0" w:color="auto"/>
                <w:left w:val="none" w:sz="0" w:space="0" w:color="auto"/>
                <w:bottom w:val="none" w:sz="0" w:space="0" w:color="auto"/>
                <w:right w:val="none" w:sz="0" w:space="0" w:color="auto"/>
              </w:divBdr>
              <w:divsChild>
                <w:div w:id="15976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39937">
      <w:bodyDiv w:val="1"/>
      <w:marLeft w:val="0"/>
      <w:marRight w:val="0"/>
      <w:marTop w:val="0"/>
      <w:marBottom w:val="0"/>
      <w:divBdr>
        <w:top w:val="none" w:sz="0" w:space="0" w:color="auto"/>
        <w:left w:val="none" w:sz="0" w:space="0" w:color="auto"/>
        <w:bottom w:val="none" w:sz="0" w:space="0" w:color="auto"/>
        <w:right w:val="none" w:sz="0" w:space="0" w:color="auto"/>
      </w:divBdr>
    </w:div>
    <w:div w:id="786896829">
      <w:bodyDiv w:val="1"/>
      <w:marLeft w:val="0"/>
      <w:marRight w:val="0"/>
      <w:marTop w:val="0"/>
      <w:marBottom w:val="0"/>
      <w:divBdr>
        <w:top w:val="none" w:sz="0" w:space="0" w:color="auto"/>
        <w:left w:val="none" w:sz="0" w:space="0" w:color="auto"/>
        <w:bottom w:val="none" w:sz="0" w:space="0" w:color="auto"/>
        <w:right w:val="none" w:sz="0" w:space="0" w:color="auto"/>
      </w:divBdr>
    </w:div>
    <w:div w:id="812404728">
      <w:bodyDiv w:val="1"/>
      <w:marLeft w:val="0"/>
      <w:marRight w:val="0"/>
      <w:marTop w:val="0"/>
      <w:marBottom w:val="0"/>
      <w:divBdr>
        <w:top w:val="none" w:sz="0" w:space="0" w:color="auto"/>
        <w:left w:val="none" w:sz="0" w:space="0" w:color="auto"/>
        <w:bottom w:val="none" w:sz="0" w:space="0" w:color="auto"/>
        <w:right w:val="none" w:sz="0" w:space="0" w:color="auto"/>
      </w:divBdr>
    </w:div>
    <w:div w:id="820149770">
      <w:bodyDiv w:val="1"/>
      <w:marLeft w:val="0"/>
      <w:marRight w:val="0"/>
      <w:marTop w:val="0"/>
      <w:marBottom w:val="0"/>
      <w:divBdr>
        <w:top w:val="none" w:sz="0" w:space="0" w:color="auto"/>
        <w:left w:val="none" w:sz="0" w:space="0" w:color="auto"/>
        <w:bottom w:val="none" w:sz="0" w:space="0" w:color="auto"/>
        <w:right w:val="none" w:sz="0" w:space="0" w:color="auto"/>
      </w:divBdr>
    </w:div>
    <w:div w:id="822283830">
      <w:bodyDiv w:val="1"/>
      <w:marLeft w:val="0"/>
      <w:marRight w:val="0"/>
      <w:marTop w:val="0"/>
      <w:marBottom w:val="0"/>
      <w:divBdr>
        <w:top w:val="none" w:sz="0" w:space="0" w:color="auto"/>
        <w:left w:val="none" w:sz="0" w:space="0" w:color="auto"/>
        <w:bottom w:val="none" w:sz="0" w:space="0" w:color="auto"/>
        <w:right w:val="none" w:sz="0" w:space="0" w:color="auto"/>
      </w:divBdr>
      <w:divsChild>
        <w:div w:id="1613248444">
          <w:marLeft w:val="0"/>
          <w:marRight w:val="0"/>
          <w:marTop w:val="0"/>
          <w:marBottom w:val="0"/>
          <w:divBdr>
            <w:top w:val="none" w:sz="0" w:space="0" w:color="auto"/>
            <w:left w:val="none" w:sz="0" w:space="0" w:color="auto"/>
            <w:bottom w:val="none" w:sz="0" w:space="0" w:color="auto"/>
            <w:right w:val="none" w:sz="0" w:space="0" w:color="auto"/>
          </w:divBdr>
          <w:divsChild>
            <w:div w:id="1585532949">
              <w:marLeft w:val="0"/>
              <w:marRight w:val="0"/>
              <w:marTop w:val="0"/>
              <w:marBottom w:val="0"/>
              <w:divBdr>
                <w:top w:val="none" w:sz="0" w:space="0" w:color="auto"/>
                <w:left w:val="none" w:sz="0" w:space="0" w:color="auto"/>
                <w:bottom w:val="none" w:sz="0" w:space="0" w:color="auto"/>
                <w:right w:val="none" w:sz="0" w:space="0" w:color="auto"/>
              </w:divBdr>
              <w:divsChild>
                <w:div w:id="10667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96422">
      <w:bodyDiv w:val="1"/>
      <w:marLeft w:val="0"/>
      <w:marRight w:val="0"/>
      <w:marTop w:val="0"/>
      <w:marBottom w:val="0"/>
      <w:divBdr>
        <w:top w:val="none" w:sz="0" w:space="0" w:color="auto"/>
        <w:left w:val="none" w:sz="0" w:space="0" w:color="auto"/>
        <w:bottom w:val="none" w:sz="0" w:space="0" w:color="auto"/>
        <w:right w:val="none" w:sz="0" w:space="0" w:color="auto"/>
      </w:divBdr>
    </w:div>
    <w:div w:id="916283654">
      <w:bodyDiv w:val="1"/>
      <w:marLeft w:val="0"/>
      <w:marRight w:val="0"/>
      <w:marTop w:val="0"/>
      <w:marBottom w:val="0"/>
      <w:divBdr>
        <w:top w:val="none" w:sz="0" w:space="0" w:color="auto"/>
        <w:left w:val="none" w:sz="0" w:space="0" w:color="auto"/>
        <w:bottom w:val="none" w:sz="0" w:space="0" w:color="auto"/>
        <w:right w:val="none" w:sz="0" w:space="0" w:color="auto"/>
      </w:divBdr>
      <w:divsChild>
        <w:div w:id="2084642659">
          <w:marLeft w:val="0"/>
          <w:marRight w:val="0"/>
          <w:marTop w:val="0"/>
          <w:marBottom w:val="0"/>
          <w:divBdr>
            <w:top w:val="none" w:sz="0" w:space="0" w:color="auto"/>
            <w:left w:val="none" w:sz="0" w:space="0" w:color="auto"/>
            <w:bottom w:val="none" w:sz="0" w:space="0" w:color="auto"/>
            <w:right w:val="none" w:sz="0" w:space="0" w:color="auto"/>
          </w:divBdr>
          <w:divsChild>
            <w:div w:id="339236573">
              <w:marLeft w:val="0"/>
              <w:marRight w:val="0"/>
              <w:marTop w:val="0"/>
              <w:marBottom w:val="0"/>
              <w:divBdr>
                <w:top w:val="none" w:sz="0" w:space="0" w:color="auto"/>
                <w:left w:val="none" w:sz="0" w:space="0" w:color="auto"/>
                <w:bottom w:val="none" w:sz="0" w:space="0" w:color="auto"/>
                <w:right w:val="none" w:sz="0" w:space="0" w:color="auto"/>
              </w:divBdr>
              <w:divsChild>
                <w:div w:id="1047146513">
                  <w:marLeft w:val="0"/>
                  <w:marRight w:val="0"/>
                  <w:marTop w:val="0"/>
                  <w:marBottom w:val="0"/>
                  <w:divBdr>
                    <w:top w:val="none" w:sz="0" w:space="0" w:color="auto"/>
                    <w:left w:val="none" w:sz="0" w:space="0" w:color="auto"/>
                    <w:bottom w:val="none" w:sz="0" w:space="0" w:color="auto"/>
                    <w:right w:val="none" w:sz="0" w:space="0" w:color="auto"/>
                  </w:divBdr>
                  <w:divsChild>
                    <w:div w:id="5493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151900">
      <w:bodyDiv w:val="1"/>
      <w:marLeft w:val="0"/>
      <w:marRight w:val="0"/>
      <w:marTop w:val="0"/>
      <w:marBottom w:val="0"/>
      <w:divBdr>
        <w:top w:val="none" w:sz="0" w:space="0" w:color="auto"/>
        <w:left w:val="none" w:sz="0" w:space="0" w:color="auto"/>
        <w:bottom w:val="none" w:sz="0" w:space="0" w:color="auto"/>
        <w:right w:val="none" w:sz="0" w:space="0" w:color="auto"/>
      </w:divBdr>
    </w:div>
    <w:div w:id="984316959">
      <w:bodyDiv w:val="1"/>
      <w:marLeft w:val="0"/>
      <w:marRight w:val="0"/>
      <w:marTop w:val="0"/>
      <w:marBottom w:val="0"/>
      <w:divBdr>
        <w:top w:val="none" w:sz="0" w:space="0" w:color="auto"/>
        <w:left w:val="none" w:sz="0" w:space="0" w:color="auto"/>
        <w:bottom w:val="none" w:sz="0" w:space="0" w:color="auto"/>
        <w:right w:val="none" w:sz="0" w:space="0" w:color="auto"/>
      </w:divBdr>
    </w:div>
    <w:div w:id="1076166752">
      <w:bodyDiv w:val="1"/>
      <w:marLeft w:val="0"/>
      <w:marRight w:val="0"/>
      <w:marTop w:val="0"/>
      <w:marBottom w:val="0"/>
      <w:divBdr>
        <w:top w:val="none" w:sz="0" w:space="0" w:color="auto"/>
        <w:left w:val="none" w:sz="0" w:space="0" w:color="auto"/>
        <w:bottom w:val="none" w:sz="0" w:space="0" w:color="auto"/>
        <w:right w:val="none" w:sz="0" w:space="0" w:color="auto"/>
      </w:divBdr>
    </w:div>
    <w:div w:id="1080365808">
      <w:bodyDiv w:val="1"/>
      <w:marLeft w:val="0"/>
      <w:marRight w:val="0"/>
      <w:marTop w:val="0"/>
      <w:marBottom w:val="0"/>
      <w:divBdr>
        <w:top w:val="none" w:sz="0" w:space="0" w:color="auto"/>
        <w:left w:val="none" w:sz="0" w:space="0" w:color="auto"/>
        <w:bottom w:val="none" w:sz="0" w:space="0" w:color="auto"/>
        <w:right w:val="none" w:sz="0" w:space="0" w:color="auto"/>
      </w:divBdr>
    </w:div>
    <w:div w:id="1086731002">
      <w:bodyDiv w:val="1"/>
      <w:marLeft w:val="0"/>
      <w:marRight w:val="0"/>
      <w:marTop w:val="0"/>
      <w:marBottom w:val="0"/>
      <w:divBdr>
        <w:top w:val="none" w:sz="0" w:space="0" w:color="auto"/>
        <w:left w:val="none" w:sz="0" w:space="0" w:color="auto"/>
        <w:bottom w:val="none" w:sz="0" w:space="0" w:color="auto"/>
        <w:right w:val="none" w:sz="0" w:space="0" w:color="auto"/>
      </w:divBdr>
    </w:div>
    <w:div w:id="1113666379">
      <w:bodyDiv w:val="1"/>
      <w:marLeft w:val="0"/>
      <w:marRight w:val="0"/>
      <w:marTop w:val="0"/>
      <w:marBottom w:val="0"/>
      <w:divBdr>
        <w:top w:val="none" w:sz="0" w:space="0" w:color="auto"/>
        <w:left w:val="none" w:sz="0" w:space="0" w:color="auto"/>
        <w:bottom w:val="none" w:sz="0" w:space="0" w:color="auto"/>
        <w:right w:val="none" w:sz="0" w:space="0" w:color="auto"/>
      </w:divBdr>
    </w:div>
    <w:div w:id="1119452597">
      <w:bodyDiv w:val="1"/>
      <w:marLeft w:val="0"/>
      <w:marRight w:val="0"/>
      <w:marTop w:val="0"/>
      <w:marBottom w:val="0"/>
      <w:divBdr>
        <w:top w:val="none" w:sz="0" w:space="0" w:color="auto"/>
        <w:left w:val="none" w:sz="0" w:space="0" w:color="auto"/>
        <w:bottom w:val="none" w:sz="0" w:space="0" w:color="auto"/>
        <w:right w:val="none" w:sz="0" w:space="0" w:color="auto"/>
      </w:divBdr>
    </w:div>
    <w:div w:id="1152016308">
      <w:bodyDiv w:val="1"/>
      <w:marLeft w:val="0"/>
      <w:marRight w:val="0"/>
      <w:marTop w:val="0"/>
      <w:marBottom w:val="0"/>
      <w:divBdr>
        <w:top w:val="none" w:sz="0" w:space="0" w:color="auto"/>
        <w:left w:val="none" w:sz="0" w:space="0" w:color="auto"/>
        <w:bottom w:val="none" w:sz="0" w:space="0" w:color="auto"/>
        <w:right w:val="none" w:sz="0" w:space="0" w:color="auto"/>
      </w:divBdr>
    </w:div>
    <w:div w:id="1165896740">
      <w:bodyDiv w:val="1"/>
      <w:marLeft w:val="0"/>
      <w:marRight w:val="0"/>
      <w:marTop w:val="0"/>
      <w:marBottom w:val="0"/>
      <w:divBdr>
        <w:top w:val="none" w:sz="0" w:space="0" w:color="auto"/>
        <w:left w:val="none" w:sz="0" w:space="0" w:color="auto"/>
        <w:bottom w:val="none" w:sz="0" w:space="0" w:color="auto"/>
        <w:right w:val="none" w:sz="0" w:space="0" w:color="auto"/>
      </w:divBdr>
      <w:divsChild>
        <w:div w:id="1549873130">
          <w:marLeft w:val="0"/>
          <w:marRight w:val="0"/>
          <w:marTop w:val="0"/>
          <w:marBottom w:val="0"/>
          <w:divBdr>
            <w:top w:val="none" w:sz="0" w:space="0" w:color="auto"/>
            <w:left w:val="none" w:sz="0" w:space="0" w:color="auto"/>
            <w:bottom w:val="none" w:sz="0" w:space="0" w:color="auto"/>
            <w:right w:val="none" w:sz="0" w:space="0" w:color="auto"/>
          </w:divBdr>
          <w:divsChild>
            <w:div w:id="1685932807">
              <w:marLeft w:val="0"/>
              <w:marRight w:val="0"/>
              <w:marTop w:val="0"/>
              <w:marBottom w:val="0"/>
              <w:divBdr>
                <w:top w:val="none" w:sz="0" w:space="0" w:color="auto"/>
                <w:left w:val="none" w:sz="0" w:space="0" w:color="auto"/>
                <w:bottom w:val="none" w:sz="0" w:space="0" w:color="auto"/>
                <w:right w:val="none" w:sz="0" w:space="0" w:color="auto"/>
              </w:divBdr>
              <w:divsChild>
                <w:div w:id="16603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7053">
      <w:bodyDiv w:val="1"/>
      <w:marLeft w:val="0"/>
      <w:marRight w:val="0"/>
      <w:marTop w:val="0"/>
      <w:marBottom w:val="0"/>
      <w:divBdr>
        <w:top w:val="none" w:sz="0" w:space="0" w:color="auto"/>
        <w:left w:val="none" w:sz="0" w:space="0" w:color="auto"/>
        <w:bottom w:val="none" w:sz="0" w:space="0" w:color="auto"/>
        <w:right w:val="none" w:sz="0" w:space="0" w:color="auto"/>
      </w:divBdr>
    </w:div>
    <w:div w:id="1299605069">
      <w:bodyDiv w:val="1"/>
      <w:marLeft w:val="0"/>
      <w:marRight w:val="0"/>
      <w:marTop w:val="0"/>
      <w:marBottom w:val="0"/>
      <w:divBdr>
        <w:top w:val="none" w:sz="0" w:space="0" w:color="auto"/>
        <w:left w:val="none" w:sz="0" w:space="0" w:color="auto"/>
        <w:bottom w:val="none" w:sz="0" w:space="0" w:color="auto"/>
        <w:right w:val="none" w:sz="0" w:space="0" w:color="auto"/>
      </w:divBdr>
    </w:div>
    <w:div w:id="1333487987">
      <w:bodyDiv w:val="1"/>
      <w:marLeft w:val="0"/>
      <w:marRight w:val="0"/>
      <w:marTop w:val="0"/>
      <w:marBottom w:val="0"/>
      <w:divBdr>
        <w:top w:val="none" w:sz="0" w:space="0" w:color="auto"/>
        <w:left w:val="none" w:sz="0" w:space="0" w:color="auto"/>
        <w:bottom w:val="none" w:sz="0" w:space="0" w:color="auto"/>
        <w:right w:val="none" w:sz="0" w:space="0" w:color="auto"/>
      </w:divBdr>
      <w:divsChild>
        <w:div w:id="1601449953">
          <w:marLeft w:val="0"/>
          <w:marRight w:val="0"/>
          <w:marTop w:val="0"/>
          <w:marBottom w:val="0"/>
          <w:divBdr>
            <w:top w:val="none" w:sz="0" w:space="0" w:color="auto"/>
            <w:left w:val="none" w:sz="0" w:space="0" w:color="auto"/>
            <w:bottom w:val="none" w:sz="0" w:space="0" w:color="auto"/>
            <w:right w:val="none" w:sz="0" w:space="0" w:color="auto"/>
          </w:divBdr>
          <w:divsChild>
            <w:div w:id="833228043">
              <w:marLeft w:val="0"/>
              <w:marRight w:val="0"/>
              <w:marTop w:val="0"/>
              <w:marBottom w:val="0"/>
              <w:divBdr>
                <w:top w:val="none" w:sz="0" w:space="0" w:color="auto"/>
                <w:left w:val="none" w:sz="0" w:space="0" w:color="auto"/>
                <w:bottom w:val="none" w:sz="0" w:space="0" w:color="auto"/>
                <w:right w:val="none" w:sz="0" w:space="0" w:color="auto"/>
              </w:divBdr>
              <w:divsChild>
                <w:div w:id="9589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7102">
      <w:bodyDiv w:val="1"/>
      <w:marLeft w:val="0"/>
      <w:marRight w:val="0"/>
      <w:marTop w:val="0"/>
      <w:marBottom w:val="0"/>
      <w:divBdr>
        <w:top w:val="none" w:sz="0" w:space="0" w:color="auto"/>
        <w:left w:val="none" w:sz="0" w:space="0" w:color="auto"/>
        <w:bottom w:val="none" w:sz="0" w:space="0" w:color="auto"/>
        <w:right w:val="none" w:sz="0" w:space="0" w:color="auto"/>
      </w:divBdr>
    </w:div>
    <w:div w:id="1464494200">
      <w:bodyDiv w:val="1"/>
      <w:marLeft w:val="0"/>
      <w:marRight w:val="0"/>
      <w:marTop w:val="0"/>
      <w:marBottom w:val="0"/>
      <w:divBdr>
        <w:top w:val="none" w:sz="0" w:space="0" w:color="auto"/>
        <w:left w:val="none" w:sz="0" w:space="0" w:color="auto"/>
        <w:bottom w:val="none" w:sz="0" w:space="0" w:color="auto"/>
        <w:right w:val="none" w:sz="0" w:space="0" w:color="auto"/>
      </w:divBdr>
    </w:div>
    <w:div w:id="1515805777">
      <w:bodyDiv w:val="1"/>
      <w:marLeft w:val="0"/>
      <w:marRight w:val="0"/>
      <w:marTop w:val="0"/>
      <w:marBottom w:val="0"/>
      <w:divBdr>
        <w:top w:val="none" w:sz="0" w:space="0" w:color="auto"/>
        <w:left w:val="none" w:sz="0" w:space="0" w:color="auto"/>
        <w:bottom w:val="none" w:sz="0" w:space="0" w:color="auto"/>
        <w:right w:val="none" w:sz="0" w:space="0" w:color="auto"/>
      </w:divBdr>
    </w:div>
    <w:div w:id="1558782651">
      <w:bodyDiv w:val="1"/>
      <w:marLeft w:val="0"/>
      <w:marRight w:val="0"/>
      <w:marTop w:val="0"/>
      <w:marBottom w:val="0"/>
      <w:divBdr>
        <w:top w:val="none" w:sz="0" w:space="0" w:color="auto"/>
        <w:left w:val="none" w:sz="0" w:space="0" w:color="auto"/>
        <w:bottom w:val="none" w:sz="0" w:space="0" w:color="auto"/>
        <w:right w:val="none" w:sz="0" w:space="0" w:color="auto"/>
      </w:divBdr>
    </w:div>
    <w:div w:id="1669408037">
      <w:bodyDiv w:val="1"/>
      <w:marLeft w:val="0"/>
      <w:marRight w:val="0"/>
      <w:marTop w:val="0"/>
      <w:marBottom w:val="0"/>
      <w:divBdr>
        <w:top w:val="none" w:sz="0" w:space="0" w:color="auto"/>
        <w:left w:val="none" w:sz="0" w:space="0" w:color="auto"/>
        <w:bottom w:val="none" w:sz="0" w:space="0" w:color="auto"/>
        <w:right w:val="none" w:sz="0" w:space="0" w:color="auto"/>
      </w:divBdr>
    </w:div>
    <w:div w:id="1698314772">
      <w:bodyDiv w:val="1"/>
      <w:marLeft w:val="0"/>
      <w:marRight w:val="0"/>
      <w:marTop w:val="0"/>
      <w:marBottom w:val="0"/>
      <w:divBdr>
        <w:top w:val="none" w:sz="0" w:space="0" w:color="auto"/>
        <w:left w:val="none" w:sz="0" w:space="0" w:color="auto"/>
        <w:bottom w:val="none" w:sz="0" w:space="0" w:color="auto"/>
        <w:right w:val="none" w:sz="0" w:space="0" w:color="auto"/>
      </w:divBdr>
    </w:div>
    <w:div w:id="1728912526">
      <w:bodyDiv w:val="1"/>
      <w:marLeft w:val="0"/>
      <w:marRight w:val="0"/>
      <w:marTop w:val="0"/>
      <w:marBottom w:val="0"/>
      <w:divBdr>
        <w:top w:val="none" w:sz="0" w:space="0" w:color="auto"/>
        <w:left w:val="none" w:sz="0" w:space="0" w:color="auto"/>
        <w:bottom w:val="none" w:sz="0" w:space="0" w:color="auto"/>
        <w:right w:val="none" w:sz="0" w:space="0" w:color="auto"/>
      </w:divBdr>
    </w:div>
    <w:div w:id="1729837809">
      <w:bodyDiv w:val="1"/>
      <w:marLeft w:val="0"/>
      <w:marRight w:val="0"/>
      <w:marTop w:val="0"/>
      <w:marBottom w:val="0"/>
      <w:divBdr>
        <w:top w:val="none" w:sz="0" w:space="0" w:color="auto"/>
        <w:left w:val="none" w:sz="0" w:space="0" w:color="auto"/>
        <w:bottom w:val="none" w:sz="0" w:space="0" w:color="auto"/>
        <w:right w:val="none" w:sz="0" w:space="0" w:color="auto"/>
      </w:divBdr>
    </w:div>
    <w:div w:id="1814902238">
      <w:bodyDiv w:val="1"/>
      <w:marLeft w:val="0"/>
      <w:marRight w:val="0"/>
      <w:marTop w:val="0"/>
      <w:marBottom w:val="0"/>
      <w:divBdr>
        <w:top w:val="none" w:sz="0" w:space="0" w:color="auto"/>
        <w:left w:val="none" w:sz="0" w:space="0" w:color="auto"/>
        <w:bottom w:val="none" w:sz="0" w:space="0" w:color="auto"/>
        <w:right w:val="none" w:sz="0" w:space="0" w:color="auto"/>
      </w:divBdr>
    </w:div>
    <w:div w:id="1851673011">
      <w:bodyDiv w:val="1"/>
      <w:marLeft w:val="0"/>
      <w:marRight w:val="0"/>
      <w:marTop w:val="0"/>
      <w:marBottom w:val="0"/>
      <w:divBdr>
        <w:top w:val="none" w:sz="0" w:space="0" w:color="auto"/>
        <w:left w:val="none" w:sz="0" w:space="0" w:color="auto"/>
        <w:bottom w:val="none" w:sz="0" w:space="0" w:color="auto"/>
        <w:right w:val="none" w:sz="0" w:space="0" w:color="auto"/>
      </w:divBdr>
    </w:div>
    <w:div w:id="1902398544">
      <w:bodyDiv w:val="1"/>
      <w:marLeft w:val="0"/>
      <w:marRight w:val="0"/>
      <w:marTop w:val="0"/>
      <w:marBottom w:val="0"/>
      <w:divBdr>
        <w:top w:val="none" w:sz="0" w:space="0" w:color="auto"/>
        <w:left w:val="none" w:sz="0" w:space="0" w:color="auto"/>
        <w:bottom w:val="none" w:sz="0" w:space="0" w:color="auto"/>
        <w:right w:val="none" w:sz="0" w:space="0" w:color="auto"/>
      </w:divBdr>
    </w:div>
    <w:div w:id="1937253327">
      <w:bodyDiv w:val="1"/>
      <w:marLeft w:val="0"/>
      <w:marRight w:val="0"/>
      <w:marTop w:val="0"/>
      <w:marBottom w:val="0"/>
      <w:divBdr>
        <w:top w:val="none" w:sz="0" w:space="0" w:color="auto"/>
        <w:left w:val="none" w:sz="0" w:space="0" w:color="auto"/>
        <w:bottom w:val="none" w:sz="0" w:space="0" w:color="auto"/>
        <w:right w:val="none" w:sz="0" w:space="0" w:color="auto"/>
      </w:divBdr>
    </w:div>
    <w:div w:id="2029136010">
      <w:bodyDiv w:val="1"/>
      <w:marLeft w:val="0"/>
      <w:marRight w:val="0"/>
      <w:marTop w:val="0"/>
      <w:marBottom w:val="0"/>
      <w:divBdr>
        <w:top w:val="none" w:sz="0" w:space="0" w:color="auto"/>
        <w:left w:val="none" w:sz="0" w:space="0" w:color="auto"/>
        <w:bottom w:val="none" w:sz="0" w:space="0" w:color="auto"/>
        <w:right w:val="none" w:sz="0" w:space="0" w:color="auto"/>
      </w:divBdr>
    </w:div>
    <w:div w:id="2037073781">
      <w:bodyDiv w:val="1"/>
      <w:marLeft w:val="0"/>
      <w:marRight w:val="0"/>
      <w:marTop w:val="0"/>
      <w:marBottom w:val="0"/>
      <w:divBdr>
        <w:top w:val="none" w:sz="0" w:space="0" w:color="auto"/>
        <w:left w:val="none" w:sz="0" w:space="0" w:color="auto"/>
        <w:bottom w:val="none" w:sz="0" w:space="0" w:color="auto"/>
        <w:right w:val="none" w:sz="0" w:space="0" w:color="auto"/>
      </w:divBdr>
    </w:div>
    <w:div w:id="2051563198">
      <w:bodyDiv w:val="1"/>
      <w:marLeft w:val="0"/>
      <w:marRight w:val="0"/>
      <w:marTop w:val="0"/>
      <w:marBottom w:val="0"/>
      <w:divBdr>
        <w:top w:val="none" w:sz="0" w:space="0" w:color="auto"/>
        <w:left w:val="none" w:sz="0" w:space="0" w:color="auto"/>
        <w:bottom w:val="none" w:sz="0" w:space="0" w:color="auto"/>
        <w:right w:val="none" w:sz="0" w:space="0" w:color="auto"/>
      </w:divBdr>
    </w:div>
    <w:div w:id="2118601406">
      <w:bodyDiv w:val="1"/>
      <w:marLeft w:val="0"/>
      <w:marRight w:val="0"/>
      <w:marTop w:val="0"/>
      <w:marBottom w:val="0"/>
      <w:divBdr>
        <w:top w:val="none" w:sz="0" w:space="0" w:color="auto"/>
        <w:left w:val="none" w:sz="0" w:space="0" w:color="auto"/>
        <w:bottom w:val="none" w:sz="0" w:space="0" w:color="auto"/>
        <w:right w:val="none" w:sz="0" w:space="0" w:color="auto"/>
      </w:divBdr>
    </w:div>
    <w:div w:id="213097240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www.epa.gov/oswer/riskassessment/risk_superfund.htm" TargetMode="External"/><Relationship Id="rId21" Type="http://schemas.openxmlformats.org/officeDocument/2006/relationships/hyperlink" Target="http://www.berzelius.de" TargetMode="External"/><Relationship Id="rId34" Type="http://schemas.openxmlformats.org/officeDocument/2006/relationships/hyperlink" Target="http://www2.unitar.org/cwm/publications/cbl/synergy/pdf/cat3/UNEP_regional_seas/convention_waigani/convention_waigani.pdf" TargetMode="External"/><Relationship Id="rId42" Type="http://schemas.openxmlformats.org/officeDocument/2006/relationships/hyperlink" Target="http://www.epa.gov" TargetMode="External"/><Relationship Id="rId47" Type="http://schemas.openxmlformats.org/officeDocument/2006/relationships/hyperlink" Target="http://www.frtr.gov/matrix2/top_page.html" TargetMode="External"/><Relationship Id="rId50" Type="http://schemas.openxmlformats.org/officeDocument/2006/relationships/hyperlink" Target="http://www.bmub.bund.de/fileadmin/bmu-import/files/english/pdf/application/pdf/muellverbrennung_dioxin_en.pdf" TargetMode="External"/><Relationship Id="rId55" Type="http://schemas.openxmlformats.org/officeDocument/2006/relationships/hyperlink" Target="http://www.inchem.org/pages/hsg.html" TargetMode="External"/><Relationship Id="rId63" Type="http://schemas.openxmlformats.org/officeDocument/2006/relationships/hyperlink" Target="file:///\\10.56.128.80\COB\BRS%20meetings\looa\Desktop\backup\x.%20e-binder\www.env.go.jp\en\chemi\pops\eaws.html" TargetMode="External"/><Relationship Id="rId68" Type="http://schemas.openxmlformats.org/officeDocument/2006/relationships/hyperlink" Target="http://www.oecd.org" TargetMode="External"/><Relationship Id="rId76" Type="http://schemas.openxmlformats.org/officeDocument/2006/relationships/hyperlink" Target="http://www.chem.unep.ch" TargetMode="External"/><Relationship Id="rId84" Type="http://schemas.openxmlformats.org/officeDocument/2006/relationships/hyperlink" Target="http://www.chem.unep.ch/gmn/GuidanceGPM.pdf" TargetMode="External"/><Relationship Id="rId89" Type="http://schemas.openxmlformats.org/officeDocument/2006/relationships/hyperlink" Target="http://www.unido.org/index.php?id=1001169" TargetMode="External"/><Relationship Id="rId97"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yperlink" Target="http://www.unece.org/env/pp/treatytext.html" TargetMode="External"/><Relationship Id="rId9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dk-duisburg.de" TargetMode="External"/><Relationship Id="rId29" Type="http://schemas.openxmlformats.org/officeDocument/2006/relationships/hyperlink" Target="http://www.epa.gov/superfund/cleanup/rdra.htm" TargetMode="External"/><Relationship Id="rId11" Type="http://schemas.openxmlformats.org/officeDocument/2006/relationships/footnotes" Target="footnotes.xml"/><Relationship Id="rId24" Type="http://schemas.openxmlformats.org/officeDocument/2006/relationships/hyperlink" Target="http://www.frtr.gov/matrix2/top_page.html" TargetMode="External"/><Relationship Id="rId32" Type="http://schemas.openxmlformats.org/officeDocument/2006/relationships/hyperlink" Target="https://treaties.un.org/pages/ViewDetails.aspx?src=TREATY&amp;mtdsg_no=XXVII-13&amp;chapter=27&amp;lang=en" TargetMode="External"/><Relationship Id="rId37" Type="http://schemas.openxmlformats.org/officeDocument/2006/relationships/hyperlink" Target="http://www.atsdr.cdc.gov" TargetMode="External"/><Relationship Id="rId40" Type="http://schemas.openxmlformats.org/officeDocument/2006/relationships/hyperlink" Target="http://www.deh.gov.au" TargetMode="External"/><Relationship Id="rId45" Type="http://schemas.openxmlformats.org/officeDocument/2006/relationships/hyperlink" Target="http://eippcb.jrc.ec.europa.eu/reference/BREF/IS_Adopted_03_2012.pdf" TargetMode="External"/><Relationship Id="rId53" Type="http://schemas.openxmlformats.org/officeDocument/2006/relationships/hyperlink" Target="http://www.ilo.org" TargetMode="External"/><Relationship Id="rId58" Type="http://schemas.openxmlformats.org/officeDocument/2006/relationships/hyperlink" Target="http://www.jesconet.co.jp/eg/facility/osaka.html" TargetMode="External"/><Relationship Id="rId66" Type="http://schemas.openxmlformats.org/officeDocument/2006/relationships/hyperlink" Target="http://www.norden.org/en/publications/order" TargetMode="External"/><Relationship Id="rId74" Type="http://schemas.openxmlformats.org/officeDocument/2006/relationships/hyperlink" Target="http://www.basel.int" TargetMode="External"/><Relationship Id="rId79" Type="http://schemas.openxmlformats.org/officeDocument/2006/relationships/hyperlink" Target="http://ozone.unep.org/Assessment_Panels/TEAP/Reports/Other_Task_Force/TEAP02V3b.pdf" TargetMode="External"/><Relationship Id="rId87" Type="http://schemas.openxmlformats.org/officeDocument/2006/relationships/hyperlink" Target="http://www.basel.int" TargetMode="External"/><Relationship Id="rId5" Type="http://schemas.openxmlformats.org/officeDocument/2006/relationships/customXml" Target="../customXml/item5.xml"/><Relationship Id="rId61" Type="http://schemas.openxmlformats.org/officeDocument/2006/relationships/hyperlink" Target="http://sawic.environment.gov.za/documents/461.pdf" TargetMode="External"/><Relationship Id="rId82" Type="http://schemas.openxmlformats.org/officeDocument/2006/relationships/hyperlink" Target="http://chm.pops.int/Implementation/NIPs/Guidance/GuidanceforDevelopingNIP/tabid/3166/Default.aspx" TargetMode="External"/><Relationship Id="rId90" Type="http://schemas.openxmlformats.org/officeDocument/2006/relationships/hyperlink" Target="http://140.194.76.129/publications/eng-manuals/EM_1110-1-4007_sec/EM_1110-1-4007.pdf" TargetMode="External"/><Relationship Id="rId95" Type="http://schemas.openxmlformats.org/officeDocument/2006/relationships/footer" Target="footer3.xml"/><Relationship Id="rId19" Type="http://schemas.openxmlformats.org/officeDocument/2006/relationships/hyperlink" Target="http://www.lucchini.it" TargetMode="External"/><Relationship Id="rId14" Type="http://schemas.openxmlformats.org/officeDocument/2006/relationships/image" Target="media/image2.png"/><Relationship Id="rId22" Type="http://schemas.openxmlformats.org/officeDocument/2006/relationships/hyperlink" Target="http://www.ccme.ca" TargetMode="External"/><Relationship Id="rId27" Type="http://schemas.openxmlformats.org/officeDocument/2006/relationships/hyperlink" Target="http://www.epa.gov/superfund/cleanup/pasi.htm" TargetMode="External"/><Relationship Id="rId30" Type="http://schemas.openxmlformats.org/officeDocument/2006/relationships/hyperlink" Target="http://140.194.76.129/publications/eng-manuals/EM_1110-1-4007_sec/EM_1110-1-4007.pdf" TargetMode="External"/><Relationship Id="rId35" Type="http://schemas.openxmlformats.org/officeDocument/2006/relationships/hyperlink" Target="http://www.oecd.org/env/waste/30654501.pdf" TargetMode="External"/><Relationship Id="rId43" Type="http://schemas.openxmlformats.org/officeDocument/2006/relationships/hyperlink" Target="http://www.epa.gov" TargetMode="External"/><Relationship Id="rId48" Type="http://schemas.openxmlformats.org/officeDocument/2006/relationships/hyperlink" Target="http://www.dioxindb.de/index-e.html" TargetMode="External"/><Relationship Id="rId56" Type="http://schemas.openxmlformats.org/officeDocument/2006/relationships/hyperlink" Target="http://www.jesconet.co.jp/eg/facility/kitakyushu.html" TargetMode="External"/><Relationship Id="rId64" Type="http://schemas.openxmlformats.org/officeDocument/2006/relationships/hyperlink" Target="http://www.env.go.jp/chemi/pops/3rd/mat02.pdf" TargetMode="External"/><Relationship Id="rId69" Type="http://schemas.openxmlformats.org/officeDocument/2006/relationships/hyperlink" Target="http://www.oecd.org" TargetMode="External"/><Relationship Id="rId77" Type="http://schemas.openxmlformats.org/officeDocument/2006/relationships/hyperlink" Target="http://www.chem.unep.ch" TargetMode="External"/><Relationship Id="rId8" Type="http://schemas.openxmlformats.org/officeDocument/2006/relationships/styles" Target="styles.xml"/><Relationship Id="rId51" Type="http://schemas.openxmlformats.org/officeDocument/2006/relationships/hyperlink" Target="http://pops.gpa.unep.org" TargetMode="External"/><Relationship Id="rId72" Type="http://schemas.openxmlformats.org/officeDocument/2006/relationships/hyperlink" Target="http://www.unece.org" TargetMode="External"/><Relationship Id="rId80" Type="http://schemas.openxmlformats.org/officeDocument/2006/relationships/hyperlink" Target="http://www.ihpa.info/docs/library/reports/Pops/June2009/DEFSBCLogo_Inciner_180608_.pdf" TargetMode="External"/><Relationship Id="rId85" Type="http://schemas.openxmlformats.org/officeDocument/2006/relationships/hyperlink" Target="http://www.basel.int" TargetMode="Externa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thyssenkrupp.com" TargetMode="External"/><Relationship Id="rId25" Type="http://schemas.openxmlformats.org/officeDocument/2006/relationships/hyperlink" Target="http://www.epa.gov/superfund/" TargetMode="External"/><Relationship Id="rId33" Type="http://schemas.openxmlformats.org/officeDocument/2006/relationships/hyperlink" Target="http://www.unep.org/delc/BamakoConvention" TargetMode="External"/><Relationship Id="rId38" Type="http://schemas.openxmlformats.org/officeDocument/2006/relationships/hyperlink" Target="http://www.ccme.ca" TargetMode="External"/><Relationship Id="rId46" Type="http://schemas.openxmlformats.org/officeDocument/2006/relationships/hyperlink" Target="http://ec.europa.eu/environment/waste/studies/pdf/POP_Waste_2010.pdf" TargetMode="External"/><Relationship Id="rId59" Type="http://schemas.openxmlformats.org/officeDocument/2006/relationships/hyperlink" Target="http://www.jesconet.co.jp/eg/facility/tokyo.html" TargetMode="External"/><Relationship Id="rId67" Type="http://schemas.openxmlformats.org/officeDocument/2006/relationships/hyperlink" Target="http://www.oecd.org" TargetMode="External"/><Relationship Id="rId20" Type="http://schemas.openxmlformats.org/officeDocument/2006/relationships/hyperlink" Target="http://www.befesa-steel.com/" TargetMode="External"/><Relationship Id="rId41" Type="http://schemas.openxmlformats.org/officeDocument/2006/relationships/hyperlink" Target="http://www.mst.dk/publications/" TargetMode="External"/><Relationship Id="rId54" Type="http://schemas.openxmlformats.org/officeDocument/2006/relationships/hyperlink" Target="http://www.ilo.org" TargetMode="External"/><Relationship Id="rId62" Type="http://schemas.openxmlformats.org/officeDocument/2006/relationships/hyperlink" Target="http://www.hchforum.com/6th/forum_book/" TargetMode="External"/><Relationship Id="rId70" Type="http://schemas.openxmlformats.org/officeDocument/2006/relationships/hyperlink" Target="http://www.hchforum.com/6th/forum_book/" TargetMode="External"/><Relationship Id="rId75" Type="http://schemas.openxmlformats.org/officeDocument/2006/relationships/hyperlink" Target="http://www.basel.int" TargetMode="External"/><Relationship Id="rId83" Type="http://schemas.openxmlformats.org/officeDocument/2006/relationships/hyperlink" Target="http://www.basel.int/TheConvention/ConferenceoftheParties/Meetings/COP11/tabid/3256/Default.aspx" TargetMode="External"/><Relationship Id="rId88" Type="http://schemas.openxmlformats.org/officeDocument/2006/relationships/hyperlink" Target="https://institute.unido.org/wp-content/uploads/2014/11/23.-Non-combustion-Technologies-for-POPs-Destruction-Review-and-Evaluation.pdf" TargetMode="External"/><Relationship Id="rId91" Type="http://schemas.openxmlformats.org/officeDocument/2006/relationships/header" Target="header1.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chem.unep.ch/pops/laboratory/default.htm" TargetMode="External"/><Relationship Id="rId23" Type="http://schemas.openxmlformats.org/officeDocument/2006/relationships/hyperlink" Target="http://www.fao.org" TargetMode="External"/><Relationship Id="rId28" Type="http://schemas.openxmlformats.org/officeDocument/2006/relationships/hyperlink" Target="http://www.epa.gov/superfund/policy/remedy/sfremedy/rifs.htm" TargetMode="External"/><Relationship Id="rId36" Type="http://schemas.openxmlformats.org/officeDocument/2006/relationships/hyperlink" Target="http://www.pic.int/TheConvention/Overview/TextoftheConvention/tabid/1048/language/en-US/Default.aspx" TargetMode="External"/><Relationship Id="rId49" Type="http://schemas.openxmlformats.org/officeDocument/2006/relationships/hyperlink" Target="http://www.umweltbundesamt.de/publikationen/identification-of-potentially-pop-containing-wastes" TargetMode="External"/><Relationship Id="rId57" Type="http://schemas.openxmlformats.org/officeDocument/2006/relationships/hyperlink" Target="http://www.jesconet.co.jp/eg/facility/toyota.html" TargetMode="External"/><Relationship Id="rId10" Type="http://schemas.openxmlformats.org/officeDocument/2006/relationships/webSettings" Target="webSettings.xml"/><Relationship Id="rId31" Type="http://schemas.openxmlformats.org/officeDocument/2006/relationships/hyperlink" Target="http://www.unece.org/env/lrtap/pops_h1.html" TargetMode="External"/><Relationship Id="rId44" Type="http://schemas.openxmlformats.org/officeDocument/2006/relationships/hyperlink" Target="http://eippcb.jrc.ec.europa.eu/reference/nfm.html" TargetMode="External"/><Relationship Id="rId52" Type="http://schemas.openxmlformats.org/officeDocument/2006/relationships/hyperlink" Target="http://www.unece.org/trans/danger/publi/ghs/ghs_welcome_e.html" TargetMode="External"/><Relationship Id="rId60" Type="http://schemas.openxmlformats.org/officeDocument/2006/relationships/hyperlink" Target="http://www.jesconet.co.jp/eg/facility/hokkaido.html" TargetMode="External"/><Relationship Id="rId65" Type="http://schemas.openxmlformats.org/officeDocument/2006/relationships/hyperlink" Target="http://www.env.go.jp/en/focus/docs/files/201304-89.pdf" TargetMode="External"/><Relationship Id="rId73" Type="http://schemas.openxmlformats.org/officeDocument/2006/relationships/hyperlink" Target="http://www.basel.int" TargetMode="External"/><Relationship Id="rId78" Type="http://schemas.openxmlformats.org/officeDocument/2006/relationships/hyperlink" Target="http://chm.pops.int/Implementation/PCBs/DocumentsPublications/tabid/665/Default.aspx" TargetMode="External"/><Relationship Id="rId81" Type="http://schemas.openxmlformats.org/officeDocument/2006/relationships/hyperlink" Target="http://www.chem.unep.ch/pops/laboratory/default.htm" TargetMode="External"/><Relationship Id="rId86" Type="http://schemas.openxmlformats.org/officeDocument/2006/relationships/hyperlink" Target="http://www.basel.int" TargetMode="External"/><Relationship Id="rId9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paulwurth.com" TargetMode="External"/><Relationship Id="rId39" Type="http://schemas.openxmlformats.org/officeDocument/2006/relationships/hyperlink" Target="http://www.ccme.c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exsil.com/products/" TargetMode="External"/><Relationship Id="rId2" Type="http://schemas.openxmlformats.org/officeDocument/2006/relationships/hyperlink" Target="http://chm.pops.int/Implementation/NIPs/Guidance/tabid/2882/Default.aspx" TargetMode="External"/><Relationship Id="rId1" Type="http://schemas.openxmlformats.org/officeDocument/2006/relationships/hyperlink" Target="http://chm.pops.int/Implementation/BATandBEP/Guidance/tabid/3636/Default.aspx" TargetMode="External"/><Relationship Id="rId5" Type="http://schemas.openxmlformats.org/officeDocument/2006/relationships/hyperlink" Target="http://www.synbra.com/en/39/187/raw_materials.aspx" TargetMode="External"/><Relationship Id="rId4" Type="http://schemas.openxmlformats.org/officeDocument/2006/relationships/hyperlink" Target="http://www.crl-freiburg.eu/dioxin/bioanalytic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77D6B-4CF3-429F-8D60-6008A1219B68}">
  <ds:schemaRefs>
    <ds:schemaRef ds:uri="http://schemas.openxmlformats.org/officeDocument/2006/bibliography"/>
  </ds:schemaRefs>
</ds:datastoreItem>
</file>

<file path=customXml/itemProps2.xml><?xml version="1.0" encoding="utf-8"?>
<ds:datastoreItem xmlns:ds="http://schemas.openxmlformats.org/officeDocument/2006/customXml" ds:itemID="{9841ECFB-028B-4DC6-B1D7-421B22FC3B0F}">
  <ds:schemaRefs>
    <ds:schemaRef ds:uri="http://schemas.openxmlformats.org/officeDocument/2006/bibliography"/>
  </ds:schemaRefs>
</ds:datastoreItem>
</file>

<file path=customXml/itemProps3.xml><?xml version="1.0" encoding="utf-8"?>
<ds:datastoreItem xmlns:ds="http://schemas.openxmlformats.org/officeDocument/2006/customXml" ds:itemID="{36BDE37F-E056-4D3E-A781-C99B8DA07F3A}">
  <ds:schemaRefs>
    <ds:schemaRef ds:uri="http://schemas.openxmlformats.org/officeDocument/2006/bibliography"/>
  </ds:schemaRefs>
</ds:datastoreItem>
</file>

<file path=customXml/itemProps4.xml><?xml version="1.0" encoding="utf-8"?>
<ds:datastoreItem xmlns:ds="http://schemas.openxmlformats.org/officeDocument/2006/customXml" ds:itemID="{C1C0A99F-41A2-4F90-9512-7291C2F0C3B0}">
  <ds:schemaRefs>
    <ds:schemaRef ds:uri="http://schemas.openxmlformats.org/officeDocument/2006/bibliography"/>
  </ds:schemaRefs>
</ds:datastoreItem>
</file>

<file path=customXml/itemProps5.xml><?xml version="1.0" encoding="utf-8"?>
<ds:datastoreItem xmlns:ds="http://schemas.openxmlformats.org/officeDocument/2006/customXml" ds:itemID="{618795F9-950F-4865-8AFA-4BB4EE3BC5C4}">
  <ds:schemaRefs>
    <ds:schemaRef ds:uri="http://schemas.openxmlformats.org/officeDocument/2006/bibliography"/>
  </ds:schemaRefs>
</ds:datastoreItem>
</file>

<file path=customXml/itemProps6.xml><?xml version="1.0" encoding="utf-8"?>
<ds:datastoreItem xmlns:ds="http://schemas.openxmlformats.org/officeDocument/2006/customXml" ds:itemID="{F10DF694-9AD4-44C0-9B49-3BE4A53A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66</Pages>
  <Words>31420</Words>
  <Characters>185378</Characters>
  <Application>Microsoft Office Word</Application>
  <DocSecurity>0</DocSecurity>
  <Lines>3497</Lines>
  <Paragraphs>1791</Paragraphs>
  <ScaleCrop>false</ScaleCrop>
  <HeadingPairs>
    <vt:vector size="2" baseType="variant">
      <vt:variant>
        <vt:lpstr>Title</vt:lpstr>
      </vt:variant>
      <vt:variant>
        <vt:i4>1</vt:i4>
      </vt:variant>
    </vt:vector>
  </HeadingPairs>
  <TitlesOfParts>
    <vt:vector size="1" baseType="lpstr">
      <vt:lpstr/>
    </vt:vector>
  </TitlesOfParts>
  <Company>BRS</Company>
  <LinksUpToDate>false</LinksUpToDate>
  <CharactersWithSpaces>215007</CharactersWithSpaces>
  <SharedDoc>false</SharedDoc>
  <HLinks>
    <vt:vector size="492" baseType="variant">
      <vt:variant>
        <vt:i4>5046306</vt:i4>
      </vt:variant>
      <vt:variant>
        <vt:i4>492</vt:i4>
      </vt:variant>
      <vt:variant>
        <vt:i4>0</vt:i4>
      </vt:variant>
      <vt:variant>
        <vt:i4>5</vt:i4>
      </vt:variant>
      <vt:variant>
        <vt:lpwstr>http://140.194.76.129/publications/eng-manuals/EM_1110-1-4007_sec/EM_1110-1-4007.pdf</vt:lpwstr>
      </vt:variant>
      <vt:variant>
        <vt:lpwstr/>
      </vt:variant>
      <vt:variant>
        <vt:i4>4587535</vt:i4>
      </vt:variant>
      <vt:variant>
        <vt:i4>489</vt:i4>
      </vt:variant>
      <vt:variant>
        <vt:i4>0</vt:i4>
      </vt:variant>
      <vt:variant>
        <vt:i4>5</vt:i4>
      </vt:variant>
      <vt:variant>
        <vt:lpwstr>http://www.unido.org/index.php?id=1001169</vt:lpwstr>
      </vt:variant>
      <vt:variant>
        <vt:lpwstr/>
      </vt:variant>
      <vt:variant>
        <vt:i4>5570645</vt:i4>
      </vt:variant>
      <vt:variant>
        <vt:i4>486</vt:i4>
      </vt:variant>
      <vt:variant>
        <vt:i4>0</vt:i4>
      </vt:variant>
      <vt:variant>
        <vt:i4>5</vt:i4>
      </vt:variant>
      <vt:variant>
        <vt:lpwstr>https://institute.unido.org/wp-content/uploads/2014/11/23.-Non-combustion-Technologies-for-POPs-Destruction-Review-and-Evaluation.pdf</vt:lpwstr>
      </vt:variant>
      <vt:variant>
        <vt:lpwstr/>
      </vt:variant>
      <vt:variant>
        <vt:i4>4915220</vt:i4>
      </vt:variant>
      <vt:variant>
        <vt:i4>483</vt:i4>
      </vt:variant>
      <vt:variant>
        <vt:i4>0</vt:i4>
      </vt:variant>
      <vt:variant>
        <vt:i4>5</vt:i4>
      </vt:variant>
      <vt:variant>
        <vt:lpwstr>http://www.basel.int/</vt:lpwstr>
      </vt:variant>
      <vt:variant>
        <vt:lpwstr/>
      </vt:variant>
      <vt:variant>
        <vt:i4>4915220</vt:i4>
      </vt:variant>
      <vt:variant>
        <vt:i4>480</vt:i4>
      </vt:variant>
      <vt:variant>
        <vt:i4>0</vt:i4>
      </vt:variant>
      <vt:variant>
        <vt:i4>5</vt:i4>
      </vt:variant>
      <vt:variant>
        <vt:lpwstr>http://www.basel.int/</vt:lpwstr>
      </vt:variant>
      <vt:variant>
        <vt:lpwstr/>
      </vt:variant>
      <vt:variant>
        <vt:i4>4915220</vt:i4>
      </vt:variant>
      <vt:variant>
        <vt:i4>477</vt:i4>
      </vt:variant>
      <vt:variant>
        <vt:i4>0</vt:i4>
      </vt:variant>
      <vt:variant>
        <vt:i4>5</vt:i4>
      </vt:variant>
      <vt:variant>
        <vt:lpwstr>http://www.basel.int/</vt:lpwstr>
      </vt:variant>
      <vt:variant>
        <vt:lpwstr/>
      </vt:variant>
      <vt:variant>
        <vt:i4>3342460</vt:i4>
      </vt:variant>
      <vt:variant>
        <vt:i4>474</vt:i4>
      </vt:variant>
      <vt:variant>
        <vt:i4>0</vt:i4>
      </vt:variant>
      <vt:variant>
        <vt:i4>5</vt:i4>
      </vt:variant>
      <vt:variant>
        <vt:lpwstr>http://www.chem.unep.ch/gmn/GuidanceGPM.pdf</vt:lpwstr>
      </vt:variant>
      <vt:variant>
        <vt:lpwstr/>
      </vt:variant>
      <vt:variant>
        <vt:i4>6094848</vt:i4>
      </vt:variant>
      <vt:variant>
        <vt:i4>471</vt:i4>
      </vt:variant>
      <vt:variant>
        <vt:i4>0</vt:i4>
      </vt:variant>
      <vt:variant>
        <vt:i4>5</vt:i4>
      </vt:variant>
      <vt:variant>
        <vt:lpwstr>http://www.basel.int/TheConvention/ConferenceoftheParties/Meetings/COP11/tabid/3256/Default.aspx</vt:lpwstr>
      </vt:variant>
      <vt:variant>
        <vt:lpwstr/>
      </vt:variant>
      <vt:variant>
        <vt:i4>524360</vt:i4>
      </vt:variant>
      <vt:variant>
        <vt:i4>468</vt:i4>
      </vt:variant>
      <vt:variant>
        <vt:i4>0</vt:i4>
      </vt:variant>
      <vt:variant>
        <vt:i4>5</vt:i4>
      </vt:variant>
      <vt:variant>
        <vt:lpwstr>http://chm.pops.int/Implementation/NIPs/Guidance/GuidanceforDevelopingNIP/tabid/3166/Default.aspx</vt:lpwstr>
      </vt:variant>
      <vt:variant>
        <vt:lpwstr/>
      </vt:variant>
      <vt:variant>
        <vt:i4>2752574</vt:i4>
      </vt:variant>
      <vt:variant>
        <vt:i4>465</vt:i4>
      </vt:variant>
      <vt:variant>
        <vt:i4>0</vt:i4>
      </vt:variant>
      <vt:variant>
        <vt:i4>5</vt:i4>
      </vt:variant>
      <vt:variant>
        <vt:lpwstr>http://www.chem.unep.ch/pops/laboratory/default.htm</vt:lpwstr>
      </vt:variant>
      <vt:variant>
        <vt:lpwstr/>
      </vt:variant>
      <vt:variant>
        <vt:i4>786483</vt:i4>
      </vt:variant>
      <vt:variant>
        <vt:i4>462</vt:i4>
      </vt:variant>
      <vt:variant>
        <vt:i4>0</vt:i4>
      </vt:variant>
      <vt:variant>
        <vt:i4>5</vt:i4>
      </vt:variant>
      <vt:variant>
        <vt:lpwstr>http://www.ihpa.info/docs/library/reports/Pops/June2009/DEFSBCLogo_Inciner_180608_.pdf</vt:lpwstr>
      </vt:variant>
      <vt:variant>
        <vt:lpwstr/>
      </vt:variant>
      <vt:variant>
        <vt:i4>4325488</vt:i4>
      </vt:variant>
      <vt:variant>
        <vt:i4>459</vt:i4>
      </vt:variant>
      <vt:variant>
        <vt:i4>0</vt:i4>
      </vt:variant>
      <vt:variant>
        <vt:i4>5</vt:i4>
      </vt:variant>
      <vt:variant>
        <vt:lpwstr>http://ozone.unep.org/Assessment_Panels/TEAP/Reports/Other_Task_Force/TEAP02V3b.pdf</vt:lpwstr>
      </vt:variant>
      <vt:variant>
        <vt:lpwstr/>
      </vt:variant>
      <vt:variant>
        <vt:i4>5832705</vt:i4>
      </vt:variant>
      <vt:variant>
        <vt:i4>456</vt:i4>
      </vt:variant>
      <vt:variant>
        <vt:i4>0</vt:i4>
      </vt:variant>
      <vt:variant>
        <vt:i4>5</vt:i4>
      </vt:variant>
      <vt:variant>
        <vt:lpwstr>http://chm.pops.int/Implementation/PCBs/DocumentsPublications/tabid/665/Default.aspx</vt:lpwstr>
      </vt:variant>
      <vt:variant>
        <vt:lpwstr/>
      </vt:variant>
      <vt:variant>
        <vt:i4>5308419</vt:i4>
      </vt:variant>
      <vt:variant>
        <vt:i4>453</vt:i4>
      </vt:variant>
      <vt:variant>
        <vt:i4>0</vt:i4>
      </vt:variant>
      <vt:variant>
        <vt:i4>5</vt:i4>
      </vt:variant>
      <vt:variant>
        <vt:lpwstr>http://www.chem.unep.ch/</vt:lpwstr>
      </vt:variant>
      <vt:variant>
        <vt:lpwstr/>
      </vt:variant>
      <vt:variant>
        <vt:i4>5308419</vt:i4>
      </vt:variant>
      <vt:variant>
        <vt:i4>450</vt:i4>
      </vt:variant>
      <vt:variant>
        <vt:i4>0</vt:i4>
      </vt:variant>
      <vt:variant>
        <vt:i4>5</vt:i4>
      </vt:variant>
      <vt:variant>
        <vt:lpwstr>http://www.chem.unep.ch/</vt:lpwstr>
      </vt:variant>
      <vt:variant>
        <vt:lpwstr/>
      </vt:variant>
      <vt:variant>
        <vt:i4>4915220</vt:i4>
      </vt:variant>
      <vt:variant>
        <vt:i4>447</vt:i4>
      </vt:variant>
      <vt:variant>
        <vt:i4>0</vt:i4>
      </vt:variant>
      <vt:variant>
        <vt:i4>5</vt:i4>
      </vt:variant>
      <vt:variant>
        <vt:lpwstr>http://www.basel.int/</vt:lpwstr>
      </vt:variant>
      <vt:variant>
        <vt:lpwstr/>
      </vt:variant>
      <vt:variant>
        <vt:i4>4915220</vt:i4>
      </vt:variant>
      <vt:variant>
        <vt:i4>444</vt:i4>
      </vt:variant>
      <vt:variant>
        <vt:i4>0</vt:i4>
      </vt:variant>
      <vt:variant>
        <vt:i4>5</vt:i4>
      </vt:variant>
      <vt:variant>
        <vt:lpwstr>http://www.basel.int/</vt:lpwstr>
      </vt:variant>
      <vt:variant>
        <vt:lpwstr/>
      </vt:variant>
      <vt:variant>
        <vt:i4>4915220</vt:i4>
      </vt:variant>
      <vt:variant>
        <vt:i4>441</vt:i4>
      </vt:variant>
      <vt:variant>
        <vt:i4>0</vt:i4>
      </vt:variant>
      <vt:variant>
        <vt:i4>5</vt:i4>
      </vt:variant>
      <vt:variant>
        <vt:lpwstr>http://www.basel.int/</vt:lpwstr>
      </vt:variant>
      <vt:variant>
        <vt:lpwstr/>
      </vt:variant>
      <vt:variant>
        <vt:i4>5636097</vt:i4>
      </vt:variant>
      <vt:variant>
        <vt:i4>438</vt:i4>
      </vt:variant>
      <vt:variant>
        <vt:i4>0</vt:i4>
      </vt:variant>
      <vt:variant>
        <vt:i4>5</vt:i4>
      </vt:variant>
      <vt:variant>
        <vt:lpwstr>http://www.unece.org/</vt:lpwstr>
      </vt:variant>
      <vt:variant>
        <vt:lpwstr/>
      </vt:variant>
      <vt:variant>
        <vt:i4>6553644</vt:i4>
      </vt:variant>
      <vt:variant>
        <vt:i4>435</vt:i4>
      </vt:variant>
      <vt:variant>
        <vt:i4>0</vt:i4>
      </vt:variant>
      <vt:variant>
        <vt:i4>5</vt:i4>
      </vt:variant>
      <vt:variant>
        <vt:lpwstr>http://www.unece.org/env/pp/treatytext.html</vt:lpwstr>
      </vt:variant>
      <vt:variant>
        <vt:lpwstr/>
      </vt:variant>
      <vt:variant>
        <vt:i4>4522094</vt:i4>
      </vt:variant>
      <vt:variant>
        <vt:i4>432</vt:i4>
      </vt:variant>
      <vt:variant>
        <vt:i4>0</vt:i4>
      </vt:variant>
      <vt:variant>
        <vt:i4>5</vt:i4>
      </vt:variant>
      <vt:variant>
        <vt:lpwstr>http://www.hchforum.com/6th/forum_book/</vt:lpwstr>
      </vt:variant>
      <vt:variant>
        <vt:lpwstr/>
      </vt:variant>
      <vt:variant>
        <vt:i4>5505113</vt:i4>
      </vt:variant>
      <vt:variant>
        <vt:i4>429</vt:i4>
      </vt:variant>
      <vt:variant>
        <vt:i4>0</vt:i4>
      </vt:variant>
      <vt:variant>
        <vt:i4>5</vt:i4>
      </vt:variant>
      <vt:variant>
        <vt:lpwstr>http://www.oecd.org/</vt:lpwstr>
      </vt:variant>
      <vt:variant>
        <vt:lpwstr/>
      </vt:variant>
      <vt:variant>
        <vt:i4>5505113</vt:i4>
      </vt:variant>
      <vt:variant>
        <vt:i4>426</vt:i4>
      </vt:variant>
      <vt:variant>
        <vt:i4>0</vt:i4>
      </vt:variant>
      <vt:variant>
        <vt:i4>5</vt:i4>
      </vt:variant>
      <vt:variant>
        <vt:lpwstr>http://www.oecd.org/</vt:lpwstr>
      </vt:variant>
      <vt:variant>
        <vt:lpwstr/>
      </vt:variant>
      <vt:variant>
        <vt:i4>5505113</vt:i4>
      </vt:variant>
      <vt:variant>
        <vt:i4>423</vt:i4>
      </vt:variant>
      <vt:variant>
        <vt:i4>0</vt:i4>
      </vt:variant>
      <vt:variant>
        <vt:i4>5</vt:i4>
      </vt:variant>
      <vt:variant>
        <vt:lpwstr>http://www.oecd.org/</vt:lpwstr>
      </vt:variant>
      <vt:variant>
        <vt:lpwstr/>
      </vt:variant>
      <vt:variant>
        <vt:i4>6946926</vt:i4>
      </vt:variant>
      <vt:variant>
        <vt:i4>420</vt:i4>
      </vt:variant>
      <vt:variant>
        <vt:i4>0</vt:i4>
      </vt:variant>
      <vt:variant>
        <vt:i4>5</vt:i4>
      </vt:variant>
      <vt:variant>
        <vt:lpwstr>http://www.norden.org/en/publications/order</vt:lpwstr>
      </vt:variant>
      <vt:variant>
        <vt:lpwstr/>
      </vt:variant>
      <vt:variant>
        <vt:i4>2752620</vt:i4>
      </vt:variant>
      <vt:variant>
        <vt:i4>417</vt:i4>
      </vt:variant>
      <vt:variant>
        <vt:i4>0</vt:i4>
      </vt:variant>
      <vt:variant>
        <vt:i4>5</vt:i4>
      </vt:variant>
      <vt:variant>
        <vt:lpwstr>http://www.env.go.jp/en/focus/docs/files/201304-89.pdf</vt:lpwstr>
      </vt:variant>
      <vt:variant>
        <vt:lpwstr/>
      </vt:variant>
      <vt:variant>
        <vt:i4>458752</vt:i4>
      </vt:variant>
      <vt:variant>
        <vt:i4>414</vt:i4>
      </vt:variant>
      <vt:variant>
        <vt:i4>0</vt:i4>
      </vt:variant>
      <vt:variant>
        <vt:i4>5</vt:i4>
      </vt:variant>
      <vt:variant>
        <vt:lpwstr>http://www.env.go.jp/chemi/pops/3rd/mat02.pdf</vt:lpwstr>
      </vt:variant>
      <vt:variant>
        <vt:lpwstr/>
      </vt:variant>
      <vt:variant>
        <vt:i4>4259852</vt:i4>
      </vt:variant>
      <vt:variant>
        <vt:i4>411</vt:i4>
      </vt:variant>
      <vt:variant>
        <vt:i4>0</vt:i4>
      </vt:variant>
      <vt:variant>
        <vt:i4>5</vt:i4>
      </vt:variant>
      <vt:variant>
        <vt:lpwstr>../../../../../../../../looa/Desktop/backup/x. e-binder/www.env.go.jp/en/chemi/pops/eaws.html</vt:lpwstr>
      </vt:variant>
      <vt:variant>
        <vt:lpwstr/>
      </vt:variant>
      <vt:variant>
        <vt:i4>4522094</vt:i4>
      </vt:variant>
      <vt:variant>
        <vt:i4>408</vt:i4>
      </vt:variant>
      <vt:variant>
        <vt:i4>0</vt:i4>
      </vt:variant>
      <vt:variant>
        <vt:i4>5</vt:i4>
      </vt:variant>
      <vt:variant>
        <vt:lpwstr>http://www.hchforum.com/6th/forum_book/</vt:lpwstr>
      </vt:variant>
      <vt:variant>
        <vt:lpwstr/>
      </vt:variant>
      <vt:variant>
        <vt:i4>5111880</vt:i4>
      </vt:variant>
      <vt:variant>
        <vt:i4>405</vt:i4>
      </vt:variant>
      <vt:variant>
        <vt:i4>0</vt:i4>
      </vt:variant>
      <vt:variant>
        <vt:i4>5</vt:i4>
      </vt:variant>
      <vt:variant>
        <vt:lpwstr>http://sawic.environment.gov.za/documents/461.pdf</vt:lpwstr>
      </vt:variant>
      <vt:variant>
        <vt:lpwstr/>
      </vt:variant>
      <vt:variant>
        <vt:i4>7209087</vt:i4>
      </vt:variant>
      <vt:variant>
        <vt:i4>402</vt:i4>
      </vt:variant>
      <vt:variant>
        <vt:i4>0</vt:i4>
      </vt:variant>
      <vt:variant>
        <vt:i4>5</vt:i4>
      </vt:variant>
      <vt:variant>
        <vt:lpwstr>http://www.jesconet.co.jp/eg/facility/hokkaido.html</vt:lpwstr>
      </vt:variant>
      <vt:variant>
        <vt:lpwstr/>
      </vt:variant>
      <vt:variant>
        <vt:i4>4784214</vt:i4>
      </vt:variant>
      <vt:variant>
        <vt:i4>399</vt:i4>
      </vt:variant>
      <vt:variant>
        <vt:i4>0</vt:i4>
      </vt:variant>
      <vt:variant>
        <vt:i4>5</vt:i4>
      </vt:variant>
      <vt:variant>
        <vt:lpwstr>http://www.jesconet.co.jp/eg/facility/tokyo.html</vt:lpwstr>
      </vt:variant>
      <vt:variant>
        <vt:lpwstr/>
      </vt:variant>
      <vt:variant>
        <vt:i4>4653129</vt:i4>
      </vt:variant>
      <vt:variant>
        <vt:i4>396</vt:i4>
      </vt:variant>
      <vt:variant>
        <vt:i4>0</vt:i4>
      </vt:variant>
      <vt:variant>
        <vt:i4>5</vt:i4>
      </vt:variant>
      <vt:variant>
        <vt:lpwstr>http://www.jesconet.co.jp/eg/facility/osaka.html</vt:lpwstr>
      </vt:variant>
      <vt:variant>
        <vt:lpwstr/>
      </vt:variant>
      <vt:variant>
        <vt:i4>851968</vt:i4>
      </vt:variant>
      <vt:variant>
        <vt:i4>393</vt:i4>
      </vt:variant>
      <vt:variant>
        <vt:i4>0</vt:i4>
      </vt:variant>
      <vt:variant>
        <vt:i4>5</vt:i4>
      </vt:variant>
      <vt:variant>
        <vt:lpwstr>http://www.jesconet.co.jp/eg/facility/toyota.html</vt:lpwstr>
      </vt:variant>
      <vt:variant>
        <vt:lpwstr/>
      </vt:variant>
      <vt:variant>
        <vt:i4>1769488</vt:i4>
      </vt:variant>
      <vt:variant>
        <vt:i4>390</vt:i4>
      </vt:variant>
      <vt:variant>
        <vt:i4>0</vt:i4>
      </vt:variant>
      <vt:variant>
        <vt:i4>5</vt:i4>
      </vt:variant>
      <vt:variant>
        <vt:lpwstr>http://www.jesconet.co.jp/eg/facility/kitakyushu.html</vt:lpwstr>
      </vt:variant>
      <vt:variant>
        <vt:lpwstr/>
      </vt:variant>
      <vt:variant>
        <vt:i4>5832797</vt:i4>
      </vt:variant>
      <vt:variant>
        <vt:i4>387</vt:i4>
      </vt:variant>
      <vt:variant>
        <vt:i4>0</vt:i4>
      </vt:variant>
      <vt:variant>
        <vt:i4>5</vt:i4>
      </vt:variant>
      <vt:variant>
        <vt:lpwstr>http://www.inchem.org/pages/hsg.html</vt:lpwstr>
      </vt:variant>
      <vt:variant>
        <vt:lpwstr/>
      </vt:variant>
      <vt:variant>
        <vt:i4>2424928</vt:i4>
      </vt:variant>
      <vt:variant>
        <vt:i4>384</vt:i4>
      </vt:variant>
      <vt:variant>
        <vt:i4>0</vt:i4>
      </vt:variant>
      <vt:variant>
        <vt:i4>5</vt:i4>
      </vt:variant>
      <vt:variant>
        <vt:lpwstr>http://www.ilo.org/</vt:lpwstr>
      </vt:variant>
      <vt:variant>
        <vt:lpwstr/>
      </vt:variant>
      <vt:variant>
        <vt:i4>2424928</vt:i4>
      </vt:variant>
      <vt:variant>
        <vt:i4>381</vt:i4>
      </vt:variant>
      <vt:variant>
        <vt:i4>0</vt:i4>
      </vt:variant>
      <vt:variant>
        <vt:i4>5</vt:i4>
      </vt:variant>
      <vt:variant>
        <vt:lpwstr>http://www.ilo.org/</vt:lpwstr>
      </vt:variant>
      <vt:variant>
        <vt:lpwstr/>
      </vt:variant>
      <vt:variant>
        <vt:i4>3407971</vt:i4>
      </vt:variant>
      <vt:variant>
        <vt:i4>378</vt:i4>
      </vt:variant>
      <vt:variant>
        <vt:i4>0</vt:i4>
      </vt:variant>
      <vt:variant>
        <vt:i4>5</vt:i4>
      </vt:variant>
      <vt:variant>
        <vt:lpwstr>http://www.unece.org/trans/danger/publi/ghs/ghs_welcome_e.html</vt:lpwstr>
      </vt:variant>
      <vt:variant>
        <vt:lpwstr/>
      </vt:variant>
      <vt:variant>
        <vt:i4>5046367</vt:i4>
      </vt:variant>
      <vt:variant>
        <vt:i4>375</vt:i4>
      </vt:variant>
      <vt:variant>
        <vt:i4>0</vt:i4>
      </vt:variant>
      <vt:variant>
        <vt:i4>5</vt:i4>
      </vt:variant>
      <vt:variant>
        <vt:lpwstr>http://pops.gpa.unep.org/</vt:lpwstr>
      </vt:variant>
      <vt:variant>
        <vt:lpwstr/>
      </vt:variant>
      <vt:variant>
        <vt:i4>3997733</vt:i4>
      </vt:variant>
      <vt:variant>
        <vt:i4>372</vt:i4>
      </vt:variant>
      <vt:variant>
        <vt:i4>0</vt:i4>
      </vt:variant>
      <vt:variant>
        <vt:i4>5</vt:i4>
      </vt:variant>
      <vt:variant>
        <vt:lpwstr>http://www.bmub.bund.de/fileadmin/bmu-import/files/english/pdf/application/pdf/muellverbrennung_dioxin_en.pdf</vt:lpwstr>
      </vt:variant>
      <vt:variant>
        <vt:lpwstr/>
      </vt:variant>
      <vt:variant>
        <vt:i4>8257652</vt:i4>
      </vt:variant>
      <vt:variant>
        <vt:i4>369</vt:i4>
      </vt:variant>
      <vt:variant>
        <vt:i4>0</vt:i4>
      </vt:variant>
      <vt:variant>
        <vt:i4>5</vt:i4>
      </vt:variant>
      <vt:variant>
        <vt:lpwstr>http://www.umweltbundesamt.de/publikationen/identification-of-potentially-pop-containing-wastes</vt:lpwstr>
      </vt:variant>
      <vt:variant>
        <vt:lpwstr/>
      </vt:variant>
      <vt:variant>
        <vt:i4>7536762</vt:i4>
      </vt:variant>
      <vt:variant>
        <vt:i4>366</vt:i4>
      </vt:variant>
      <vt:variant>
        <vt:i4>0</vt:i4>
      </vt:variant>
      <vt:variant>
        <vt:i4>5</vt:i4>
      </vt:variant>
      <vt:variant>
        <vt:lpwstr>http://www.dioxindb.de/index-e.html</vt:lpwstr>
      </vt:variant>
      <vt:variant>
        <vt:lpwstr/>
      </vt:variant>
      <vt:variant>
        <vt:i4>2228298</vt:i4>
      </vt:variant>
      <vt:variant>
        <vt:i4>363</vt:i4>
      </vt:variant>
      <vt:variant>
        <vt:i4>0</vt:i4>
      </vt:variant>
      <vt:variant>
        <vt:i4>5</vt:i4>
      </vt:variant>
      <vt:variant>
        <vt:lpwstr>http://www.frtr.gov/matrix2/top_page.html</vt:lpwstr>
      </vt:variant>
      <vt:variant>
        <vt:lpwstr/>
      </vt:variant>
      <vt:variant>
        <vt:i4>5373963</vt:i4>
      </vt:variant>
      <vt:variant>
        <vt:i4>360</vt:i4>
      </vt:variant>
      <vt:variant>
        <vt:i4>0</vt:i4>
      </vt:variant>
      <vt:variant>
        <vt:i4>5</vt:i4>
      </vt:variant>
      <vt:variant>
        <vt:lpwstr>http://ec.europa.eu/environment/waste/studies/pdf/POP_Waste_2010.pdf</vt:lpwstr>
      </vt:variant>
      <vt:variant>
        <vt:lpwstr/>
      </vt:variant>
      <vt:variant>
        <vt:i4>2293854</vt:i4>
      </vt:variant>
      <vt:variant>
        <vt:i4>357</vt:i4>
      </vt:variant>
      <vt:variant>
        <vt:i4>0</vt:i4>
      </vt:variant>
      <vt:variant>
        <vt:i4>5</vt:i4>
      </vt:variant>
      <vt:variant>
        <vt:lpwstr>http://eippcb.jrc.ec.europa.eu/reference/BREF/IS_Adopted_03_2012.pdf</vt:lpwstr>
      </vt:variant>
      <vt:variant>
        <vt:lpwstr/>
      </vt:variant>
      <vt:variant>
        <vt:i4>1769492</vt:i4>
      </vt:variant>
      <vt:variant>
        <vt:i4>354</vt:i4>
      </vt:variant>
      <vt:variant>
        <vt:i4>0</vt:i4>
      </vt:variant>
      <vt:variant>
        <vt:i4>5</vt:i4>
      </vt:variant>
      <vt:variant>
        <vt:lpwstr>http://eippcb.jrc.ec.europa.eu/reference/nfm.html</vt:lpwstr>
      </vt:variant>
      <vt:variant>
        <vt:lpwstr/>
      </vt:variant>
      <vt:variant>
        <vt:i4>4063329</vt:i4>
      </vt:variant>
      <vt:variant>
        <vt:i4>351</vt:i4>
      </vt:variant>
      <vt:variant>
        <vt:i4>0</vt:i4>
      </vt:variant>
      <vt:variant>
        <vt:i4>5</vt:i4>
      </vt:variant>
      <vt:variant>
        <vt:lpwstr>http://www.epa.gov/</vt:lpwstr>
      </vt:variant>
      <vt:variant>
        <vt:lpwstr/>
      </vt:variant>
      <vt:variant>
        <vt:i4>4063329</vt:i4>
      </vt:variant>
      <vt:variant>
        <vt:i4>348</vt:i4>
      </vt:variant>
      <vt:variant>
        <vt:i4>0</vt:i4>
      </vt:variant>
      <vt:variant>
        <vt:i4>5</vt:i4>
      </vt:variant>
      <vt:variant>
        <vt:lpwstr>http://www.epa.gov/</vt:lpwstr>
      </vt:variant>
      <vt:variant>
        <vt:lpwstr/>
      </vt:variant>
      <vt:variant>
        <vt:i4>7012475</vt:i4>
      </vt:variant>
      <vt:variant>
        <vt:i4>345</vt:i4>
      </vt:variant>
      <vt:variant>
        <vt:i4>0</vt:i4>
      </vt:variant>
      <vt:variant>
        <vt:i4>5</vt:i4>
      </vt:variant>
      <vt:variant>
        <vt:lpwstr>http://www.mst.dk/publications/</vt:lpwstr>
      </vt:variant>
      <vt:variant>
        <vt:lpwstr/>
      </vt:variant>
      <vt:variant>
        <vt:i4>7864367</vt:i4>
      </vt:variant>
      <vt:variant>
        <vt:i4>342</vt:i4>
      </vt:variant>
      <vt:variant>
        <vt:i4>0</vt:i4>
      </vt:variant>
      <vt:variant>
        <vt:i4>5</vt:i4>
      </vt:variant>
      <vt:variant>
        <vt:lpwstr>http://www.deh.gov.au/</vt:lpwstr>
      </vt:variant>
      <vt:variant>
        <vt:lpwstr/>
      </vt:variant>
      <vt:variant>
        <vt:i4>6946869</vt:i4>
      </vt:variant>
      <vt:variant>
        <vt:i4>339</vt:i4>
      </vt:variant>
      <vt:variant>
        <vt:i4>0</vt:i4>
      </vt:variant>
      <vt:variant>
        <vt:i4>5</vt:i4>
      </vt:variant>
      <vt:variant>
        <vt:lpwstr>http://www.ccme.ca/</vt:lpwstr>
      </vt:variant>
      <vt:variant>
        <vt:lpwstr/>
      </vt:variant>
      <vt:variant>
        <vt:i4>6946869</vt:i4>
      </vt:variant>
      <vt:variant>
        <vt:i4>336</vt:i4>
      </vt:variant>
      <vt:variant>
        <vt:i4>0</vt:i4>
      </vt:variant>
      <vt:variant>
        <vt:i4>5</vt:i4>
      </vt:variant>
      <vt:variant>
        <vt:lpwstr>http://www.ccme.ca/</vt:lpwstr>
      </vt:variant>
      <vt:variant>
        <vt:lpwstr/>
      </vt:variant>
      <vt:variant>
        <vt:i4>5898315</vt:i4>
      </vt:variant>
      <vt:variant>
        <vt:i4>333</vt:i4>
      </vt:variant>
      <vt:variant>
        <vt:i4>0</vt:i4>
      </vt:variant>
      <vt:variant>
        <vt:i4>5</vt:i4>
      </vt:variant>
      <vt:variant>
        <vt:lpwstr>http://www.atsdr.cdc.gov/</vt:lpwstr>
      </vt:variant>
      <vt:variant>
        <vt:lpwstr/>
      </vt:variant>
      <vt:variant>
        <vt:i4>5767177</vt:i4>
      </vt:variant>
      <vt:variant>
        <vt:i4>330</vt:i4>
      </vt:variant>
      <vt:variant>
        <vt:i4>0</vt:i4>
      </vt:variant>
      <vt:variant>
        <vt:i4>5</vt:i4>
      </vt:variant>
      <vt:variant>
        <vt:lpwstr>http://www.pic.int/TheConvention/Overview/TextoftheConvention/tabid/1048/language/en-US/Default.aspx</vt:lpwstr>
      </vt:variant>
      <vt:variant>
        <vt:lpwstr/>
      </vt:variant>
      <vt:variant>
        <vt:i4>3670112</vt:i4>
      </vt:variant>
      <vt:variant>
        <vt:i4>327</vt:i4>
      </vt:variant>
      <vt:variant>
        <vt:i4>0</vt:i4>
      </vt:variant>
      <vt:variant>
        <vt:i4>5</vt:i4>
      </vt:variant>
      <vt:variant>
        <vt:lpwstr>http://www.oecd.org/env/waste/30654501.pdf</vt:lpwstr>
      </vt:variant>
      <vt:variant>
        <vt:lpwstr/>
      </vt:variant>
      <vt:variant>
        <vt:i4>5046286</vt:i4>
      </vt:variant>
      <vt:variant>
        <vt:i4>324</vt:i4>
      </vt:variant>
      <vt:variant>
        <vt:i4>0</vt:i4>
      </vt:variant>
      <vt:variant>
        <vt:i4>5</vt:i4>
      </vt:variant>
      <vt:variant>
        <vt:lpwstr>http://www2.unitar.org/cwm/publications/cbl/synergy/pdf/cat3/UNEP_regional_seas/convention_waigani/convention_waigani.pdf</vt:lpwstr>
      </vt:variant>
      <vt:variant>
        <vt:lpwstr/>
      </vt:variant>
      <vt:variant>
        <vt:i4>5832720</vt:i4>
      </vt:variant>
      <vt:variant>
        <vt:i4>321</vt:i4>
      </vt:variant>
      <vt:variant>
        <vt:i4>0</vt:i4>
      </vt:variant>
      <vt:variant>
        <vt:i4>5</vt:i4>
      </vt:variant>
      <vt:variant>
        <vt:lpwstr>http://www.unep.org/delc/BamakoConvention</vt:lpwstr>
      </vt:variant>
      <vt:variant>
        <vt:lpwstr/>
      </vt:variant>
      <vt:variant>
        <vt:i4>5505087</vt:i4>
      </vt:variant>
      <vt:variant>
        <vt:i4>318</vt:i4>
      </vt:variant>
      <vt:variant>
        <vt:i4>0</vt:i4>
      </vt:variant>
      <vt:variant>
        <vt:i4>5</vt:i4>
      </vt:variant>
      <vt:variant>
        <vt:lpwstr>https://treaties.un.org/pages/ViewDetails.aspx?src=TREATY&amp;mtdsg_no=XXVII-13&amp;chapter=27&amp;lang=en</vt:lpwstr>
      </vt:variant>
      <vt:variant>
        <vt:lpwstr/>
      </vt:variant>
      <vt:variant>
        <vt:i4>4587645</vt:i4>
      </vt:variant>
      <vt:variant>
        <vt:i4>315</vt:i4>
      </vt:variant>
      <vt:variant>
        <vt:i4>0</vt:i4>
      </vt:variant>
      <vt:variant>
        <vt:i4>5</vt:i4>
      </vt:variant>
      <vt:variant>
        <vt:lpwstr>http://www.unece.org/env/lrtap/pops_h1.html</vt:lpwstr>
      </vt:variant>
      <vt:variant>
        <vt:lpwstr/>
      </vt:variant>
      <vt:variant>
        <vt:i4>5046306</vt:i4>
      </vt:variant>
      <vt:variant>
        <vt:i4>312</vt:i4>
      </vt:variant>
      <vt:variant>
        <vt:i4>0</vt:i4>
      </vt:variant>
      <vt:variant>
        <vt:i4>5</vt:i4>
      </vt:variant>
      <vt:variant>
        <vt:lpwstr>http://140.194.76.129/publications/eng-manuals/EM_1110-1-4007_sec/EM_1110-1-4007.pdf</vt:lpwstr>
      </vt:variant>
      <vt:variant>
        <vt:lpwstr/>
      </vt:variant>
      <vt:variant>
        <vt:i4>1835075</vt:i4>
      </vt:variant>
      <vt:variant>
        <vt:i4>309</vt:i4>
      </vt:variant>
      <vt:variant>
        <vt:i4>0</vt:i4>
      </vt:variant>
      <vt:variant>
        <vt:i4>5</vt:i4>
      </vt:variant>
      <vt:variant>
        <vt:lpwstr>http://www.epa.gov/superfund/cleanup/rdra.htm</vt:lpwstr>
      </vt:variant>
      <vt:variant>
        <vt:lpwstr/>
      </vt:variant>
      <vt:variant>
        <vt:i4>5177347</vt:i4>
      </vt:variant>
      <vt:variant>
        <vt:i4>306</vt:i4>
      </vt:variant>
      <vt:variant>
        <vt:i4>0</vt:i4>
      </vt:variant>
      <vt:variant>
        <vt:i4>5</vt:i4>
      </vt:variant>
      <vt:variant>
        <vt:lpwstr>http://www.epa.gov/superfund/policy/remedy/sfremedy/rifs.htm</vt:lpwstr>
      </vt:variant>
      <vt:variant>
        <vt:lpwstr/>
      </vt:variant>
      <vt:variant>
        <vt:i4>2031694</vt:i4>
      </vt:variant>
      <vt:variant>
        <vt:i4>303</vt:i4>
      </vt:variant>
      <vt:variant>
        <vt:i4>0</vt:i4>
      </vt:variant>
      <vt:variant>
        <vt:i4>5</vt:i4>
      </vt:variant>
      <vt:variant>
        <vt:lpwstr>http://www.epa.gov/superfund/cleanup/pasi.htm</vt:lpwstr>
      </vt:variant>
      <vt:variant>
        <vt:lpwstr/>
      </vt:variant>
      <vt:variant>
        <vt:i4>8323101</vt:i4>
      </vt:variant>
      <vt:variant>
        <vt:i4>300</vt:i4>
      </vt:variant>
      <vt:variant>
        <vt:i4>0</vt:i4>
      </vt:variant>
      <vt:variant>
        <vt:i4>5</vt:i4>
      </vt:variant>
      <vt:variant>
        <vt:lpwstr>http://www.epa.gov/oswer/riskassessment/risk_superfund.htm</vt:lpwstr>
      </vt:variant>
      <vt:variant>
        <vt:lpwstr/>
      </vt:variant>
      <vt:variant>
        <vt:i4>6160470</vt:i4>
      </vt:variant>
      <vt:variant>
        <vt:i4>297</vt:i4>
      </vt:variant>
      <vt:variant>
        <vt:i4>0</vt:i4>
      </vt:variant>
      <vt:variant>
        <vt:i4>5</vt:i4>
      </vt:variant>
      <vt:variant>
        <vt:lpwstr>http://www.epa.gov/superfund/</vt:lpwstr>
      </vt:variant>
      <vt:variant>
        <vt:lpwstr/>
      </vt:variant>
      <vt:variant>
        <vt:i4>2228298</vt:i4>
      </vt:variant>
      <vt:variant>
        <vt:i4>294</vt:i4>
      </vt:variant>
      <vt:variant>
        <vt:i4>0</vt:i4>
      </vt:variant>
      <vt:variant>
        <vt:i4>5</vt:i4>
      </vt:variant>
      <vt:variant>
        <vt:lpwstr>http://www.frtr.gov/matrix2/top_page.html</vt:lpwstr>
      </vt:variant>
      <vt:variant>
        <vt:lpwstr/>
      </vt:variant>
      <vt:variant>
        <vt:i4>2752621</vt:i4>
      </vt:variant>
      <vt:variant>
        <vt:i4>291</vt:i4>
      </vt:variant>
      <vt:variant>
        <vt:i4>0</vt:i4>
      </vt:variant>
      <vt:variant>
        <vt:i4>5</vt:i4>
      </vt:variant>
      <vt:variant>
        <vt:lpwstr>http://www.fao.org/</vt:lpwstr>
      </vt:variant>
      <vt:variant>
        <vt:lpwstr/>
      </vt:variant>
      <vt:variant>
        <vt:i4>6946869</vt:i4>
      </vt:variant>
      <vt:variant>
        <vt:i4>288</vt:i4>
      </vt:variant>
      <vt:variant>
        <vt:i4>0</vt:i4>
      </vt:variant>
      <vt:variant>
        <vt:i4>5</vt:i4>
      </vt:variant>
      <vt:variant>
        <vt:lpwstr>http://www.ccme.ca/</vt:lpwstr>
      </vt:variant>
      <vt:variant>
        <vt:lpwstr/>
      </vt:variant>
      <vt:variant>
        <vt:i4>983069</vt:i4>
      </vt:variant>
      <vt:variant>
        <vt:i4>285</vt:i4>
      </vt:variant>
      <vt:variant>
        <vt:i4>0</vt:i4>
      </vt:variant>
      <vt:variant>
        <vt:i4>5</vt:i4>
      </vt:variant>
      <vt:variant>
        <vt:lpwstr>http://www.berzelius.de/</vt:lpwstr>
      </vt:variant>
      <vt:variant>
        <vt:lpwstr/>
      </vt:variant>
      <vt:variant>
        <vt:i4>917573</vt:i4>
      </vt:variant>
      <vt:variant>
        <vt:i4>282</vt:i4>
      </vt:variant>
      <vt:variant>
        <vt:i4>0</vt:i4>
      </vt:variant>
      <vt:variant>
        <vt:i4>5</vt:i4>
      </vt:variant>
      <vt:variant>
        <vt:lpwstr>http://www.befesa-steel.com/</vt:lpwstr>
      </vt:variant>
      <vt:variant>
        <vt:lpwstr/>
      </vt:variant>
      <vt:variant>
        <vt:i4>7864367</vt:i4>
      </vt:variant>
      <vt:variant>
        <vt:i4>279</vt:i4>
      </vt:variant>
      <vt:variant>
        <vt:i4>0</vt:i4>
      </vt:variant>
      <vt:variant>
        <vt:i4>5</vt:i4>
      </vt:variant>
      <vt:variant>
        <vt:lpwstr>http://www.lucchini.it/</vt:lpwstr>
      </vt:variant>
      <vt:variant>
        <vt:lpwstr/>
      </vt:variant>
      <vt:variant>
        <vt:i4>5046301</vt:i4>
      </vt:variant>
      <vt:variant>
        <vt:i4>276</vt:i4>
      </vt:variant>
      <vt:variant>
        <vt:i4>0</vt:i4>
      </vt:variant>
      <vt:variant>
        <vt:i4>5</vt:i4>
      </vt:variant>
      <vt:variant>
        <vt:lpwstr>http://www.paulwurth.com/</vt:lpwstr>
      </vt:variant>
      <vt:variant>
        <vt:lpwstr/>
      </vt:variant>
      <vt:variant>
        <vt:i4>5701710</vt:i4>
      </vt:variant>
      <vt:variant>
        <vt:i4>273</vt:i4>
      </vt:variant>
      <vt:variant>
        <vt:i4>0</vt:i4>
      </vt:variant>
      <vt:variant>
        <vt:i4>5</vt:i4>
      </vt:variant>
      <vt:variant>
        <vt:lpwstr>http://www.thyssenkrupp.com/</vt:lpwstr>
      </vt:variant>
      <vt:variant>
        <vt:lpwstr/>
      </vt:variant>
      <vt:variant>
        <vt:i4>3997805</vt:i4>
      </vt:variant>
      <vt:variant>
        <vt:i4>270</vt:i4>
      </vt:variant>
      <vt:variant>
        <vt:i4>0</vt:i4>
      </vt:variant>
      <vt:variant>
        <vt:i4>5</vt:i4>
      </vt:variant>
      <vt:variant>
        <vt:lpwstr>http://www.dk-duisburg.de/</vt:lpwstr>
      </vt:variant>
      <vt:variant>
        <vt:lpwstr/>
      </vt:variant>
      <vt:variant>
        <vt:i4>2752574</vt:i4>
      </vt:variant>
      <vt:variant>
        <vt:i4>267</vt:i4>
      </vt:variant>
      <vt:variant>
        <vt:i4>0</vt:i4>
      </vt:variant>
      <vt:variant>
        <vt:i4>5</vt:i4>
      </vt:variant>
      <vt:variant>
        <vt:lpwstr>http://www.chem.unep.ch/pops/laboratory/default.htm</vt:lpwstr>
      </vt:variant>
      <vt:variant>
        <vt:lpwstr/>
      </vt:variant>
      <vt:variant>
        <vt:i4>5570620</vt:i4>
      </vt:variant>
      <vt:variant>
        <vt:i4>15</vt:i4>
      </vt:variant>
      <vt:variant>
        <vt:i4>0</vt:i4>
      </vt:variant>
      <vt:variant>
        <vt:i4>5</vt:i4>
      </vt:variant>
      <vt:variant>
        <vt:lpwstr>http://www.synbra.com/en/39/187/raw_materials.aspx</vt:lpwstr>
      </vt:variant>
      <vt:variant>
        <vt:lpwstr/>
      </vt:variant>
      <vt:variant>
        <vt:i4>983106</vt:i4>
      </vt:variant>
      <vt:variant>
        <vt:i4>12</vt:i4>
      </vt:variant>
      <vt:variant>
        <vt:i4>0</vt:i4>
      </vt:variant>
      <vt:variant>
        <vt:i4>5</vt:i4>
      </vt:variant>
      <vt:variant>
        <vt:lpwstr>http://www.crl-freiburg.eu/dioxin/bioanalytical.html</vt:lpwstr>
      </vt:variant>
      <vt:variant>
        <vt:lpwstr/>
      </vt:variant>
      <vt:variant>
        <vt:i4>4784183</vt:i4>
      </vt:variant>
      <vt:variant>
        <vt:i4>9</vt:i4>
      </vt:variant>
      <vt:variant>
        <vt:i4>0</vt:i4>
      </vt:variant>
      <vt:variant>
        <vt:i4>5</vt:i4>
      </vt:variant>
      <vt:variant>
        <vt:lpwstr>http://www.dexsil.com/products/detail.php?product_id=13</vt:lpwstr>
      </vt:variant>
      <vt:variant>
        <vt:lpwstr/>
      </vt:variant>
      <vt:variant>
        <vt:i4>3539002</vt:i4>
      </vt:variant>
      <vt:variant>
        <vt:i4>6</vt:i4>
      </vt:variant>
      <vt:variant>
        <vt:i4>0</vt:i4>
      </vt:variant>
      <vt:variant>
        <vt:i4>5</vt:i4>
      </vt:variant>
      <vt:variant>
        <vt:lpwstr>http://www.dexsil.com/products/</vt:lpwstr>
      </vt:variant>
      <vt:variant>
        <vt:lpwstr/>
      </vt:variant>
      <vt:variant>
        <vt:i4>2031633</vt:i4>
      </vt:variant>
      <vt:variant>
        <vt:i4>3</vt:i4>
      </vt:variant>
      <vt:variant>
        <vt:i4>0</vt:i4>
      </vt:variant>
      <vt:variant>
        <vt:i4>5</vt:i4>
      </vt:variant>
      <vt:variant>
        <vt:lpwstr>http://chm.pops.int/Implementation/NIPs/Guidance/tabid/2882/Default.aspx</vt:lpwstr>
      </vt:variant>
      <vt:variant>
        <vt:lpwstr/>
      </vt:variant>
      <vt:variant>
        <vt:i4>5374027</vt:i4>
      </vt:variant>
      <vt:variant>
        <vt:i4>0</vt:i4>
      </vt:variant>
      <vt:variant>
        <vt:i4>0</vt:i4>
      </vt:variant>
      <vt:variant>
        <vt:i4>5</vt:i4>
      </vt:variant>
      <vt:variant>
        <vt:lpwstr>http://chm.pops.int/Implementation/BATandBEP/Guidance/tabid/3636/Default.aspx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shafii</dc:creator>
  <cp:lastModifiedBy>Ariel Dayao</cp:lastModifiedBy>
  <cp:revision>6</cp:revision>
  <cp:lastPrinted>2016-05-13T06:46:00Z</cp:lastPrinted>
  <dcterms:created xsi:type="dcterms:W3CDTF">2016-05-13T06:38:00Z</dcterms:created>
  <dcterms:modified xsi:type="dcterms:W3CDTF">2016-05-13T06:52:00Z</dcterms:modified>
</cp:coreProperties>
</file>