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Layout w:type="fixed"/>
        <w:tblLook w:val="0000" w:firstRow="0" w:lastRow="0" w:firstColumn="0" w:lastColumn="0" w:noHBand="0" w:noVBand="0"/>
      </w:tblPr>
      <w:tblGrid>
        <w:gridCol w:w="1501"/>
        <w:gridCol w:w="2044"/>
        <w:gridCol w:w="3111"/>
        <w:gridCol w:w="432"/>
        <w:gridCol w:w="2410"/>
        <w:gridCol w:w="992"/>
      </w:tblGrid>
      <w:tr w:rsidR="004D08D9" w:rsidRPr="00F943AC" w:rsidTr="00954014">
        <w:trPr>
          <w:trHeight w:val="910"/>
        </w:trPr>
        <w:tc>
          <w:tcPr>
            <w:tcW w:w="1501" w:type="dxa"/>
          </w:tcPr>
          <w:p w:rsidR="004D08D9" w:rsidRPr="00F943AC" w:rsidRDefault="004D08D9" w:rsidP="005524EE">
            <w:pPr>
              <w:tabs>
                <w:tab w:val="left" w:pos="1247"/>
                <w:tab w:val="left" w:pos="1814"/>
                <w:tab w:val="left" w:pos="2381"/>
                <w:tab w:val="left" w:pos="2948"/>
                <w:tab w:val="left" w:pos="3515"/>
              </w:tabs>
              <w:rPr>
                <w:rFonts w:ascii="Arial" w:hAnsi="Arial"/>
                <w:b/>
                <w:caps/>
                <w:sz w:val="27"/>
                <w:szCs w:val="27"/>
                <w:lang w:val="fr-FR"/>
              </w:rPr>
            </w:pPr>
            <w:r w:rsidRPr="00F943AC">
              <w:rPr>
                <w:rFonts w:ascii="Arial" w:hAnsi="Arial"/>
                <w:b/>
                <w:caps/>
                <w:sz w:val="27"/>
                <w:szCs w:val="27"/>
                <w:lang w:val="fr-FR"/>
              </w:rPr>
              <w:t>UNITED</w:t>
            </w:r>
          </w:p>
          <w:p w:rsidR="004D08D9" w:rsidRPr="00F943AC" w:rsidRDefault="004D08D9" w:rsidP="004D08D9">
            <w:pPr>
              <w:tabs>
                <w:tab w:val="left" w:pos="1247"/>
                <w:tab w:val="left" w:pos="1814"/>
                <w:tab w:val="left" w:pos="2381"/>
                <w:tab w:val="left" w:pos="2948"/>
                <w:tab w:val="left" w:pos="3515"/>
              </w:tabs>
              <w:rPr>
                <w:rFonts w:ascii="Univers" w:hAnsi="Univers"/>
                <w:b/>
                <w:sz w:val="27"/>
              </w:rPr>
            </w:pPr>
            <w:r w:rsidRPr="00F943AC">
              <w:rPr>
                <w:rFonts w:ascii="Arial" w:hAnsi="Arial"/>
                <w:b/>
                <w:caps/>
                <w:sz w:val="27"/>
                <w:szCs w:val="27"/>
                <w:lang w:val="fr-FR"/>
              </w:rPr>
              <w:t>NATIONS</w:t>
            </w:r>
            <w:r w:rsidRPr="00F943AC" w:rsidDel="00F2545C">
              <w:rPr>
                <w:rFonts w:ascii="Univers" w:hAnsi="Univers"/>
                <w:b/>
                <w:sz w:val="27"/>
              </w:rPr>
              <w:t xml:space="preserve"> </w:t>
            </w:r>
          </w:p>
        </w:tc>
        <w:tc>
          <w:tcPr>
            <w:tcW w:w="7997" w:type="dxa"/>
            <w:gridSpan w:val="4"/>
          </w:tcPr>
          <w:p w:rsidR="004D08D9" w:rsidRPr="00F943AC" w:rsidRDefault="00E33F9E" w:rsidP="004D08D9">
            <w:pPr>
              <w:pStyle w:val="Heading2"/>
              <w:keepNext w:val="0"/>
              <w:ind w:left="0"/>
              <w:rPr>
                <w:rFonts w:ascii="Arial" w:hAnsi="Arial" w:cs="Arial"/>
                <w:sz w:val="20"/>
                <w:szCs w:val="20"/>
              </w:rPr>
            </w:pPr>
            <w:r w:rsidRPr="00F943AC">
              <w:rPr>
                <w:rFonts w:ascii="Arial" w:hAnsi="Arial" w:cs="Arial"/>
                <w:noProof/>
                <w:sz w:val="20"/>
                <w:szCs w:val="20"/>
                <w:lang w:val="en-US"/>
              </w:rPr>
              <w:drawing>
                <wp:inline distT="0" distB="0" distL="0" distR="0" wp14:anchorId="6983DB47" wp14:editId="0280145B">
                  <wp:extent cx="584835" cy="553085"/>
                  <wp:effectExtent l="19050" t="0" r="5715"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0" cstate="print"/>
                          <a:srcRect/>
                          <a:stretch>
                            <a:fillRect/>
                          </a:stretch>
                        </pic:blipFill>
                        <pic:spPr bwMode="auto">
                          <a:xfrm>
                            <a:off x="0" y="0"/>
                            <a:ext cx="584835" cy="553085"/>
                          </a:xfrm>
                          <a:prstGeom prst="rect">
                            <a:avLst/>
                          </a:prstGeom>
                          <a:noFill/>
                          <a:ln w="9525">
                            <a:noFill/>
                            <a:miter lim="800000"/>
                            <a:headEnd/>
                            <a:tailEnd/>
                          </a:ln>
                        </pic:spPr>
                      </pic:pic>
                    </a:graphicData>
                  </a:graphic>
                </wp:inline>
              </w:drawing>
            </w:r>
            <w:r w:rsidRPr="00F943AC">
              <w:rPr>
                <w:rFonts w:ascii="Arial" w:hAnsi="Arial" w:cs="Arial"/>
                <w:noProof/>
                <w:sz w:val="20"/>
                <w:szCs w:val="20"/>
                <w:lang w:val="en-US"/>
              </w:rPr>
              <w:drawing>
                <wp:inline distT="0" distB="0" distL="0" distR="0" wp14:anchorId="06998735" wp14:editId="4AE4ACCF">
                  <wp:extent cx="510540" cy="563245"/>
                  <wp:effectExtent l="19050" t="0" r="3810" b="0"/>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510540" cy="563245"/>
                          </a:xfrm>
                          <a:prstGeom prst="rect">
                            <a:avLst/>
                          </a:prstGeom>
                          <a:noFill/>
                          <a:ln w="9525">
                            <a:noFill/>
                            <a:miter lim="800000"/>
                            <a:headEnd/>
                            <a:tailEnd/>
                          </a:ln>
                        </pic:spPr>
                      </pic:pic>
                    </a:graphicData>
                  </a:graphic>
                </wp:inline>
              </w:drawing>
            </w:r>
            <w:r w:rsidRPr="00F943AC">
              <w:rPr>
                <w:rFonts w:ascii="Arial" w:hAnsi="Arial" w:cs="Arial"/>
                <w:noProof/>
                <w:sz w:val="20"/>
                <w:szCs w:val="20"/>
                <w:lang w:val="en-US"/>
              </w:rPr>
              <w:drawing>
                <wp:inline distT="0" distB="0" distL="0" distR="0" wp14:anchorId="41C666A5" wp14:editId="735C903F">
                  <wp:extent cx="2030730" cy="574040"/>
                  <wp:effectExtent l="19050" t="0" r="7620" b="0"/>
                  <wp:docPr id="3" name="Image 2" descr="Description: FAO_logo_Black_3lines_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FAO_logo_Black_3lines_en6"/>
                          <pic:cNvPicPr>
                            <a:picLocks noChangeAspect="1" noChangeArrowheads="1"/>
                          </pic:cNvPicPr>
                        </pic:nvPicPr>
                        <pic:blipFill>
                          <a:blip r:embed="rId12" cstate="print"/>
                          <a:srcRect/>
                          <a:stretch>
                            <a:fillRect/>
                          </a:stretch>
                        </pic:blipFill>
                        <pic:spPr bwMode="auto">
                          <a:xfrm>
                            <a:off x="0" y="0"/>
                            <a:ext cx="2030730" cy="574040"/>
                          </a:xfrm>
                          <a:prstGeom prst="rect">
                            <a:avLst/>
                          </a:prstGeom>
                          <a:noFill/>
                          <a:ln w="9525">
                            <a:noFill/>
                            <a:miter lim="800000"/>
                            <a:headEnd/>
                            <a:tailEnd/>
                          </a:ln>
                        </pic:spPr>
                      </pic:pic>
                    </a:graphicData>
                  </a:graphic>
                </wp:inline>
              </w:drawing>
            </w:r>
          </w:p>
        </w:tc>
        <w:tc>
          <w:tcPr>
            <w:tcW w:w="992" w:type="dxa"/>
          </w:tcPr>
          <w:p w:rsidR="004D08D9" w:rsidRPr="00F943AC" w:rsidRDefault="004D08D9" w:rsidP="001810C2">
            <w:pPr>
              <w:jc w:val="right"/>
              <w:rPr>
                <w:rFonts w:ascii="Arial" w:hAnsi="Arial" w:cs="Arial"/>
                <w:b/>
                <w:bCs/>
                <w:sz w:val="40"/>
                <w:szCs w:val="40"/>
              </w:rPr>
            </w:pPr>
            <w:r w:rsidRPr="00F943AC">
              <w:rPr>
                <w:rFonts w:ascii="Arial" w:hAnsi="Arial" w:cs="Arial"/>
                <w:b/>
                <w:bCs/>
                <w:sz w:val="40"/>
                <w:szCs w:val="40"/>
              </w:rPr>
              <w:t>BC</w:t>
            </w:r>
          </w:p>
          <w:p w:rsidR="004D08D9" w:rsidRPr="00F943AC" w:rsidRDefault="004D08D9" w:rsidP="001810C2">
            <w:pPr>
              <w:jc w:val="right"/>
              <w:rPr>
                <w:rFonts w:ascii="Arial" w:hAnsi="Arial" w:cs="Arial"/>
                <w:b/>
                <w:bCs/>
                <w:sz w:val="40"/>
                <w:szCs w:val="40"/>
              </w:rPr>
            </w:pPr>
            <w:r w:rsidRPr="00F943AC">
              <w:rPr>
                <w:rFonts w:ascii="Arial" w:hAnsi="Arial" w:cs="Arial"/>
                <w:b/>
                <w:bCs/>
                <w:sz w:val="40"/>
                <w:szCs w:val="40"/>
              </w:rPr>
              <w:t>RC</w:t>
            </w:r>
          </w:p>
          <w:p w:rsidR="004D08D9" w:rsidRPr="00F943AC" w:rsidRDefault="004D08D9" w:rsidP="001810C2">
            <w:pPr>
              <w:jc w:val="right"/>
              <w:rPr>
                <w:sz w:val="56"/>
                <w:szCs w:val="56"/>
                <w:lang w:val="en-US"/>
              </w:rPr>
            </w:pPr>
            <w:r w:rsidRPr="00F943AC">
              <w:rPr>
                <w:rFonts w:ascii="Arial" w:hAnsi="Arial" w:cs="Arial"/>
                <w:b/>
                <w:bCs/>
                <w:sz w:val="40"/>
                <w:szCs w:val="40"/>
              </w:rPr>
              <w:t>SC</w:t>
            </w:r>
          </w:p>
        </w:tc>
      </w:tr>
      <w:tr w:rsidR="003B5CC8" w:rsidRPr="00F943AC" w:rsidTr="00954014">
        <w:trPr>
          <w:trHeight w:val="303"/>
        </w:trPr>
        <w:tc>
          <w:tcPr>
            <w:tcW w:w="6656" w:type="dxa"/>
            <w:gridSpan w:val="3"/>
            <w:tcBorders>
              <w:bottom w:val="single" w:sz="6" w:space="0" w:color="auto"/>
            </w:tcBorders>
          </w:tcPr>
          <w:p w:rsidR="0059421C" w:rsidRPr="00F943AC" w:rsidRDefault="0059421C" w:rsidP="0059421C">
            <w:pPr>
              <w:rPr>
                <w:b/>
                <w:lang w:val="en-US"/>
              </w:rPr>
            </w:pPr>
          </w:p>
        </w:tc>
        <w:tc>
          <w:tcPr>
            <w:tcW w:w="3834" w:type="dxa"/>
            <w:gridSpan w:val="3"/>
            <w:tcBorders>
              <w:bottom w:val="single" w:sz="6" w:space="0" w:color="auto"/>
            </w:tcBorders>
          </w:tcPr>
          <w:p w:rsidR="00B25629" w:rsidRDefault="0059421C" w:rsidP="004D08D9">
            <w:pPr>
              <w:rPr>
                <w:bCs/>
                <w:sz w:val="20"/>
              </w:rPr>
            </w:pPr>
            <w:r w:rsidRPr="00F943AC">
              <w:rPr>
                <w:b/>
                <w:sz w:val="24"/>
                <w:szCs w:val="24"/>
              </w:rPr>
              <w:t>UNEP</w:t>
            </w:r>
            <w:r w:rsidRPr="00F943AC">
              <w:rPr>
                <w:bCs/>
                <w:sz w:val="24"/>
                <w:szCs w:val="24"/>
              </w:rPr>
              <w:t>/</w:t>
            </w:r>
            <w:r w:rsidR="00D66993" w:rsidRPr="00F943AC">
              <w:rPr>
                <w:bCs/>
                <w:sz w:val="20"/>
              </w:rPr>
              <w:t>CHW.1</w:t>
            </w:r>
            <w:r w:rsidR="004D08D9" w:rsidRPr="00F943AC">
              <w:rPr>
                <w:bCs/>
                <w:sz w:val="20"/>
              </w:rPr>
              <w:t>3</w:t>
            </w:r>
            <w:r w:rsidRPr="00F943AC">
              <w:rPr>
                <w:bCs/>
                <w:sz w:val="20"/>
              </w:rPr>
              <w:t>/</w:t>
            </w:r>
            <w:r w:rsidR="00B25629">
              <w:rPr>
                <w:bCs/>
                <w:sz w:val="20"/>
              </w:rPr>
              <w:t>INF/</w:t>
            </w:r>
            <w:r w:rsidR="0013264A">
              <w:rPr>
                <w:bCs/>
                <w:sz w:val="20"/>
              </w:rPr>
              <w:t>36</w:t>
            </w:r>
          </w:p>
          <w:p w:rsidR="00D66993" w:rsidRPr="00F943AC" w:rsidRDefault="00D66993" w:rsidP="004D08D9">
            <w:pPr>
              <w:rPr>
                <w:bCs/>
                <w:sz w:val="20"/>
              </w:rPr>
            </w:pPr>
            <w:r w:rsidRPr="00F943AC">
              <w:rPr>
                <w:b/>
                <w:sz w:val="24"/>
                <w:szCs w:val="24"/>
              </w:rPr>
              <w:t>UNEP/FAO</w:t>
            </w:r>
            <w:r w:rsidRPr="00F943AC">
              <w:rPr>
                <w:bCs/>
                <w:sz w:val="20"/>
              </w:rPr>
              <w:t>/RC/COP.</w:t>
            </w:r>
            <w:r w:rsidR="004D08D9" w:rsidRPr="00F943AC">
              <w:rPr>
                <w:bCs/>
                <w:sz w:val="20"/>
              </w:rPr>
              <w:t>8</w:t>
            </w:r>
            <w:r w:rsidRPr="00F943AC">
              <w:rPr>
                <w:bCs/>
                <w:sz w:val="20"/>
              </w:rPr>
              <w:t>/</w:t>
            </w:r>
            <w:r w:rsidR="00B25629">
              <w:rPr>
                <w:bCs/>
                <w:sz w:val="20"/>
              </w:rPr>
              <w:t>INF</w:t>
            </w:r>
            <w:r w:rsidR="00334464">
              <w:rPr>
                <w:bCs/>
                <w:sz w:val="20"/>
              </w:rPr>
              <w:t>/</w:t>
            </w:r>
            <w:r w:rsidR="00C227F7">
              <w:rPr>
                <w:bCs/>
                <w:sz w:val="20"/>
              </w:rPr>
              <w:t>26</w:t>
            </w:r>
          </w:p>
          <w:p w:rsidR="00D66993" w:rsidRPr="00F943AC" w:rsidRDefault="00837DFF" w:rsidP="00C227F7">
            <w:r w:rsidRPr="00F943AC">
              <w:rPr>
                <w:b/>
                <w:sz w:val="24"/>
                <w:szCs w:val="24"/>
              </w:rPr>
              <w:t>UNEP</w:t>
            </w:r>
            <w:r w:rsidRPr="00F943AC">
              <w:rPr>
                <w:bCs/>
                <w:sz w:val="24"/>
                <w:szCs w:val="24"/>
              </w:rPr>
              <w:t>/</w:t>
            </w:r>
            <w:r w:rsidRPr="00F943AC">
              <w:rPr>
                <w:bCs/>
                <w:sz w:val="20"/>
              </w:rPr>
              <w:t>POPS/COP.</w:t>
            </w:r>
            <w:r w:rsidR="004D08D9" w:rsidRPr="00F943AC">
              <w:rPr>
                <w:bCs/>
                <w:sz w:val="20"/>
              </w:rPr>
              <w:t>8</w:t>
            </w:r>
            <w:r w:rsidR="00B25629">
              <w:rPr>
                <w:bCs/>
                <w:sz w:val="20"/>
              </w:rPr>
              <w:t>/INF</w:t>
            </w:r>
            <w:r w:rsidR="00334464">
              <w:rPr>
                <w:bCs/>
                <w:sz w:val="20"/>
              </w:rPr>
              <w:t>/</w:t>
            </w:r>
            <w:r w:rsidR="00C227F7">
              <w:rPr>
                <w:bCs/>
                <w:sz w:val="20"/>
              </w:rPr>
              <w:t>25</w:t>
            </w:r>
          </w:p>
        </w:tc>
      </w:tr>
      <w:tr w:rsidR="003B5CC8" w:rsidRPr="00F943AC" w:rsidTr="00954014">
        <w:trPr>
          <w:trHeight w:val="2695"/>
        </w:trPr>
        <w:tc>
          <w:tcPr>
            <w:tcW w:w="1501" w:type="dxa"/>
            <w:tcBorders>
              <w:top w:val="single" w:sz="6" w:space="0" w:color="auto"/>
              <w:bottom w:val="single" w:sz="18" w:space="0" w:color="auto"/>
            </w:tcBorders>
          </w:tcPr>
          <w:p w:rsidR="0059421C" w:rsidRPr="00F943AC" w:rsidRDefault="00E33F9E" w:rsidP="0059421C">
            <w:pPr>
              <w:spacing w:before="60"/>
            </w:pPr>
            <w:r w:rsidRPr="00F943AC">
              <w:rPr>
                <w:noProof/>
                <w:lang w:val="en-US"/>
              </w:rPr>
              <w:drawing>
                <wp:inline distT="0" distB="0" distL="0" distR="0" wp14:anchorId="50717BC1" wp14:editId="2CA584D7">
                  <wp:extent cx="797560" cy="382905"/>
                  <wp:effectExtent l="19050" t="0" r="2540" b="0"/>
                  <wp:docPr id="4"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3" cstate="print"/>
                          <a:srcRect/>
                          <a:stretch>
                            <a:fillRect/>
                          </a:stretch>
                        </pic:blipFill>
                        <pic:spPr bwMode="auto">
                          <a:xfrm>
                            <a:off x="0" y="0"/>
                            <a:ext cx="797560" cy="382905"/>
                          </a:xfrm>
                          <a:prstGeom prst="rect">
                            <a:avLst/>
                          </a:prstGeom>
                          <a:noFill/>
                          <a:ln w="9525">
                            <a:noFill/>
                            <a:miter lim="800000"/>
                            <a:headEnd/>
                            <a:tailEnd/>
                          </a:ln>
                        </pic:spPr>
                      </pic:pic>
                    </a:graphicData>
                  </a:graphic>
                </wp:inline>
              </w:drawing>
            </w:r>
          </w:p>
          <w:p w:rsidR="0059421C" w:rsidRPr="00F943AC" w:rsidRDefault="0059421C" w:rsidP="0059421C">
            <w:pPr>
              <w:spacing w:before="60"/>
            </w:pPr>
          </w:p>
          <w:p w:rsidR="0059421C" w:rsidRPr="00F943AC" w:rsidRDefault="0059421C" w:rsidP="0059421C">
            <w:pPr>
              <w:spacing w:before="60"/>
            </w:pPr>
          </w:p>
          <w:p w:rsidR="0059421C" w:rsidRPr="00F943AC" w:rsidRDefault="00E33F9E" w:rsidP="0059421C">
            <w:pPr>
              <w:spacing w:before="60"/>
            </w:pPr>
            <w:r w:rsidRPr="00F943AC">
              <w:rPr>
                <w:rFonts w:ascii="GillSans Light" w:hAnsi="GillSans Light"/>
                <w:noProof/>
                <w:lang w:val="en-US"/>
              </w:rPr>
              <w:drawing>
                <wp:inline distT="0" distB="0" distL="0" distR="0" wp14:anchorId="64E5EAE5" wp14:editId="63713545">
                  <wp:extent cx="733425" cy="627380"/>
                  <wp:effectExtent l="19050" t="0" r="9525" b="0"/>
                  <wp:docPr id="5" name="Picture 3"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bw"/>
                          <pic:cNvPicPr>
                            <a:picLocks noChangeAspect="1" noChangeArrowheads="1"/>
                          </pic:cNvPicPr>
                        </pic:nvPicPr>
                        <pic:blipFill>
                          <a:blip r:embed="rId14" cstate="print">
                            <a:grayscl/>
                          </a:blip>
                          <a:srcRect b="29143"/>
                          <a:stretch>
                            <a:fillRect/>
                          </a:stretch>
                        </pic:blipFill>
                        <pic:spPr bwMode="auto">
                          <a:xfrm>
                            <a:off x="0" y="0"/>
                            <a:ext cx="733425" cy="627380"/>
                          </a:xfrm>
                          <a:prstGeom prst="rect">
                            <a:avLst/>
                          </a:prstGeom>
                          <a:noFill/>
                          <a:ln w="9525">
                            <a:noFill/>
                            <a:miter lim="800000"/>
                            <a:headEnd/>
                            <a:tailEnd/>
                          </a:ln>
                        </pic:spPr>
                      </pic:pic>
                    </a:graphicData>
                  </a:graphic>
                </wp:inline>
              </w:drawing>
            </w:r>
          </w:p>
          <w:p w:rsidR="0059421C" w:rsidRPr="00F943AC" w:rsidRDefault="0059421C" w:rsidP="0059421C">
            <w:pPr>
              <w:spacing w:before="60"/>
            </w:pPr>
          </w:p>
          <w:p w:rsidR="0059421C" w:rsidRPr="00F943AC" w:rsidRDefault="00E33F9E" w:rsidP="0059421C">
            <w:pPr>
              <w:spacing w:before="60"/>
            </w:pPr>
            <w:r w:rsidRPr="00F943AC">
              <w:rPr>
                <w:noProof/>
                <w:lang w:val="en-US"/>
              </w:rPr>
              <w:drawing>
                <wp:inline distT="0" distB="0" distL="0" distR="0" wp14:anchorId="09158F5B" wp14:editId="1B295021">
                  <wp:extent cx="690880" cy="542290"/>
                  <wp:effectExtent l="19050" t="0" r="0" b="0"/>
                  <wp:docPr id="6" name="Picture 4"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 BW NOTEXT"/>
                          <pic:cNvPicPr>
                            <a:picLocks noChangeAspect="1" noChangeArrowheads="1"/>
                          </pic:cNvPicPr>
                        </pic:nvPicPr>
                        <pic:blipFill>
                          <a:blip r:embed="rId15" cstate="print"/>
                          <a:srcRect/>
                          <a:stretch>
                            <a:fillRect/>
                          </a:stretch>
                        </pic:blipFill>
                        <pic:spPr bwMode="auto">
                          <a:xfrm>
                            <a:off x="0" y="0"/>
                            <a:ext cx="690880" cy="542290"/>
                          </a:xfrm>
                          <a:prstGeom prst="rect">
                            <a:avLst/>
                          </a:prstGeom>
                          <a:noFill/>
                          <a:ln w="9525">
                            <a:noFill/>
                            <a:miter lim="800000"/>
                            <a:headEnd/>
                            <a:tailEnd/>
                          </a:ln>
                        </pic:spPr>
                      </pic:pic>
                    </a:graphicData>
                  </a:graphic>
                </wp:inline>
              </w:drawing>
            </w:r>
          </w:p>
        </w:tc>
        <w:tc>
          <w:tcPr>
            <w:tcW w:w="5155" w:type="dxa"/>
            <w:gridSpan w:val="2"/>
            <w:tcBorders>
              <w:top w:val="single" w:sz="6" w:space="0" w:color="auto"/>
              <w:bottom w:val="single" w:sz="18" w:space="0" w:color="auto"/>
            </w:tcBorders>
          </w:tcPr>
          <w:p w:rsidR="00954014" w:rsidRDefault="0059421C" w:rsidP="00F314EC">
            <w:pPr>
              <w:rPr>
                <w:b/>
                <w:bCs/>
                <w:sz w:val="27"/>
                <w:szCs w:val="27"/>
                <w:lang w:val="en-US"/>
              </w:rPr>
            </w:pPr>
            <w:r w:rsidRPr="001B39D3">
              <w:rPr>
                <w:b/>
                <w:bCs/>
                <w:sz w:val="27"/>
                <w:szCs w:val="27"/>
                <w:lang w:val="en-US"/>
              </w:rPr>
              <w:t xml:space="preserve">Basel Convention on the Control of Transboundary Movements of </w:t>
            </w:r>
          </w:p>
          <w:p w:rsidR="0059421C" w:rsidRPr="001B39D3" w:rsidRDefault="0059421C" w:rsidP="00F314EC">
            <w:pPr>
              <w:rPr>
                <w:b/>
                <w:bCs/>
                <w:sz w:val="27"/>
                <w:szCs w:val="27"/>
                <w:lang w:val="en-US"/>
              </w:rPr>
            </w:pPr>
            <w:r w:rsidRPr="001B39D3">
              <w:rPr>
                <w:b/>
                <w:bCs/>
                <w:sz w:val="27"/>
                <w:szCs w:val="27"/>
                <w:lang w:val="en-US"/>
              </w:rPr>
              <w:t xml:space="preserve">Hazardous Wastes and </w:t>
            </w:r>
            <w:r w:rsidR="00F314EC" w:rsidRPr="001B39D3">
              <w:rPr>
                <w:b/>
                <w:bCs/>
                <w:sz w:val="27"/>
                <w:szCs w:val="27"/>
                <w:lang w:val="en-US"/>
              </w:rPr>
              <w:t>T</w:t>
            </w:r>
            <w:r w:rsidRPr="001B39D3">
              <w:rPr>
                <w:b/>
                <w:bCs/>
                <w:sz w:val="27"/>
                <w:szCs w:val="27"/>
                <w:lang w:val="en-US"/>
              </w:rPr>
              <w:t>heir Disposal</w:t>
            </w:r>
          </w:p>
          <w:p w:rsidR="0059421C" w:rsidRPr="001B39D3" w:rsidRDefault="0059421C" w:rsidP="0059421C">
            <w:pPr>
              <w:rPr>
                <w:b/>
                <w:bCs/>
                <w:sz w:val="27"/>
                <w:szCs w:val="27"/>
                <w:lang w:val="en-US"/>
              </w:rPr>
            </w:pPr>
          </w:p>
          <w:p w:rsidR="00954014" w:rsidRDefault="0059421C" w:rsidP="0059421C">
            <w:pPr>
              <w:rPr>
                <w:b/>
                <w:bCs/>
                <w:sz w:val="27"/>
                <w:szCs w:val="27"/>
              </w:rPr>
            </w:pPr>
            <w:r w:rsidRPr="001B39D3">
              <w:rPr>
                <w:b/>
                <w:bCs/>
                <w:sz w:val="27"/>
                <w:szCs w:val="27"/>
                <w:lang w:val="en-US"/>
              </w:rPr>
              <w:t xml:space="preserve">Rotterdam Convention on </w:t>
            </w:r>
            <w:r w:rsidRPr="001B39D3">
              <w:rPr>
                <w:b/>
                <w:bCs/>
                <w:sz w:val="27"/>
                <w:szCs w:val="27"/>
              </w:rPr>
              <w:t xml:space="preserve">the Prior Informed Consent Procedure for </w:t>
            </w:r>
          </w:p>
          <w:p w:rsidR="0059421C" w:rsidRPr="001B39D3" w:rsidRDefault="0059421C" w:rsidP="0059421C">
            <w:pPr>
              <w:rPr>
                <w:b/>
                <w:bCs/>
                <w:sz w:val="27"/>
                <w:szCs w:val="27"/>
                <w:lang w:val="en-US"/>
              </w:rPr>
            </w:pPr>
            <w:r w:rsidRPr="001B39D3">
              <w:rPr>
                <w:b/>
                <w:bCs/>
                <w:sz w:val="27"/>
                <w:szCs w:val="27"/>
              </w:rPr>
              <w:t>Certain Hazardous Chemicals and Pesticides in International Trade</w:t>
            </w:r>
          </w:p>
          <w:p w:rsidR="0059421C" w:rsidRPr="001B39D3" w:rsidRDefault="0059421C" w:rsidP="0059421C">
            <w:pPr>
              <w:rPr>
                <w:b/>
                <w:bCs/>
                <w:sz w:val="27"/>
                <w:szCs w:val="27"/>
                <w:lang w:val="en-US"/>
              </w:rPr>
            </w:pPr>
          </w:p>
          <w:p w:rsidR="0059421C" w:rsidRPr="001B39D3" w:rsidRDefault="0059421C" w:rsidP="0059421C">
            <w:pPr>
              <w:rPr>
                <w:sz w:val="32"/>
                <w:szCs w:val="32"/>
              </w:rPr>
            </w:pPr>
            <w:r w:rsidRPr="001B39D3">
              <w:rPr>
                <w:b/>
                <w:bCs/>
                <w:sz w:val="27"/>
                <w:szCs w:val="27"/>
              </w:rPr>
              <w:t>Stockholm Convention on Persistent Organic Pollutants</w:t>
            </w:r>
          </w:p>
        </w:tc>
        <w:tc>
          <w:tcPr>
            <w:tcW w:w="3834" w:type="dxa"/>
            <w:gridSpan w:val="3"/>
            <w:tcBorders>
              <w:top w:val="single" w:sz="6" w:space="0" w:color="auto"/>
              <w:bottom w:val="single" w:sz="18" w:space="0" w:color="auto"/>
            </w:tcBorders>
          </w:tcPr>
          <w:p w:rsidR="0059421C" w:rsidRPr="001B39D3" w:rsidRDefault="0059421C" w:rsidP="0059421C"/>
          <w:p w:rsidR="0059421C" w:rsidRPr="001B39D3" w:rsidRDefault="0059421C" w:rsidP="0059421C">
            <w:pPr>
              <w:rPr>
                <w:sz w:val="20"/>
              </w:rPr>
            </w:pPr>
            <w:r w:rsidRPr="001B39D3">
              <w:rPr>
                <w:sz w:val="20"/>
              </w:rPr>
              <w:t>Distr.: General</w:t>
            </w:r>
          </w:p>
          <w:p w:rsidR="0059421C" w:rsidRPr="001B39D3" w:rsidRDefault="007714AD" w:rsidP="00CF1D62">
            <w:pPr>
              <w:rPr>
                <w:sz w:val="20"/>
              </w:rPr>
            </w:pPr>
            <w:r>
              <w:rPr>
                <w:sz w:val="20"/>
              </w:rPr>
              <w:t>8</w:t>
            </w:r>
            <w:r w:rsidR="00306897">
              <w:rPr>
                <w:sz w:val="20"/>
              </w:rPr>
              <w:t xml:space="preserve"> March </w:t>
            </w:r>
            <w:bookmarkStart w:id="1" w:name="_GoBack"/>
            <w:bookmarkEnd w:id="1"/>
            <w:r w:rsidR="00C10576" w:rsidRPr="001B39D3">
              <w:rPr>
                <w:sz w:val="20"/>
              </w:rPr>
              <w:t>201</w:t>
            </w:r>
            <w:r w:rsidR="00B40D8D" w:rsidRPr="001B39D3">
              <w:rPr>
                <w:sz w:val="20"/>
              </w:rPr>
              <w:t>7</w:t>
            </w:r>
          </w:p>
          <w:p w:rsidR="0059421C" w:rsidRPr="001B39D3" w:rsidRDefault="0059421C" w:rsidP="0059421C">
            <w:pPr>
              <w:rPr>
                <w:sz w:val="20"/>
              </w:rPr>
            </w:pPr>
          </w:p>
          <w:p w:rsidR="00306897" w:rsidRDefault="0059421C" w:rsidP="0059421C">
            <w:r w:rsidRPr="001B39D3">
              <w:rPr>
                <w:sz w:val="20"/>
              </w:rPr>
              <w:t>English</w:t>
            </w:r>
            <w:r w:rsidR="00F06D88">
              <w:rPr>
                <w:sz w:val="20"/>
              </w:rPr>
              <w:t xml:space="preserve"> only</w:t>
            </w:r>
          </w:p>
          <w:p w:rsidR="00306897" w:rsidRPr="00306897" w:rsidRDefault="00306897" w:rsidP="00306897"/>
          <w:p w:rsidR="00306897" w:rsidRPr="00306897" w:rsidRDefault="00306897" w:rsidP="00306897"/>
          <w:p w:rsidR="00306897" w:rsidRPr="00306897" w:rsidRDefault="00306897" w:rsidP="00306897"/>
          <w:p w:rsidR="00306897" w:rsidRDefault="00306897" w:rsidP="00306897"/>
          <w:p w:rsidR="00306897" w:rsidRDefault="00306897" w:rsidP="00306897"/>
          <w:p w:rsidR="00A62FBA" w:rsidRDefault="00A62FBA" w:rsidP="00A62FBA">
            <w:pPr>
              <w:jc w:val="center"/>
            </w:pPr>
          </w:p>
        </w:tc>
      </w:tr>
      <w:tr w:rsidR="00DB4E65" w:rsidRPr="00F943AC" w:rsidTr="00954014">
        <w:tblPrEx>
          <w:tblLook w:val="04A0" w:firstRow="1" w:lastRow="0" w:firstColumn="1" w:lastColumn="0" w:noHBand="0" w:noVBand="1"/>
        </w:tblPrEx>
        <w:tc>
          <w:tcPr>
            <w:tcW w:w="3545" w:type="dxa"/>
            <w:gridSpan w:val="2"/>
            <w:tcBorders>
              <w:top w:val="single" w:sz="18" w:space="0" w:color="auto"/>
            </w:tcBorders>
          </w:tcPr>
          <w:p w:rsidR="00954014" w:rsidRDefault="00DB4E65" w:rsidP="00286A80">
            <w:pPr>
              <w:pStyle w:val="AATitle"/>
              <w:keepNext w:val="0"/>
              <w:keepLines w:val="0"/>
              <w:tabs>
                <w:tab w:val="clear" w:pos="1247"/>
                <w:tab w:val="clear" w:pos="1814"/>
                <w:tab w:val="clear" w:pos="2381"/>
                <w:tab w:val="clear" w:pos="2948"/>
                <w:tab w:val="clear" w:pos="3515"/>
              </w:tabs>
              <w:spacing w:before="60"/>
              <w:ind w:right="80"/>
            </w:pPr>
            <w:r w:rsidRPr="00F943AC">
              <w:t xml:space="preserve">Conference of the </w:t>
            </w:r>
            <w:r w:rsidR="00592C25" w:rsidRPr="00F943AC">
              <w:t>Parties</w:t>
            </w:r>
            <w:r w:rsidRPr="00F943AC">
              <w:t xml:space="preserve"> to the </w:t>
            </w:r>
          </w:p>
          <w:p w:rsidR="00DB4E65" w:rsidRPr="00F943AC" w:rsidRDefault="00DB4E65" w:rsidP="00954014">
            <w:pPr>
              <w:pStyle w:val="AATitle"/>
              <w:keepNext w:val="0"/>
              <w:keepLines w:val="0"/>
              <w:tabs>
                <w:tab w:val="clear" w:pos="1247"/>
                <w:tab w:val="clear" w:pos="1814"/>
                <w:tab w:val="clear" w:pos="2381"/>
                <w:tab w:val="clear" w:pos="2948"/>
                <w:tab w:val="clear" w:pos="3515"/>
              </w:tabs>
              <w:ind w:right="80"/>
            </w:pPr>
            <w:r w:rsidRPr="00F943AC">
              <w:t xml:space="preserve">Basel Convention on the Control </w:t>
            </w:r>
          </w:p>
          <w:p w:rsidR="00DB4E65" w:rsidRPr="00F943AC" w:rsidRDefault="00DB4E65" w:rsidP="00286A80">
            <w:pPr>
              <w:pStyle w:val="AATitle"/>
              <w:keepNext w:val="0"/>
              <w:keepLines w:val="0"/>
              <w:tabs>
                <w:tab w:val="clear" w:pos="1247"/>
                <w:tab w:val="clear" w:pos="1814"/>
                <w:tab w:val="clear" w:pos="2381"/>
                <w:tab w:val="clear" w:pos="2948"/>
                <w:tab w:val="clear" w:pos="3515"/>
              </w:tabs>
              <w:ind w:right="80"/>
            </w:pPr>
            <w:r w:rsidRPr="00F943AC">
              <w:t xml:space="preserve">of Transboundary Movements </w:t>
            </w:r>
          </w:p>
          <w:p w:rsidR="00DB4E65" w:rsidRPr="00F943AC" w:rsidRDefault="00DB4E65" w:rsidP="00286A80">
            <w:pPr>
              <w:pStyle w:val="AATitle"/>
              <w:keepNext w:val="0"/>
              <w:keepLines w:val="0"/>
              <w:tabs>
                <w:tab w:val="clear" w:pos="1247"/>
                <w:tab w:val="clear" w:pos="1814"/>
                <w:tab w:val="clear" w:pos="2381"/>
                <w:tab w:val="clear" w:pos="2948"/>
                <w:tab w:val="clear" w:pos="3515"/>
              </w:tabs>
              <w:ind w:right="80"/>
            </w:pPr>
            <w:r w:rsidRPr="00F943AC">
              <w:t xml:space="preserve">of Hazardous Wastes and </w:t>
            </w:r>
          </w:p>
          <w:p w:rsidR="00DB4E65" w:rsidRPr="00F943AC" w:rsidRDefault="00DB4E65" w:rsidP="004D08D9">
            <w:pPr>
              <w:pStyle w:val="AATitle"/>
              <w:keepNext w:val="0"/>
              <w:keepLines w:val="0"/>
              <w:tabs>
                <w:tab w:val="clear" w:pos="1247"/>
                <w:tab w:val="clear" w:pos="1814"/>
                <w:tab w:val="clear" w:pos="2381"/>
                <w:tab w:val="clear" w:pos="2948"/>
                <w:tab w:val="clear" w:pos="3515"/>
              </w:tabs>
              <w:ind w:right="80"/>
            </w:pPr>
            <w:r w:rsidRPr="00F943AC">
              <w:t>Their Disposal</w:t>
            </w:r>
            <w:r w:rsidRPr="00F943AC">
              <w:br/>
              <w:t>T</w:t>
            </w:r>
            <w:r w:rsidR="004D08D9" w:rsidRPr="00F943AC">
              <w:t>hirteenth</w:t>
            </w:r>
            <w:r w:rsidRPr="00F943AC">
              <w:t xml:space="preserve"> meeting</w:t>
            </w:r>
          </w:p>
          <w:p w:rsidR="00DB4E65" w:rsidRPr="00F943AC" w:rsidRDefault="00DB4E65" w:rsidP="004D08D9">
            <w:pPr>
              <w:pStyle w:val="AATitle"/>
              <w:keepNext w:val="0"/>
              <w:keepLines w:val="0"/>
              <w:tabs>
                <w:tab w:val="left" w:pos="4082"/>
              </w:tabs>
              <w:ind w:right="80"/>
              <w:rPr>
                <w:b w:val="0"/>
              </w:rPr>
            </w:pPr>
            <w:r w:rsidRPr="00F943AC">
              <w:rPr>
                <w:b w:val="0"/>
              </w:rPr>
              <w:t xml:space="preserve">Geneva, </w:t>
            </w:r>
            <w:r w:rsidR="004D08D9" w:rsidRPr="00F943AC">
              <w:rPr>
                <w:b w:val="0"/>
              </w:rPr>
              <w:t>2</w:t>
            </w:r>
            <w:r w:rsidRPr="00F943AC">
              <w:rPr>
                <w:b w:val="0"/>
              </w:rPr>
              <w:t>4</w:t>
            </w:r>
            <w:r w:rsidR="004D08D9" w:rsidRPr="00F943AC">
              <w:rPr>
                <w:b w:val="0"/>
              </w:rPr>
              <w:t xml:space="preserve"> April</w:t>
            </w:r>
            <w:r w:rsidRPr="00F943AC">
              <w:rPr>
                <w:b w:val="0"/>
              </w:rPr>
              <w:t>–5 May 201</w:t>
            </w:r>
            <w:r w:rsidR="004D08D9" w:rsidRPr="00F943AC">
              <w:rPr>
                <w:b w:val="0"/>
              </w:rPr>
              <w:t>7</w:t>
            </w:r>
          </w:p>
          <w:p w:rsidR="00DB4E65" w:rsidRPr="00F943AC" w:rsidRDefault="00DB4E65" w:rsidP="00286A80">
            <w:pPr>
              <w:ind w:right="80"/>
              <w:rPr>
                <w:sz w:val="20"/>
              </w:rPr>
            </w:pPr>
            <w:r w:rsidRPr="00F943AC">
              <w:rPr>
                <w:sz w:val="20"/>
              </w:rPr>
              <w:t xml:space="preserve">Item </w:t>
            </w:r>
            <w:r w:rsidR="001A1EC2">
              <w:rPr>
                <w:sz w:val="20"/>
              </w:rPr>
              <w:t>4</w:t>
            </w:r>
            <w:r w:rsidRPr="00C10576">
              <w:rPr>
                <w:sz w:val="20"/>
              </w:rPr>
              <w:t xml:space="preserve"> </w:t>
            </w:r>
            <w:r w:rsidR="00C10576" w:rsidRPr="00C10576">
              <w:rPr>
                <w:sz w:val="20"/>
              </w:rPr>
              <w:t>(</w:t>
            </w:r>
            <w:r w:rsidR="00C10576">
              <w:rPr>
                <w:sz w:val="20"/>
              </w:rPr>
              <w:t>d) (</w:t>
            </w:r>
            <w:proofErr w:type="spellStart"/>
            <w:r w:rsidR="00C10576">
              <w:rPr>
                <w:sz w:val="20"/>
              </w:rPr>
              <w:t>i</w:t>
            </w:r>
            <w:proofErr w:type="spellEnd"/>
            <w:r w:rsidR="00C10576">
              <w:rPr>
                <w:sz w:val="20"/>
              </w:rPr>
              <w:t xml:space="preserve">) </w:t>
            </w:r>
            <w:r w:rsidRPr="00F943AC">
              <w:rPr>
                <w:sz w:val="20"/>
              </w:rPr>
              <w:t>of the provisional agenda</w:t>
            </w:r>
            <w:r w:rsidRPr="00F943AC">
              <w:rPr>
                <w:rStyle w:val="FootnoteReference"/>
                <w:sz w:val="20"/>
              </w:rPr>
              <w:footnoteReference w:customMarkFollows="1" w:id="1"/>
              <w:sym w:font="Symbol" w:char="F02A"/>
            </w:r>
          </w:p>
          <w:p w:rsidR="00DB4E65" w:rsidRPr="00F943AC" w:rsidRDefault="002D2E1D" w:rsidP="008A04BA">
            <w:pPr>
              <w:spacing w:before="60"/>
              <w:ind w:right="80"/>
            </w:pPr>
            <w:r w:rsidRPr="007509F1">
              <w:rPr>
                <w:b/>
                <w:sz w:val="20"/>
              </w:rPr>
              <w:t>Matters related to the implementation of the Convention: technical assistance</w:t>
            </w:r>
            <w:r w:rsidR="00C10576">
              <w:rPr>
                <w:b/>
                <w:sz w:val="20"/>
              </w:rPr>
              <w:t>: c</w:t>
            </w:r>
            <w:r w:rsidR="00C10576" w:rsidRPr="00C10576">
              <w:rPr>
                <w:b/>
                <w:sz w:val="20"/>
              </w:rPr>
              <w:t>apacity-building</w:t>
            </w:r>
          </w:p>
        </w:tc>
        <w:tc>
          <w:tcPr>
            <w:tcW w:w="3543" w:type="dxa"/>
            <w:gridSpan w:val="2"/>
            <w:tcBorders>
              <w:top w:val="single" w:sz="18" w:space="0" w:color="auto"/>
            </w:tcBorders>
          </w:tcPr>
          <w:p w:rsidR="00DB4E65" w:rsidRPr="00F943AC" w:rsidRDefault="00DB4E65" w:rsidP="00286A80">
            <w:pPr>
              <w:pStyle w:val="AATitle"/>
              <w:keepNext w:val="0"/>
              <w:keepLines w:val="0"/>
              <w:tabs>
                <w:tab w:val="clear" w:pos="1247"/>
                <w:tab w:val="clear" w:pos="2381"/>
                <w:tab w:val="left" w:pos="4014"/>
              </w:tabs>
              <w:spacing w:before="60"/>
              <w:ind w:right="176"/>
            </w:pPr>
            <w:r w:rsidRPr="00F943AC">
              <w:t xml:space="preserve">Conference of the </w:t>
            </w:r>
            <w:r w:rsidR="00592C25" w:rsidRPr="00F943AC">
              <w:t>Parties</w:t>
            </w:r>
            <w:r w:rsidRPr="00F943AC">
              <w:t xml:space="preserve"> to the</w:t>
            </w:r>
            <w:r w:rsidRPr="00F943AC">
              <w:br/>
              <w:t>Rotterdam Convention on the Prior</w:t>
            </w:r>
            <w:r w:rsidR="001F4872" w:rsidRPr="00F943AC">
              <w:t xml:space="preserve"> </w:t>
            </w:r>
            <w:r w:rsidRPr="00F943AC">
              <w:t>Informed Consent Procedure for Certain Hazardous Chemicals and Pesticides in International Trade</w:t>
            </w:r>
            <w:r w:rsidR="001F4872" w:rsidRPr="00F943AC">
              <w:t xml:space="preserve"> </w:t>
            </w:r>
          </w:p>
          <w:p w:rsidR="00DB4E65" w:rsidRPr="00F943AC" w:rsidRDefault="004D08D9" w:rsidP="004D08D9">
            <w:pPr>
              <w:pStyle w:val="AATitle"/>
              <w:keepNext w:val="0"/>
              <w:keepLines w:val="0"/>
              <w:tabs>
                <w:tab w:val="clear" w:pos="1247"/>
                <w:tab w:val="clear" w:pos="2381"/>
                <w:tab w:val="left" w:pos="4014"/>
              </w:tabs>
              <w:ind w:right="176"/>
            </w:pPr>
            <w:r w:rsidRPr="00F943AC">
              <w:t>Eighth</w:t>
            </w:r>
            <w:r w:rsidR="00DB4E65" w:rsidRPr="00F943AC">
              <w:t xml:space="preserve"> meeting</w:t>
            </w:r>
          </w:p>
          <w:p w:rsidR="00DB4E65" w:rsidRPr="00F943AC" w:rsidRDefault="00DB4E65" w:rsidP="004D08D9">
            <w:pPr>
              <w:pStyle w:val="AATitle"/>
              <w:keepNext w:val="0"/>
              <w:keepLines w:val="0"/>
              <w:tabs>
                <w:tab w:val="clear" w:pos="1247"/>
                <w:tab w:val="clear" w:pos="2381"/>
                <w:tab w:val="left" w:pos="4014"/>
                <w:tab w:val="left" w:pos="4082"/>
              </w:tabs>
              <w:ind w:right="176"/>
              <w:rPr>
                <w:b w:val="0"/>
              </w:rPr>
            </w:pPr>
            <w:r w:rsidRPr="00F943AC">
              <w:rPr>
                <w:b w:val="0"/>
              </w:rPr>
              <w:t xml:space="preserve">Geneva, </w:t>
            </w:r>
            <w:r w:rsidR="004D08D9" w:rsidRPr="00F943AC">
              <w:rPr>
                <w:b w:val="0"/>
              </w:rPr>
              <w:t>2</w:t>
            </w:r>
            <w:r w:rsidRPr="00F943AC">
              <w:rPr>
                <w:b w:val="0"/>
              </w:rPr>
              <w:t>4</w:t>
            </w:r>
            <w:r w:rsidR="004D08D9" w:rsidRPr="00F943AC">
              <w:rPr>
                <w:b w:val="0"/>
              </w:rPr>
              <w:t xml:space="preserve"> April</w:t>
            </w:r>
            <w:r w:rsidRPr="00F943AC">
              <w:rPr>
                <w:b w:val="0"/>
              </w:rPr>
              <w:t>–5 May 201</w:t>
            </w:r>
            <w:r w:rsidR="004D08D9" w:rsidRPr="00F943AC">
              <w:rPr>
                <w:b w:val="0"/>
              </w:rPr>
              <w:t>7</w:t>
            </w:r>
          </w:p>
          <w:p w:rsidR="00DB4E65" w:rsidRPr="00F943AC" w:rsidRDefault="00DB4E65" w:rsidP="00286A80">
            <w:pPr>
              <w:tabs>
                <w:tab w:val="left" w:pos="4014"/>
              </w:tabs>
              <w:ind w:right="176"/>
              <w:rPr>
                <w:sz w:val="20"/>
              </w:rPr>
            </w:pPr>
            <w:r w:rsidRPr="00F943AC">
              <w:rPr>
                <w:sz w:val="20"/>
              </w:rPr>
              <w:t xml:space="preserve">Item </w:t>
            </w:r>
            <w:r w:rsidR="00C10576">
              <w:rPr>
                <w:sz w:val="20"/>
              </w:rPr>
              <w:t>5 (d)</w:t>
            </w:r>
            <w:r w:rsidR="00C10576" w:rsidRPr="00F943AC">
              <w:rPr>
                <w:sz w:val="20"/>
              </w:rPr>
              <w:t xml:space="preserve"> </w:t>
            </w:r>
            <w:r w:rsidRPr="00F943AC">
              <w:rPr>
                <w:sz w:val="20"/>
              </w:rPr>
              <w:t>of the provisional agenda</w:t>
            </w:r>
            <w:r w:rsidRPr="00F943AC">
              <w:rPr>
                <w:rStyle w:val="FootnoteReference"/>
                <w:sz w:val="20"/>
              </w:rPr>
              <w:footnoteReference w:customMarkFollows="1" w:id="2"/>
              <w:sym w:font="Symbol" w:char="F02A"/>
            </w:r>
            <w:r w:rsidRPr="00F943AC">
              <w:rPr>
                <w:rStyle w:val="FootnoteReference"/>
                <w:sz w:val="20"/>
              </w:rPr>
              <w:sym w:font="Symbol" w:char="F02A"/>
            </w:r>
          </w:p>
          <w:p w:rsidR="00DB4E65" w:rsidRPr="00F943AC" w:rsidRDefault="002D2E1D" w:rsidP="008A04BA">
            <w:pPr>
              <w:tabs>
                <w:tab w:val="left" w:pos="4014"/>
              </w:tabs>
              <w:spacing w:before="60"/>
              <w:ind w:right="-14"/>
            </w:pPr>
            <w:r w:rsidRPr="00D748D4">
              <w:rPr>
                <w:b/>
                <w:bCs/>
                <w:sz w:val="20"/>
              </w:rPr>
              <w:t>Matters related to the</w:t>
            </w:r>
            <w:r>
              <w:rPr>
                <w:b/>
                <w:bCs/>
                <w:sz w:val="20"/>
              </w:rPr>
              <w:br/>
            </w:r>
            <w:r w:rsidRPr="00D748D4">
              <w:rPr>
                <w:b/>
                <w:bCs/>
                <w:sz w:val="20"/>
              </w:rPr>
              <w:t>implementation of the Convention:</w:t>
            </w:r>
            <w:r>
              <w:rPr>
                <w:b/>
                <w:bCs/>
                <w:sz w:val="20"/>
              </w:rPr>
              <w:t xml:space="preserve"> technical assistance</w:t>
            </w:r>
          </w:p>
        </w:tc>
        <w:tc>
          <w:tcPr>
            <w:tcW w:w="3402" w:type="dxa"/>
            <w:gridSpan w:val="2"/>
            <w:tcBorders>
              <w:top w:val="single" w:sz="18" w:space="0" w:color="auto"/>
            </w:tcBorders>
          </w:tcPr>
          <w:p w:rsidR="00DB4E65" w:rsidRPr="00F943AC" w:rsidRDefault="00DB4E65" w:rsidP="00286A80">
            <w:pPr>
              <w:pStyle w:val="AATitle"/>
              <w:keepNext w:val="0"/>
              <w:keepLines w:val="0"/>
              <w:spacing w:before="60"/>
              <w:ind w:right="176"/>
            </w:pPr>
            <w:r w:rsidRPr="00F943AC">
              <w:t xml:space="preserve">Conference of the </w:t>
            </w:r>
            <w:r w:rsidR="00592C25" w:rsidRPr="00F943AC">
              <w:t>Parties</w:t>
            </w:r>
            <w:r w:rsidRPr="00F943AC">
              <w:t xml:space="preserve"> to the Stockholm Convention on Persistent Organic Pollutants</w:t>
            </w:r>
          </w:p>
          <w:p w:rsidR="00DB4E65" w:rsidRPr="00F943AC" w:rsidRDefault="004D08D9" w:rsidP="004D08D9">
            <w:pPr>
              <w:pStyle w:val="AATitle"/>
              <w:keepNext w:val="0"/>
              <w:keepLines w:val="0"/>
              <w:ind w:right="176"/>
            </w:pPr>
            <w:r w:rsidRPr="00F943AC">
              <w:t xml:space="preserve">Eighth </w:t>
            </w:r>
            <w:r w:rsidR="00DB4E65" w:rsidRPr="00F943AC">
              <w:t>meeting</w:t>
            </w:r>
          </w:p>
          <w:p w:rsidR="00DB4E65" w:rsidRPr="00F943AC" w:rsidRDefault="00DB4E65" w:rsidP="004D08D9">
            <w:pPr>
              <w:pStyle w:val="AATitle"/>
              <w:keepNext w:val="0"/>
              <w:keepLines w:val="0"/>
              <w:tabs>
                <w:tab w:val="left" w:pos="4082"/>
              </w:tabs>
              <w:ind w:right="176"/>
              <w:rPr>
                <w:b w:val="0"/>
              </w:rPr>
            </w:pPr>
            <w:r w:rsidRPr="00F943AC">
              <w:rPr>
                <w:b w:val="0"/>
              </w:rPr>
              <w:t>Geneva,</w:t>
            </w:r>
            <w:r w:rsidR="004D08D9" w:rsidRPr="00F943AC">
              <w:rPr>
                <w:b w:val="0"/>
              </w:rPr>
              <w:t xml:space="preserve"> 2</w:t>
            </w:r>
            <w:r w:rsidRPr="00F943AC">
              <w:rPr>
                <w:b w:val="0"/>
              </w:rPr>
              <w:t>4</w:t>
            </w:r>
            <w:r w:rsidR="004D08D9" w:rsidRPr="00F943AC">
              <w:rPr>
                <w:b w:val="0"/>
              </w:rPr>
              <w:t xml:space="preserve"> April</w:t>
            </w:r>
            <w:r w:rsidRPr="00F943AC">
              <w:rPr>
                <w:b w:val="0"/>
              </w:rPr>
              <w:t>–5 May 201</w:t>
            </w:r>
            <w:r w:rsidR="004D08D9" w:rsidRPr="00F943AC">
              <w:rPr>
                <w:b w:val="0"/>
              </w:rPr>
              <w:t>7</w:t>
            </w:r>
          </w:p>
          <w:p w:rsidR="00DB4E65" w:rsidRPr="00F943AC" w:rsidRDefault="00DB4E65" w:rsidP="00954014">
            <w:pPr>
              <w:pStyle w:val="AATitle"/>
              <w:keepNext w:val="0"/>
              <w:keepLines w:val="0"/>
              <w:tabs>
                <w:tab w:val="left" w:pos="4082"/>
              </w:tabs>
              <w:ind w:right="176"/>
              <w:rPr>
                <w:b w:val="0"/>
              </w:rPr>
            </w:pPr>
            <w:r w:rsidRPr="00F943AC">
              <w:rPr>
                <w:b w:val="0"/>
              </w:rPr>
              <w:t xml:space="preserve">Item </w:t>
            </w:r>
            <w:r w:rsidR="00C10576">
              <w:rPr>
                <w:b w:val="0"/>
              </w:rPr>
              <w:t>5 (f)</w:t>
            </w:r>
            <w:r w:rsidR="00C10576" w:rsidRPr="00F943AC">
              <w:rPr>
                <w:b w:val="0"/>
              </w:rPr>
              <w:t xml:space="preserve"> </w:t>
            </w:r>
            <w:r w:rsidRPr="00F943AC">
              <w:rPr>
                <w:b w:val="0"/>
              </w:rPr>
              <w:t>of the provisional</w:t>
            </w:r>
            <w:r w:rsidR="00954014">
              <w:rPr>
                <w:b w:val="0"/>
              </w:rPr>
              <w:t xml:space="preserve"> </w:t>
            </w:r>
            <w:r w:rsidRPr="00F943AC">
              <w:rPr>
                <w:b w:val="0"/>
              </w:rPr>
              <w:t>agenda</w:t>
            </w:r>
            <w:r w:rsidRPr="00F943AC">
              <w:rPr>
                <w:rStyle w:val="FootnoteReference"/>
                <w:b w:val="0"/>
              </w:rPr>
              <w:footnoteReference w:customMarkFollows="1" w:id="3"/>
              <w:sym w:font="Symbol" w:char="F02A"/>
            </w:r>
            <w:r w:rsidRPr="00F943AC">
              <w:rPr>
                <w:rStyle w:val="FootnoteReference"/>
                <w:b w:val="0"/>
              </w:rPr>
              <w:sym w:font="Symbol" w:char="F02A"/>
            </w:r>
            <w:r w:rsidRPr="00F943AC">
              <w:rPr>
                <w:rStyle w:val="FootnoteReference"/>
                <w:b w:val="0"/>
              </w:rPr>
              <w:sym w:font="Symbol" w:char="F02A"/>
            </w:r>
          </w:p>
          <w:p w:rsidR="00DB4E65" w:rsidRPr="00F943AC" w:rsidRDefault="002D2E1D" w:rsidP="00241728">
            <w:pPr>
              <w:spacing w:before="60"/>
              <w:ind w:right="176"/>
            </w:pPr>
            <w:r w:rsidRPr="00D748D4">
              <w:rPr>
                <w:b/>
                <w:bCs/>
                <w:sz w:val="20"/>
              </w:rPr>
              <w:t>Matters related to the implementation of the Convention:</w:t>
            </w:r>
            <w:r w:rsidRPr="00411C21">
              <w:t xml:space="preserve"> </w:t>
            </w:r>
            <w:r w:rsidRPr="00D748D4">
              <w:rPr>
                <w:b/>
                <w:bCs/>
                <w:sz w:val="20"/>
              </w:rPr>
              <w:t>technical assistance</w:t>
            </w:r>
            <w:r w:rsidRPr="00F943AC" w:rsidDel="002D2E1D">
              <w:rPr>
                <w:b/>
              </w:rPr>
              <w:t xml:space="preserve"> </w:t>
            </w:r>
          </w:p>
        </w:tc>
      </w:tr>
    </w:tbl>
    <w:p w:rsidR="0059421C" w:rsidRPr="00F943AC" w:rsidRDefault="00166467" w:rsidP="00954014">
      <w:pPr>
        <w:pStyle w:val="BBTitle"/>
        <w:spacing w:after="120"/>
        <w:rPr>
          <w:lang w:val="en-US"/>
        </w:rPr>
      </w:pPr>
      <w:r w:rsidRPr="00F943AC">
        <w:rPr>
          <w:lang w:val="en-US"/>
        </w:rPr>
        <w:t xml:space="preserve">Technical assistance </w:t>
      </w:r>
      <w:r w:rsidR="00270F06">
        <w:rPr>
          <w:lang w:val="en-US"/>
        </w:rPr>
        <w:t>plan</w:t>
      </w:r>
      <w:r w:rsidRPr="00F943AC">
        <w:rPr>
          <w:lang w:val="en-US"/>
        </w:rPr>
        <w:t xml:space="preserve"> for the implementation of the Basel,</w:t>
      </w:r>
      <w:r w:rsidR="00954014">
        <w:rPr>
          <w:lang w:val="en-US"/>
        </w:rPr>
        <w:t> </w:t>
      </w:r>
      <w:r w:rsidRPr="00F943AC">
        <w:rPr>
          <w:lang w:val="en-US"/>
        </w:rPr>
        <w:t>Rotterdam and Stockholm conventions</w:t>
      </w:r>
      <w:r w:rsidR="0002174D" w:rsidRPr="0002174D">
        <w:rPr>
          <w:lang w:val="en-US"/>
        </w:rPr>
        <w:t xml:space="preserve"> </w:t>
      </w:r>
      <w:r w:rsidR="0002174D">
        <w:rPr>
          <w:lang w:val="en-US"/>
        </w:rPr>
        <w:t>for</w:t>
      </w:r>
      <w:r w:rsidR="00F101A8">
        <w:rPr>
          <w:lang w:val="en-US"/>
        </w:rPr>
        <w:t xml:space="preserve"> the period</w:t>
      </w:r>
      <w:r w:rsidR="00954014">
        <w:rPr>
          <w:lang w:val="en-US"/>
        </w:rPr>
        <w:t xml:space="preserve"> </w:t>
      </w:r>
      <w:r w:rsidR="0002174D">
        <w:rPr>
          <w:lang w:val="en-US"/>
        </w:rPr>
        <w:t>2018</w:t>
      </w:r>
      <w:r w:rsidR="00954014">
        <w:rPr>
          <w:lang w:val="en-US"/>
        </w:rPr>
        <w:sym w:font="Symbol" w:char="F02D"/>
      </w:r>
      <w:r w:rsidR="0002174D">
        <w:rPr>
          <w:lang w:val="en-US"/>
        </w:rPr>
        <w:t>202</w:t>
      </w:r>
      <w:r w:rsidR="00494F87">
        <w:rPr>
          <w:lang w:val="en-US"/>
        </w:rPr>
        <w:t>1</w:t>
      </w:r>
    </w:p>
    <w:p w:rsidR="00EB2312" w:rsidRDefault="00EB2312" w:rsidP="00126A72">
      <w:pPr>
        <w:pStyle w:val="Subtitle"/>
        <w:keepNext w:val="0"/>
        <w:spacing w:before="240" w:after="120"/>
      </w:pPr>
      <w:r w:rsidRPr="00F943AC">
        <w:t xml:space="preserve">Note by the </w:t>
      </w:r>
      <w:r w:rsidR="00BD119E" w:rsidRPr="00F943AC">
        <w:t>S</w:t>
      </w:r>
      <w:r w:rsidRPr="00F943AC">
        <w:t>ecretariat</w:t>
      </w:r>
    </w:p>
    <w:p w:rsidR="00B25629" w:rsidRDefault="00B25629" w:rsidP="00B25629">
      <w:pPr>
        <w:spacing w:after="120"/>
        <w:ind w:left="1248" w:firstLine="595"/>
        <w:rPr>
          <w:sz w:val="20"/>
        </w:rPr>
      </w:pPr>
      <w:r w:rsidRPr="00252B94">
        <w:rPr>
          <w:iCs/>
          <w:color w:val="000000"/>
          <w:sz w:val="20"/>
        </w:rPr>
        <w:t xml:space="preserve">As referred to in </w:t>
      </w:r>
      <w:r>
        <w:rPr>
          <w:iCs/>
          <w:color w:val="000000"/>
          <w:sz w:val="20"/>
        </w:rPr>
        <w:t xml:space="preserve">the note by the Secretariat </w:t>
      </w:r>
      <w:r w:rsidRPr="00252B94">
        <w:rPr>
          <w:iCs/>
          <w:color w:val="000000"/>
          <w:sz w:val="20"/>
        </w:rPr>
        <w:t xml:space="preserve">on technical assistance and capacity-building for the implementation of the Basel, Rotterdam and Stockholm </w:t>
      </w:r>
      <w:r>
        <w:rPr>
          <w:iCs/>
          <w:color w:val="000000"/>
          <w:sz w:val="20"/>
        </w:rPr>
        <w:t>c</w:t>
      </w:r>
      <w:r w:rsidRPr="00252B94">
        <w:rPr>
          <w:iCs/>
          <w:color w:val="000000"/>
          <w:sz w:val="20"/>
        </w:rPr>
        <w:t>onventions</w:t>
      </w:r>
      <w:r>
        <w:rPr>
          <w:iCs/>
          <w:color w:val="000000"/>
          <w:sz w:val="20"/>
        </w:rPr>
        <w:t xml:space="preserve"> (</w:t>
      </w:r>
      <w:r w:rsidRPr="00252B94">
        <w:rPr>
          <w:iCs/>
          <w:color w:val="000000"/>
          <w:sz w:val="20"/>
        </w:rPr>
        <w:t>UNEP/CHW.1</w:t>
      </w:r>
      <w:r>
        <w:rPr>
          <w:iCs/>
          <w:color w:val="000000"/>
          <w:sz w:val="20"/>
        </w:rPr>
        <w:t>3</w:t>
      </w:r>
      <w:r w:rsidRPr="00252B94">
        <w:rPr>
          <w:iCs/>
          <w:color w:val="000000"/>
          <w:sz w:val="20"/>
        </w:rPr>
        <w:t>/</w:t>
      </w:r>
      <w:r w:rsidR="00334464">
        <w:rPr>
          <w:iCs/>
          <w:color w:val="000000"/>
          <w:sz w:val="20"/>
        </w:rPr>
        <w:t>17</w:t>
      </w:r>
      <w:r w:rsidRPr="00252B94">
        <w:rPr>
          <w:color w:val="000000"/>
          <w:sz w:val="20"/>
        </w:rPr>
        <w:t>-</w:t>
      </w:r>
      <w:r w:rsidRPr="00252B94">
        <w:rPr>
          <w:iCs/>
          <w:color w:val="000000"/>
          <w:sz w:val="20"/>
        </w:rPr>
        <w:t>UNEP/FAO/RC/COP.</w:t>
      </w:r>
      <w:r>
        <w:rPr>
          <w:iCs/>
          <w:color w:val="000000"/>
          <w:sz w:val="20"/>
        </w:rPr>
        <w:t>8</w:t>
      </w:r>
      <w:r w:rsidRPr="00252B94">
        <w:rPr>
          <w:iCs/>
          <w:color w:val="000000"/>
          <w:sz w:val="20"/>
        </w:rPr>
        <w:t>/</w:t>
      </w:r>
      <w:r w:rsidR="00334464">
        <w:rPr>
          <w:iCs/>
          <w:color w:val="000000"/>
          <w:sz w:val="20"/>
        </w:rPr>
        <w:t>17</w:t>
      </w:r>
      <w:r w:rsidRPr="00252B94">
        <w:rPr>
          <w:iCs/>
          <w:color w:val="000000"/>
          <w:sz w:val="20"/>
        </w:rPr>
        <w:t>-UNEP/POPS/COP.</w:t>
      </w:r>
      <w:r>
        <w:rPr>
          <w:iCs/>
          <w:color w:val="000000"/>
          <w:sz w:val="20"/>
        </w:rPr>
        <w:t>8</w:t>
      </w:r>
      <w:r w:rsidRPr="00252B94">
        <w:rPr>
          <w:iCs/>
          <w:color w:val="000000"/>
          <w:sz w:val="20"/>
        </w:rPr>
        <w:t>/</w:t>
      </w:r>
      <w:r w:rsidR="00334464">
        <w:rPr>
          <w:iCs/>
          <w:color w:val="000000"/>
          <w:sz w:val="20"/>
        </w:rPr>
        <w:t>17</w:t>
      </w:r>
      <w:r>
        <w:rPr>
          <w:iCs/>
          <w:color w:val="000000"/>
          <w:sz w:val="20"/>
        </w:rPr>
        <w:t>)</w:t>
      </w:r>
      <w:r w:rsidRPr="00252B94">
        <w:rPr>
          <w:iCs/>
          <w:color w:val="000000"/>
          <w:sz w:val="20"/>
        </w:rPr>
        <w:t xml:space="preserve">, the annex to the present note sets out the technical assistance </w:t>
      </w:r>
      <w:r>
        <w:rPr>
          <w:iCs/>
          <w:color w:val="000000"/>
          <w:sz w:val="20"/>
        </w:rPr>
        <w:t xml:space="preserve">plan </w:t>
      </w:r>
      <w:r w:rsidRPr="00252B94">
        <w:rPr>
          <w:iCs/>
          <w:color w:val="000000"/>
          <w:sz w:val="20"/>
        </w:rPr>
        <w:t xml:space="preserve">for the implementation of the </w:t>
      </w:r>
      <w:r>
        <w:rPr>
          <w:iCs/>
          <w:color w:val="000000"/>
          <w:sz w:val="20"/>
        </w:rPr>
        <w:t xml:space="preserve">three </w:t>
      </w:r>
      <w:r w:rsidRPr="00252B94">
        <w:rPr>
          <w:iCs/>
          <w:color w:val="000000"/>
          <w:sz w:val="20"/>
        </w:rPr>
        <w:t>conventions</w:t>
      </w:r>
      <w:r w:rsidR="0002174D" w:rsidRPr="0002174D">
        <w:rPr>
          <w:iCs/>
          <w:color w:val="000000"/>
          <w:sz w:val="20"/>
        </w:rPr>
        <w:t xml:space="preserve"> </w:t>
      </w:r>
      <w:r w:rsidR="0002174D">
        <w:rPr>
          <w:iCs/>
          <w:color w:val="000000"/>
          <w:sz w:val="20"/>
        </w:rPr>
        <w:t>for 2018–202</w:t>
      </w:r>
      <w:r w:rsidR="00494F87">
        <w:rPr>
          <w:iCs/>
          <w:color w:val="000000"/>
          <w:sz w:val="20"/>
        </w:rPr>
        <w:t>1</w:t>
      </w:r>
      <w:r w:rsidRPr="00252B94">
        <w:rPr>
          <w:iCs/>
          <w:color w:val="000000"/>
          <w:sz w:val="20"/>
        </w:rPr>
        <w:t xml:space="preserve">. </w:t>
      </w:r>
      <w:r w:rsidRPr="00252B94">
        <w:rPr>
          <w:sz w:val="20"/>
        </w:rPr>
        <w:t>The present note, including its annex, has not been formally edited.</w:t>
      </w:r>
      <w:r>
        <w:rPr>
          <w:sz w:val="20"/>
        </w:rPr>
        <w:t xml:space="preserve"> </w:t>
      </w:r>
    </w:p>
    <w:p w:rsidR="00334464" w:rsidRDefault="00334464">
      <w:pPr>
        <w:rPr>
          <w:b/>
          <w:bCs/>
          <w:sz w:val="28"/>
          <w:szCs w:val="22"/>
          <w:lang w:val="en-US"/>
        </w:rPr>
      </w:pPr>
      <w:r>
        <w:rPr>
          <w:lang w:val="en-US"/>
        </w:rPr>
        <w:br w:type="page"/>
      </w:r>
    </w:p>
    <w:p w:rsidR="00B25629" w:rsidRDefault="00B25629" w:rsidP="00B25629">
      <w:pPr>
        <w:pStyle w:val="ZZAnxheader"/>
        <w:rPr>
          <w:lang w:val="en-US"/>
        </w:rPr>
      </w:pPr>
      <w:r w:rsidRPr="001C0F39">
        <w:rPr>
          <w:lang w:val="en-US"/>
        </w:rPr>
        <w:lastRenderedPageBreak/>
        <w:t xml:space="preserve">Annex </w:t>
      </w:r>
    </w:p>
    <w:p w:rsidR="00D004E4" w:rsidRPr="009534A5" w:rsidRDefault="0025518C" w:rsidP="0025518C">
      <w:pPr>
        <w:pStyle w:val="CH1"/>
      </w:pPr>
      <w:r>
        <w:tab/>
      </w:r>
      <w:r>
        <w:tab/>
      </w:r>
      <w:r w:rsidR="00635C2B" w:rsidRPr="009534A5">
        <w:t xml:space="preserve">Technical </w:t>
      </w:r>
      <w:r w:rsidR="00723B86" w:rsidRPr="009534A5">
        <w:t>a</w:t>
      </w:r>
      <w:r w:rsidR="00FE2BD7" w:rsidRPr="009534A5">
        <w:t xml:space="preserve">ssistance </w:t>
      </w:r>
      <w:r w:rsidR="00723B86" w:rsidRPr="009534A5">
        <w:t>p</w:t>
      </w:r>
      <w:r w:rsidR="00173468" w:rsidRPr="009534A5">
        <w:t xml:space="preserve">lan </w:t>
      </w:r>
      <w:r w:rsidR="00332345" w:rsidRPr="009534A5">
        <w:t xml:space="preserve">for the implementation of the Basel, Rotterdam and Stockholm </w:t>
      </w:r>
      <w:r w:rsidR="00F101A8" w:rsidRPr="009534A5">
        <w:t>c</w:t>
      </w:r>
      <w:r w:rsidR="00332345" w:rsidRPr="009534A5">
        <w:t>onvention</w:t>
      </w:r>
      <w:r w:rsidR="00F101A8" w:rsidRPr="009534A5">
        <w:t>s</w:t>
      </w:r>
      <w:r w:rsidR="00332345" w:rsidRPr="009534A5">
        <w:t xml:space="preserve"> </w:t>
      </w:r>
      <w:r w:rsidR="00635C2B" w:rsidRPr="009534A5">
        <w:t xml:space="preserve">for </w:t>
      </w:r>
      <w:r w:rsidR="001A5295" w:rsidRPr="009534A5">
        <w:t>201</w:t>
      </w:r>
      <w:r w:rsidR="00241560" w:rsidRPr="009534A5">
        <w:t>8</w:t>
      </w:r>
      <w:r w:rsidR="001A5295" w:rsidRPr="009534A5">
        <w:sym w:font="Symbol" w:char="F02D"/>
      </w:r>
      <w:r w:rsidR="00FE2BD7" w:rsidRPr="009534A5">
        <w:t>202</w:t>
      </w:r>
      <w:r w:rsidR="00494F87" w:rsidRPr="009534A5">
        <w:t>1</w:t>
      </w:r>
      <w:r w:rsidR="001A5295" w:rsidRPr="009534A5">
        <w:t xml:space="preserve"> </w:t>
      </w:r>
    </w:p>
    <w:p w:rsidR="008758A6" w:rsidRDefault="0025518C" w:rsidP="0025518C">
      <w:pPr>
        <w:pStyle w:val="CH1"/>
      </w:pPr>
      <w:r>
        <w:tab/>
      </w:r>
      <w:r w:rsidR="00FE18F8" w:rsidRPr="009356FC">
        <w:t>I.</w:t>
      </w:r>
      <w:r w:rsidR="00B25629" w:rsidRPr="009356FC">
        <w:tab/>
      </w:r>
      <w:r w:rsidR="004C4321" w:rsidRPr="009356FC">
        <w:t xml:space="preserve">Introduction </w:t>
      </w:r>
    </w:p>
    <w:p w:rsidR="0007686B" w:rsidRDefault="00B40D8D" w:rsidP="00B25629">
      <w:pPr>
        <w:pStyle w:val="NormalNonumber"/>
        <w:numPr>
          <w:ilvl w:val="0"/>
          <w:numId w:val="5"/>
        </w:numPr>
        <w:ind w:left="1247" w:firstLine="0"/>
        <w:rPr>
          <w:lang w:val="en-US"/>
        </w:rPr>
      </w:pPr>
      <w:r w:rsidRPr="009356FC">
        <w:rPr>
          <w:lang w:val="en-US"/>
        </w:rPr>
        <w:t>Pursuant to</w:t>
      </w:r>
      <w:r w:rsidR="00361F8A" w:rsidRPr="009356FC">
        <w:rPr>
          <w:lang w:val="en-US"/>
        </w:rPr>
        <w:t xml:space="preserve"> the mandates </w:t>
      </w:r>
      <w:r w:rsidRPr="009356FC">
        <w:rPr>
          <w:lang w:val="en-US"/>
        </w:rPr>
        <w:t xml:space="preserve">set out </w:t>
      </w:r>
      <w:r w:rsidR="00361F8A" w:rsidRPr="009356FC">
        <w:rPr>
          <w:lang w:val="en-US"/>
        </w:rPr>
        <w:t xml:space="preserve">in </w:t>
      </w:r>
      <w:r w:rsidR="005F3C7C">
        <w:rPr>
          <w:lang w:val="en-US"/>
        </w:rPr>
        <w:t>A</w:t>
      </w:r>
      <w:r w:rsidR="00361F8A" w:rsidRPr="009356FC">
        <w:rPr>
          <w:lang w:val="en-US"/>
        </w:rPr>
        <w:t xml:space="preserve">rticle 16, paragraph 1 (g) of the Basel Convention, </w:t>
      </w:r>
      <w:r w:rsidR="005F3C7C">
        <w:rPr>
          <w:lang w:val="en-US"/>
        </w:rPr>
        <w:t>A</w:t>
      </w:r>
      <w:r w:rsidR="00361F8A" w:rsidRPr="009356FC">
        <w:rPr>
          <w:lang w:val="en-US"/>
        </w:rPr>
        <w:t xml:space="preserve">rticle 19, paragraph 2 (b) of the Rotterdam Convention and </w:t>
      </w:r>
      <w:r w:rsidR="005F3C7C">
        <w:rPr>
          <w:lang w:val="en-US"/>
        </w:rPr>
        <w:t>A</w:t>
      </w:r>
      <w:r w:rsidR="00361F8A" w:rsidRPr="009356FC">
        <w:rPr>
          <w:lang w:val="en-US"/>
        </w:rPr>
        <w:t>rticle 20, paragraph 2 (b) of the Stockholm Convention respectively and b</w:t>
      </w:r>
      <w:r w:rsidR="00B25629" w:rsidRPr="009356FC">
        <w:rPr>
          <w:color w:val="000000" w:themeColor="text1"/>
          <w:lang w:val="en-US"/>
        </w:rPr>
        <w:t xml:space="preserve">ased on past </w:t>
      </w:r>
      <w:r w:rsidR="0002174D" w:rsidRPr="009356FC">
        <w:rPr>
          <w:color w:val="000000" w:themeColor="text1"/>
          <w:lang w:val="en-US"/>
        </w:rPr>
        <w:t>activities carried out by the Secretariat</w:t>
      </w:r>
      <w:r w:rsidR="0044359A" w:rsidRPr="009356FC">
        <w:rPr>
          <w:rStyle w:val="FootnoteReference"/>
          <w:color w:val="000000" w:themeColor="text1"/>
          <w:lang w:val="en-US"/>
        </w:rPr>
        <w:footnoteReference w:id="4"/>
      </w:r>
      <w:r w:rsidR="0002174D" w:rsidRPr="009356FC">
        <w:rPr>
          <w:color w:val="000000" w:themeColor="text1"/>
          <w:lang w:val="en-US"/>
        </w:rPr>
        <w:t xml:space="preserve"> </w:t>
      </w:r>
      <w:r w:rsidR="00B25629" w:rsidRPr="009356FC">
        <w:rPr>
          <w:color w:val="000000" w:themeColor="text1"/>
          <w:lang w:val="en-US"/>
        </w:rPr>
        <w:t>and needs expressed by Parties</w:t>
      </w:r>
      <w:r w:rsidR="0002174D" w:rsidRPr="009356FC">
        <w:rPr>
          <w:rStyle w:val="FootnoteReference"/>
          <w:color w:val="000000" w:themeColor="text1"/>
          <w:lang w:val="en-US"/>
        </w:rPr>
        <w:footnoteReference w:id="5"/>
      </w:r>
      <w:r w:rsidR="00B25629" w:rsidRPr="009356FC">
        <w:rPr>
          <w:color w:val="000000" w:themeColor="text1"/>
          <w:lang w:val="en-US"/>
        </w:rPr>
        <w:t xml:space="preserve">, the Secretariat has developed a four-year </w:t>
      </w:r>
      <w:r w:rsidRPr="009356FC">
        <w:rPr>
          <w:color w:val="000000" w:themeColor="text1"/>
          <w:lang w:val="en-US"/>
        </w:rPr>
        <w:t xml:space="preserve">technical assistance </w:t>
      </w:r>
      <w:r w:rsidR="00B25629" w:rsidRPr="009356FC">
        <w:rPr>
          <w:color w:val="000000" w:themeColor="text1"/>
          <w:lang w:val="en-US"/>
        </w:rPr>
        <w:t>plan</w:t>
      </w:r>
      <w:r w:rsidR="00497565" w:rsidRPr="009356FC">
        <w:rPr>
          <w:color w:val="000000" w:themeColor="text1"/>
          <w:lang w:val="en-US"/>
        </w:rPr>
        <w:t xml:space="preserve"> for the period 2018–2021</w:t>
      </w:r>
      <w:r w:rsidR="00B25629" w:rsidRPr="009356FC">
        <w:rPr>
          <w:color w:val="000000" w:themeColor="text1"/>
          <w:lang w:val="en-US"/>
        </w:rPr>
        <w:t xml:space="preserve"> to address </w:t>
      </w:r>
      <w:r w:rsidR="00DC4C17" w:rsidRPr="009356FC">
        <w:rPr>
          <w:color w:val="000000" w:themeColor="text1"/>
          <w:lang w:val="en-US"/>
        </w:rPr>
        <w:t xml:space="preserve">these </w:t>
      </w:r>
      <w:r w:rsidR="00B25629" w:rsidRPr="009356FC">
        <w:rPr>
          <w:color w:val="000000" w:themeColor="text1"/>
          <w:lang w:val="en-US"/>
        </w:rPr>
        <w:t xml:space="preserve">needs and provide strengthened support </w:t>
      </w:r>
      <w:r w:rsidR="0044359A" w:rsidRPr="009356FC">
        <w:rPr>
          <w:color w:val="000000" w:themeColor="text1"/>
          <w:lang w:val="en-US"/>
        </w:rPr>
        <w:t xml:space="preserve">to </w:t>
      </w:r>
      <w:r w:rsidR="00B25629" w:rsidRPr="009356FC">
        <w:rPr>
          <w:color w:val="000000" w:themeColor="text1"/>
          <w:lang w:val="en-US"/>
        </w:rPr>
        <w:t>Parties</w:t>
      </w:r>
      <w:r w:rsidRPr="009356FC">
        <w:rPr>
          <w:color w:val="000000" w:themeColor="text1"/>
          <w:lang w:val="en-US"/>
        </w:rPr>
        <w:t>, particularly developing country Parties and Parti</w:t>
      </w:r>
      <w:r w:rsidR="00E4739A">
        <w:rPr>
          <w:color w:val="000000" w:themeColor="text1"/>
          <w:lang w:val="en-US"/>
        </w:rPr>
        <w:t>e</w:t>
      </w:r>
      <w:r w:rsidRPr="009356FC">
        <w:rPr>
          <w:color w:val="000000" w:themeColor="text1"/>
          <w:lang w:val="en-US"/>
        </w:rPr>
        <w:t>s with economies in transition,</w:t>
      </w:r>
      <w:r w:rsidR="00B25629" w:rsidRPr="009356FC">
        <w:rPr>
          <w:color w:val="000000" w:themeColor="text1"/>
          <w:lang w:val="en-US"/>
        </w:rPr>
        <w:t xml:space="preserve"> in their implementation of the conventions. </w:t>
      </w:r>
      <w:r w:rsidR="00F149AE" w:rsidRPr="009356FC">
        <w:rPr>
          <w:color w:val="000000" w:themeColor="text1"/>
          <w:lang w:val="en-US"/>
        </w:rPr>
        <w:t xml:space="preserve">The plan </w:t>
      </w:r>
      <w:r w:rsidR="00DC4C17" w:rsidRPr="009356FC">
        <w:rPr>
          <w:color w:val="000000" w:themeColor="text1"/>
          <w:lang w:val="en-US"/>
        </w:rPr>
        <w:t>will</w:t>
      </w:r>
      <w:r w:rsidR="00B25629" w:rsidRPr="009356FC">
        <w:rPr>
          <w:color w:val="000000" w:themeColor="text1"/>
          <w:lang w:val="en-US"/>
        </w:rPr>
        <w:t xml:space="preserve"> allow for </w:t>
      </w:r>
      <w:r w:rsidR="00F101A8" w:rsidRPr="008A04BA">
        <w:rPr>
          <w:color w:val="000000" w:themeColor="text1"/>
          <w:lang w:val="en-US"/>
        </w:rPr>
        <w:t>improved</w:t>
      </w:r>
      <w:r w:rsidR="00F101A8" w:rsidRPr="009356FC">
        <w:rPr>
          <w:color w:val="000000" w:themeColor="text1"/>
          <w:lang w:val="en-US"/>
        </w:rPr>
        <w:t xml:space="preserve"> </w:t>
      </w:r>
      <w:r w:rsidR="00B25629" w:rsidRPr="009356FC">
        <w:rPr>
          <w:color w:val="000000" w:themeColor="text1"/>
          <w:lang w:val="en-US"/>
        </w:rPr>
        <w:t>impact assessment</w:t>
      </w:r>
      <w:r w:rsidR="00DC4C17" w:rsidRPr="009356FC">
        <w:rPr>
          <w:color w:val="000000" w:themeColor="text1"/>
          <w:lang w:val="en-US"/>
        </w:rPr>
        <w:t xml:space="preserve">, </w:t>
      </w:r>
      <w:r w:rsidR="00B25629" w:rsidRPr="009356FC">
        <w:rPr>
          <w:color w:val="000000" w:themeColor="text1"/>
          <w:lang w:val="en-US"/>
        </w:rPr>
        <w:t>monitoring and evaluation while assisting Parties to address</w:t>
      </w:r>
      <w:r w:rsidR="00B25629" w:rsidRPr="009356FC">
        <w:rPr>
          <w:lang w:val="en-US"/>
        </w:rPr>
        <w:t xml:space="preserve"> their needs in a strategic, systematic and forward-looking manner. </w:t>
      </w:r>
    </w:p>
    <w:p w:rsidR="00B25629" w:rsidRPr="009356FC" w:rsidRDefault="0007686B" w:rsidP="00B25629">
      <w:pPr>
        <w:pStyle w:val="NormalNonumber"/>
        <w:numPr>
          <w:ilvl w:val="0"/>
          <w:numId w:val="5"/>
        </w:numPr>
        <w:ind w:left="1247" w:firstLine="0"/>
        <w:rPr>
          <w:lang w:val="en-US"/>
        </w:rPr>
      </w:pPr>
      <w:r w:rsidRPr="009356FC">
        <w:rPr>
          <w:lang w:val="en-US"/>
        </w:rPr>
        <w:t>The plan identifies interventions</w:t>
      </w:r>
      <w:r w:rsidR="00E554E7">
        <w:rPr>
          <w:lang w:val="en-US"/>
        </w:rPr>
        <w:t xml:space="preserve"> for the</w:t>
      </w:r>
      <w:r w:rsidRPr="009356FC">
        <w:rPr>
          <w:lang w:val="en-US"/>
        </w:rPr>
        <w:t xml:space="preserve"> </w:t>
      </w:r>
      <w:r w:rsidR="00E554E7">
        <w:rPr>
          <w:lang w:val="en-US"/>
        </w:rPr>
        <w:t xml:space="preserve">implementation of the conventions at national and regional level </w:t>
      </w:r>
      <w:r w:rsidR="00D82C88">
        <w:rPr>
          <w:lang w:val="en-US"/>
        </w:rPr>
        <w:t xml:space="preserve">that are </w:t>
      </w:r>
      <w:r w:rsidRPr="009356FC">
        <w:rPr>
          <w:lang w:val="en-US"/>
        </w:rPr>
        <w:t>in line with the strategic directions</w:t>
      </w:r>
      <w:r w:rsidR="00D82C88">
        <w:rPr>
          <w:lang w:val="en-US"/>
        </w:rPr>
        <w:t xml:space="preserve"> and priorities</w:t>
      </w:r>
      <w:r w:rsidRPr="009356FC">
        <w:rPr>
          <w:lang w:val="en-US"/>
        </w:rPr>
        <w:t xml:space="preserve"> set by Parties through their respective decisions and </w:t>
      </w:r>
      <w:proofErr w:type="spellStart"/>
      <w:r w:rsidR="00960FBE">
        <w:rPr>
          <w:lang w:val="en-US"/>
        </w:rPr>
        <w:t>programmes</w:t>
      </w:r>
      <w:proofErr w:type="spellEnd"/>
      <w:r w:rsidR="00960FBE" w:rsidRPr="009356FC">
        <w:rPr>
          <w:lang w:val="en-US"/>
        </w:rPr>
        <w:t xml:space="preserve"> </w:t>
      </w:r>
      <w:r w:rsidR="00960FBE">
        <w:rPr>
          <w:lang w:val="en-US"/>
        </w:rPr>
        <w:t xml:space="preserve">of </w:t>
      </w:r>
      <w:r w:rsidRPr="009356FC">
        <w:rPr>
          <w:lang w:val="en-US"/>
        </w:rPr>
        <w:t>work</w:t>
      </w:r>
      <w:r>
        <w:rPr>
          <w:lang w:val="en-US"/>
        </w:rPr>
        <w:t>.</w:t>
      </w:r>
      <w:r w:rsidRPr="009356FC">
        <w:rPr>
          <w:lang w:val="en-US"/>
        </w:rPr>
        <w:t xml:space="preserve"> </w:t>
      </w:r>
      <w:r w:rsidR="00190F96" w:rsidRPr="009356FC">
        <w:rPr>
          <w:lang w:val="en-US"/>
        </w:rPr>
        <w:t xml:space="preserve">The plan </w:t>
      </w:r>
      <w:r w:rsidR="00190F96">
        <w:rPr>
          <w:lang w:val="en-US"/>
        </w:rPr>
        <w:t xml:space="preserve">seeks to engage </w:t>
      </w:r>
      <w:r w:rsidR="00190F96" w:rsidRPr="009356FC">
        <w:rPr>
          <w:lang w:val="en-US"/>
        </w:rPr>
        <w:t xml:space="preserve">Parties, non-Party </w:t>
      </w:r>
      <w:r w:rsidR="00190F96" w:rsidRPr="009356FC">
        <w:rPr>
          <w:color w:val="000000" w:themeColor="text1"/>
          <w:lang w:val="en-US"/>
        </w:rPr>
        <w:t>States</w:t>
      </w:r>
      <w:r w:rsidR="00190F96" w:rsidRPr="009356FC">
        <w:rPr>
          <w:lang w:val="en-US"/>
        </w:rPr>
        <w:t>, Basel and Stockholm convention</w:t>
      </w:r>
      <w:r w:rsidR="00282F26">
        <w:rPr>
          <w:lang w:val="en-US"/>
        </w:rPr>
        <w:t>s</w:t>
      </w:r>
      <w:r w:rsidR="00190F96" w:rsidRPr="009356FC">
        <w:rPr>
          <w:lang w:val="en-US"/>
        </w:rPr>
        <w:t xml:space="preserve"> regional </w:t>
      </w:r>
      <w:proofErr w:type="spellStart"/>
      <w:r w:rsidR="00190F96" w:rsidRPr="009356FC">
        <w:rPr>
          <w:lang w:val="en-US"/>
        </w:rPr>
        <w:t>centres</w:t>
      </w:r>
      <w:proofErr w:type="spellEnd"/>
      <w:r w:rsidR="00190F96" w:rsidRPr="009356FC">
        <w:rPr>
          <w:lang w:val="en-US"/>
        </w:rPr>
        <w:t xml:space="preserve">, </w:t>
      </w:r>
      <w:r w:rsidR="00E757A5">
        <w:rPr>
          <w:lang w:val="en-US"/>
        </w:rPr>
        <w:t xml:space="preserve">the </w:t>
      </w:r>
      <w:r w:rsidR="00711114">
        <w:rPr>
          <w:lang w:val="en-US"/>
        </w:rPr>
        <w:t>United Nations Environment Programme (</w:t>
      </w:r>
      <w:r w:rsidR="00190F96" w:rsidRPr="009356FC">
        <w:rPr>
          <w:lang w:val="en-US"/>
        </w:rPr>
        <w:t>UNEP</w:t>
      </w:r>
      <w:r w:rsidR="00711114">
        <w:rPr>
          <w:lang w:val="en-US"/>
        </w:rPr>
        <w:t>)</w:t>
      </w:r>
      <w:r w:rsidR="00190F96" w:rsidRPr="009356FC">
        <w:rPr>
          <w:lang w:val="en-US"/>
        </w:rPr>
        <w:t xml:space="preserve"> and</w:t>
      </w:r>
      <w:r w:rsidR="00711114">
        <w:rPr>
          <w:lang w:val="en-US"/>
        </w:rPr>
        <w:t xml:space="preserve"> the </w:t>
      </w:r>
      <w:r w:rsidR="00711114" w:rsidRPr="00711114">
        <w:rPr>
          <w:lang w:val="en-US"/>
        </w:rPr>
        <w:t xml:space="preserve">Food and Agriculture Organization of the United Nations </w:t>
      </w:r>
      <w:r w:rsidR="00711114">
        <w:rPr>
          <w:lang w:val="en-US"/>
        </w:rPr>
        <w:t>(</w:t>
      </w:r>
      <w:r w:rsidR="00190F96" w:rsidRPr="009356FC">
        <w:rPr>
          <w:lang w:val="en-US"/>
        </w:rPr>
        <w:t>FAO</w:t>
      </w:r>
      <w:r w:rsidR="00711114">
        <w:rPr>
          <w:lang w:val="en-US"/>
        </w:rPr>
        <w:t>)</w:t>
      </w:r>
      <w:r w:rsidR="0087273C">
        <w:rPr>
          <w:lang w:val="en-US"/>
        </w:rPr>
        <w:t>, including their</w:t>
      </w:r>
      <w:r w:rsidR="00190F96" w:rsidRPr="009356FC">
        <w:rPr>
          <w:lang w:val="en-US"/>
        </w:rPr>
        <w:t xml:space="preserve"> regional offices</w:t>
      </w:r>
      <w:r w:rsidR="0087273C">
        <w:rPr>
          <w:lang w:val="en-US"/>
        </w:rPr>
        <w:t>,</w:t>
      </w:r>
      <w:r w:rsidR="00190F96" w:rsidRPr="009356FC">
        <w:rPr>
          <w:lang w:val="en-US"/>
        </w:rPr>
        <w:t xml:space="preserve"> and relevant organizations</w:t>
      </w:r>
      <w:r w:rsidR="00190F96">
        <w:rPr>
          <w:lang w:val="en-US"/>
        </w:rPr>
        <w:t xml:space="preserve"> for implementation of specific activities</w:t>
      </w:r>
      <w:r w:rsidR="00F101A8">
        <w:rPr>
          <w:lang w:val="en-US"/>
        </w:rPr>
        <w:t xml:space="preserve"> </w:t>
      </w:r>
      <w:r w:rsidR="00807FC1">
        <w:rPr>
          <w:lang w:val="en-US"/>
        </w:rPr>
        <w:t xml:space="preserve">contained </w:t>
      </w:r>
      <w:r w:rsidR="00F101A8">
        <w:rPr>
          <w:lang w:val="en-US"/>
        </w:rPr>
        <w:t>therein</w:t>
      </w:r>
      <w:r w:rsidR="00190F96">
        <w:rPr>
          <w:lang w:val="en-US"/>
        </w:rPr>
        <w:t xml:space="preserve">. </w:t>
      </w:r>
      <w:r w:rsidR="00E67D25" w:rsidRPr="009356FC">
        <w:rPr>
          <w:lang w:val="en-US"/>
        </w:rPr>
        <w:t xml:space="preserve">The </w:t>
      </w:r>
      <w:r w:rsidR="00BC0751">
        <w:rPr>
          <w:lang w:val="en-US"/>
        </w:rPr>
        <w:t xml:space="preserve">implementation of the </w:t>
      </w:r>
      <w:r w:rsidR="00E67D25" w:rsidRPr="009356FC">
        <w:rPr>
          <w:lang w:val="en-US"/>
        </w:rPr>
        <w:t xml:space="preserve">plan </w:t>
      </w:r>
      <w:r w:rsidR="00E67D25" w:rsidRPr="009356FC">
        <w:rPr>
          <w:lang w:val="en-GB"/>
        </w:rPr>
        <w:t xml:space="preserve">is subject </w:t>
      </w:r>
      <w:r w:rsidR="00BC0751">
        <w:rPr>
          <w:lang w:val="en-GB"/>
        </w:rPr>
        <w:t>to the availability of resource</w:t>
      </w:r>
      <w:r w:rsidR="00190F96">
        <w:rPr>
          <w:lang w:val="en-GB"/>
        </w:rPr>
        <w:t>s</w:t>
      </w:r>
      <w:r w:rsidR="00BC0751">
        <w:rPr>
          <w:lang w:val="en-GB"/>
        </w:rPr>
        <w:t xml:space="preserve">. </w:t>
      </w:r>
    </w:p>
    <w:p w:rsidR="00361F8A" w:rsidRPr="009356FC" w:rsidRDefault="00361F8A" w:rsidP="00361F8A">
      <w:pPr>
        <w:pStyle w:val="NormalNonumber"/>
        <w:numPr>
          <w:ilvl w:val="0"/>
          <w:numId w:val="5"/>
        </w:numPr>
        <w:ind w:left="1247" w:firstLine="0"/>
        <w:rPr>
          <w:lang w:val="en-US"/>
        </w:rPr>
      </w:pPr>
      <w:r w:rsidRPr="009356FC">
        <w:rPr>
          <w:lang w:val="en-US"/>
        </w:rPr>
        <w:t>In light of the adoption of the Sustainable Development Goals and the Agenda 2030 for Sustainable Development, the technical assistance plan seeks to support Parties in integrating chemicals and wastes in</w:t>
      </w:r>
      <w:r w:rsidR="00807FC1">
        <w:rPr>
          <w:lang w:val="en-US"/>
        </w:rPr>
        <w:t>to</w:t>
      </w:r>
      <w:r w:rsidRPr="009356FC">
        <w:rPr>
          <w:lang w:val="en-US"/>
        </w:rPr>
        <w:t xml:space="preserve"> national strategies </w:t>
      </w:r>
      <w:r w:rsidR="00807FC1">
        <w:rPr>
          <w:lang w:val="en-US"/>
        </w:rPr>
        <w:t>f</w:t>
      </w:r>
      <w:r w:rsidRPr="009356FC">
        <w:rPr>
          <w:lang w:val="en-US"/>
        </w:rPr>
        <w:t>o</w:t>
      </w:r>
      <w:r w:rsidR="00807FC1">
        <w:rPr>
          <w:lang w:val="en-US"/>
        </w:rPr>
        <w:t>r</w:t>
      </w:r>
      <w:r w:rsidRPr="009356FC">
        <w:rPr>
          <w:lang w:val="en-US"/>
        </w:rPr>
        <w:t xml:space="preserve"> sustainable development. It also includes enabling activities </w:t>
      </w:r>
      <w:r w:rsidR="00AA35EA" w:rsidRPr="009356FC">
        <w:rPr>
          <w:lang w:val="en-US"/>
        </w:rPr>
        <w:t>that</w:t>
      </w:r>
      <w:r w:rsidR="00DC4C17" w:rsidRPr="009356FC">
        <w:rPr>
          <w:lang w:val="en-US"/>
        </w:rPr>
        <w:t xml:space="preserve"> will</w:t>
      </w:r>
      <w:r w:rsidRPr="009356FC">
        <w:rPr>
          <w:lang w:val="en-US"/>
        </w:rPr>
        <w:t xml:space="preserve"> support Parties </w:t>
      </w:r>
      <w:r w:rsidR="00DC4C17" w:rsidRPr="009356FC">
        <w:rPr>
          <w:lang w:val="en-US"/>
        </w:rPr>
        <w:t xml:space="preserve">to </w:t>
      </w:r>
      <w:r w:rsidRPr="009356FC">
        <w:rPr>
          <w:lang w:val="en-US"/>
        </w:rPr>
        <w:t xml:space="preserve">develop their statistical capacities on reporting with a view </w:t>
      </w:r>
      <w:r w:rsidR="00807FC1">
        <w:rPr>
          <w:lang w:val="en-US"/>
        </w:rPr>
        <w:t>t</w:t>
      </w:r>
      <w:r w:rsidRPr="009356FC">
        <w:rPr>
          <w:lang w:val="en-US"/>
        </w:rPr>
        <w:t xml:space="preserve">o making data and information available for the follow-up and review of the 2030 Agenda on Sustainable Development. </w:t>
      </w:r>
    </w:p>
    <w:p w:rsidR="00B25629" w:rsidRPr="009356FC" w:rsidRDefault="00B25629" w:rsidP="00B25629">
      <w:pPr>
        <w:pStyle w:val="NormalNonumber"/>
        <w:numPr>
          <w:ilvl w:val="0"/>
          <w:numId w:val="5"/>
        </w:numPr>
        <w:ind w:left="1247" w:firstLine="0"/>
        <w:rPr>
          <w:lang w:val="en-US"/>
        </w:rPr>
      </w:pPr>
      <w:r w:rsidRPr="009356FC">
        <w:rPr>
          <w:lang w:val="en-US"/>
        </w:rPr>
        <w:t xml:space="preserve">The plan </w:t>
      </w:r>
      <w:r w:rsidR="00361F8A" w:rsidRPr="009356FC">
        <w:rPr>
          <w:lang w:val="en-US"/>
        </w:rPr>
        <w:t xml:space="preserve">also </w:t>
      </w:r>
      <w:r w:rsidR="00E21854" w:rsidRPr="009356FC">
        <w:rPr>
          <w:lang w:val="en-US"/>
        </w:rPr>
        <w:t xml:space="preserve">aims at </w:t>
      </w:r>
      <w:r w:rsidRPr="009356FC">
        <w:rPr>
          <w:lang w:val="en-US"/>
        </w:rPr>
        <w:t>support</w:t>
      </w:r>
      <w:r w:rsidR="00E21854" w:rsidRPr="009356FC">
        <w:rPr>
          <w:lang w:val="en-US"/>
        </w:rPr>
        <w:t>ing</w:t>
      </w:r>
      <w:r w:rsidRPr="009356FC">
        <w:rPr>
          <w:lang w:val="en-US"/>
        </w:rPr>
        <w:t xml:space="preserve"> Parties to the three conventions in engaging </w:t>
      </w:r>
      <w:r w:rsidR="004A44E5" w:rsidRPr="009356FC">
        <w:rPr>
          <w:lang w:val="en-US"/>
        </w:rPr>
        <w:t>i</w:t>
      </w:r>
      <w:r w:rsidRPr="009356FC">
        <w:rPr>
          <w:lang w:val="en-US"/>
        </w:rPr>
        <w:t>n inter</w:t>
      </w:r>
      <w:r w:rsidR="004A44E5" w:rsidRPr="009356FC">
        <w:rPr>
          <w:lang w:val="en-US"/>
        </w:rPr>
        <w:t>-</w:t>
      </w:r>
      <w:r w:rsidRPr="009356FC">
        <w:rPr>
          <w:lang w:val="en-US"/>
        </w:rPr>
        <w:t>ministerial process</w:t>
      </w:r>
      <w:r w:rsidR="0044359A" w:rsidRPr="009356FC">
        <w:rPr>
          <w:lang w:val="en-US"/>
        </w:rPr>
        <w:t>es</w:t>
      </w:r>
      <w:r w:rsidRPr="009356FC">
        <w:rPr>
          <w:lang w:val="en-US"/>
        </w:rPr>
        <w:t xml:space="preserve"> on strengthening chemicals and waste</w:t>
      </w:r>
      <w:r w:rsidR="00807FC1">
        <w:rPr>
          <w:lang w:val="en-US"/>
        </w:rPr>
        <w:t>s</w:t>
      </w:r>
      <w:r w:rsidRPr="009356FC">
        <w:rPr>
          <w:lang w:val="en-US"/>
        </w:rPr>
        <w:t xml:space="preserve"> management in the long</w:t>
      </w:r>
      <w:r w:rsidR="00807FC1">
        <w:rPr>
          <w:lang w:val="en-US"/>
        </w:rPr>
        <w:t>-</w:t>
      </w:r>
      <w:r w:rsidRPr="009356FC">
        <w:rPr>
          <w:lang w:val="en-US"/>
        </w:rPr>
        <w:t xml:space="preserve">term, beyond 2020. </w:t>
      </w:r>
      <w:r w:rsidR="00807FC1">
        <w:rPr>
          <w:lang w:val="en-US"/>
        </w:rPr>
        <w:t>A</w:t>
      </w:r>
      <w:r w:rsidR="00807FC1" w:rsidRPr="009356FC">
        <w:rPr>
          <w:lang w:val="en-US"/>
        </w:rPr>
        <w:t xml:space="preserve"> </w:t>
      </w:r>
      <w:r w:rsidRPr="009356FC">
        <w:rPr>
          <w:lang w:val="en-US"/>
        </w:rPr>
        <w:t xml:space="preserve">coherent and efficient strategy </w:t>
      </w:r>
      <w:r w:rsidR="00807FC1">
        <w:rPr>
          <w:lang w:val="en-US"/>
        </w:rPr>
        <w:t xml:space="preserve">promoting </w:t>
      </w:r>
      <w:r w:rsidRPr="009356FC">
        <w:rPr>
          <w:lang w:val="en-US"/>
        </w:rPr>
        <w:t xml:space="preserve">the full engagement of key actors in the chemicals and wastes cluster </w:t>
      </w:r>
      <w:r w:rsidR="00AA35EA" w:rsidRPr="009356FC">
        <w:rPr>
          <w:lang w:val="en-US"/>
        </w:rPr>
        <w:t xml:space="preserve">as outlined in the plan </w:t>
      </w:r>
      <w:r w:rsidR="0044359A" w:rsidRPr="009356FC">
        <w:rPr>
          <w:lang w:val="en-US"/>
        </w:rPr>
        <w:t xml:space="preserve">is an important consideration </w:t>
      </w:r>
      <w:r w:rsidRPr="009356FC">
        <w:rPr>
          <w:lang w:val="en-US"/>
        </w:rPr>
        <w:t>to support developing countr</w:t>
      </w:r>
      <w:r w:rsidR="00E21854" w:rsidRPr="009356FC">
        <w:rPr>
          <w:lang w:val="en-US"/>
        </w:rPr>
        <w:t>y Parties</w:t>
      </w:r>
      <w:r w:rsidRPr="009356FC">
        <w:rPr>
          <w:lang w:val="en-US"/>
        </w:rPr>
        <w:t xml:space="preserve"> and </w:t>
      </w:r>
      <w:r w:rsidR="00E21854" w:rsidRPr="009356FC">
        <w:rPr>
          <w:lang w:val="en-US"/>
        </w:rPr>
        <w:t xml:space="preserve">Parties with </w:t>
      </w:r>
      <w:r w:rsidRPr="009356FC">
        <w:rPr>
          <w:lang w:val="en-US"/>
        </w:rPr>
        <w:t>economies in transition in meeting the</w:t>
      </w:r>
      <w:r w:rsidR="0044359A" w:rsidRPr="009356FC">
        <w:rPr>
          <w:lang w:val="en-US"/>
        </w:rPr>
        <w:t>ir</w:t>
      </w:r>
      <w:r w:rsidRPr="009356FC">
        <w:rPr>
          <w:lang w:val="en-US"/>
        </w:rPr>
        <w:t xml:space="preserve"> </w:t>
      </w:r>
      <w:r w:rsidR="00807FC1">
        <w:rPr>
          <w:lang w:val="en-US"/>
        </w:rPr>
        <w:t>obligations under</w:t>
      </w:r>
      <w:r w:rsidR="00E21854" w:rsidRPr="009356FC">
        <w:rPr>
          <w:lang w:val="en-US"/>
        </w:rPr>
        <w:t xml:space="preserve"> </w:t>
      </w:r>
      <w:r w:rsidRPr="009356FC">
        <w:rPr>
          <w:lang w:val="en-US"/>
        </w:rPr>
        <w:t xml:space="preserve">the conventions and </w:t>
      </w:r>
      <w:r w:rsidR="00E21854" w:rsidRPr="009356FC">
        <w:rPr>
          <w:lang w:val="en-US"/>
        </w:rPr>
        <w:t xml:space="preserve">in achieving the </w:t>
      </w:r>
      <w:r w:rsidRPr="009356FC">
        <w:rPr>
          <w:lang w:val="en-US"/>
        </w:rPr>
        <w:t xml:space="preserve">2020 </w:t>
      </w:r>
      <w:r w:rsidR="00ED4E2A">
        <w:rPr>
          <w:lang w:val="en-US"/>
        </w:rPr>
        <w:t xml:space="preserve">Johannesburg </w:t>
      </w:r>
      <w:r w:rsidRPr="009356FC">
        <w:rPr>
          <w:lang w:val="en-US"/>
        </w:rPr>
        <w:t>goal</w:t>
      </w:r>
      <w:r w:rsidR="003B1F7D">
        <w:rPr>
          <w:rStyle w:val="FootnoteReference"/>
          <w:lang w:val="en-US"/>
        </w:rPr>
        <w:footnoteReference w:id="6"/>
      </w:r>
      <w:r w:rsidRPr="009356FC">
        <w:rPr>
          <w:lang w:val="en-US"/>
        </w:rPr>
        <w:t xml:space="preserve"> and Sustainable Development Goals.   </w:t>
      </w:r>
    </w:p>
    <w:p w:rsidR="00361F8A" w:rsidRPr="009356FC" w:rsidRDefault="00361F8A" w:rsidP="00E210D3">
      <w:pPr>
        <w:pStyle w:val="NormalNonumber"/>
        <w:numPr>
          <w:ilvl w:val="0"/>
          <w:numId w:val="5"/>
        </w:numPr>
        <w:ind w:left="1247" w:firstLine="0"/>
        <w:rPr>
          <w:lang w:val="en-US"/>
        </w:rPr>
      </w:pPr>
      <w:r w:rsidRPr="009356FC">
        <w:rPr>
          <w:lang w:val="en-US"/>
        </w:rPr>
        <w:t>The effective implementation of the Basel, Rotterdam and Stockholm conventions continues to be hampered by the lack of capacity in many developing</w:t>
      </w:r>
      <w:r w:rsidR="00807FC1">
        <w:rPr>
          <w:lang w:val="en-US"/>
        </w:rPr>
        <w:t xml:space="preserve"> </w:t>
      </w:r>
      <w:r w:rsidRPr="009356FC">
        <w:rPr>
          <w:lang w:val="en-US"/>
        </w:rPr>
        <w:t>country Parties</w:t>
      </w:r>
      <w:r w:rsidR="00AF5556" w:rsidRPr="009356FC">
        <w:rPr>
          <w:lang w:val="en-US"/>
        </w:rPr>
        <w:t xml:space="preserve"> </w:t>
      </w:r>
      <w:r w:rsidRPr="009356FC">
        <w:rPr>
          <w:lang w:val="en-US"/>
        </w:rPr>
        <w:t>and Parties with economies in transition.</w:t>
      </w:r>
    </w:p>
    <w:p w:rsidR="00E210D3" w:rsidRPr="009356FC" w:rsidRDefault="00E210D3" w:rsidP="00E210D3">
      <w:pPr>
        <w:pStyle w:val="NormalNonumber"/>
        <w:numPr>
          <w:ilvl w:val="0"/>
          <w:numId w:val="5"/>
        </w:numPr>
        <w:ind w:left="1247" w:firstLine="0"/>
        <w:rPr>
          <w:lang w:val="en-US"/>
        </w:rPr>
      </w:pPr>
      <w:r w:rsidRPr="009356FC">
        <w:rPr>
          <w:lang w:val="en-US"/>
        </w:rPr>
        <w:t>The Secretariat continuously identifies needs for technical assistance based on information from p</w:t>
      </w:r>
      <w:r w:rsidR="00960FBE">
        <w:rPr>
          <w:lang w:val="en-US"/>
        </w:rPr>
        <w:t>revious</w:t>
      </w:r>
      <w:r w:rsidRPr="009356FC">
        <w:rPr>
          <w:lang w:val="en-US"/>
        </w:rPr>
        <w:t xml:space="preserve"> </w:t>
      </w:r>
      <w:proofErr w:type="spellStart"/>
      <w:r w:rsidR="00807FC1">
        <w:rPr>
          <w:lang w:val="en-US"/>
        </w:rPr>
        <w:t>programmes</w:t>
      </w:r>
      <w:proofErr w:type="spellEnd"/>
      <w:r w:rsidR="00807FC1">
        <w:rPr>
          <w:lang w:val="en-US"/>
        </w:rPr>
        <w:t xml:space="preserve"> of </w:t>
      </w:r>
      <w:r w:rsidRPr="009356FC">
        <w:rPr>
          <w:lang w:val="en-US"/>
        </w:rPr>
        <w:t>work</w:t>
      </w:r>
      <w:r w:rsidR="00960FBE">
        <w:rPr>
          <w:lang w:val="en-US"/>
        </w:rPr>
        <w:t>;</w:t>
      </w:r>
      <w:r w:rsidRPr="009356FC">
        <w:rPr>
          <w:lang w:val="en-US"/>
        </w:rPr>
        <w:t xml:space="preserve"> feedback on the guidance on technical assistance under the Stockholm Convention</w:t>
      </w:r>
      <w:r w:rsidR="00960FBE">
        <w:rPr>
          <w:lang w:val="en-US"/>
        </w:rPr>
        <w:t>;</w:t>
      </w:r>
      <w:r w:rsidRPr="009356FC">
        <w:rPr>
          <w:lang w:val="en-US"/>
        </w:rPr>
        <w:t xml:space="preserve"> </w:t>
      </w:r>
      <w:r w:rsidR="00BD78BD">
        <w:rPr>
          <w:lang w:val="en-US"/>
        </w:rPr>
        <w:t xml:space="preserve">Parties’ </w:t>
      </w:r>
      <w:r w:rsidR="00E21854" w:rsidRPr="009356FC">
        <w:rPr>
          <w:lang w:val="en-US"/>
        </w:rPr>
        <w:t xml:space="preserve">responses to </w:t>
      </w:r>
      <w:r w:rsidRPr="009356FC">
        <w:rPr>
          <w:lang w:val="en-US"/>
        </w:rPr>
        <w:t>needs assessment questionnaires for each Convention</w:t>
      </w:r>
      <w:r w:rsidR="00960FBE">
        <w:rPr>
          <w:lang w:val="en-US"/>
        </w:rPr>
        <w:t>;</w:t>
      </w:r>
      <w:r w:rsidRPr="009356FC">
        <w:rPr>
          <w:lang w:val="en-US"/>
        </w:rPr>
        <w:t xml:space="preserve"> the </w:t>
      </w:r>
      <w:r w:rsidR="00E21854" w:rsidRPr="009356FC">
        <w:rPr>
          <w:lang w:val="en-US"/>
        </w:rPr>
        <w:t xml:space="preserve">Secretariat’s </w:t>
      </w:r>
      <w:r w:rsidRPr="009356FC">
        <w:rPr>
          <w:lang w:val="en-US"/>
        </w:rPr>
        <w:t xml:space="preserve">database with individual requests </w:t>
      </w:r>
      <w:r w:rsidR="00BD78BD">
        <w:rPr>
          <w:lang w:val="en-US"/>
        </w:rPr>
        <w:t xml:space="preserve">by </w:t>
      </w:r>
      <w:r w:rsidRPr="009356FC">
        <w:rPr>
          <w:lang w:val="en-US"/>
        </w:rPr>
        <w:t>and formal correspondence</w:t>
      </w:r>
      <w:r w:rsidR="00BD78BD">
        <w:rPr>
          <w:lang w:val="en-US"/>
        </w:rPr>
        <w:t xml:space="preserve"> with Parties</w:t>
      </w:r>
      <w:r w:rsidRPr="009356FC">
        <w:rPr>
          <w:lang w:val="en-US"/>
        </w:rPr>
        <w:t>, including  import responses forms</w:t>
      </w:r>
      <w:r w:rsidR="00960FBE">
        <w:rPr>
          <w:lang w:val="en-US"/>
        </w:rPr>
        <w:t>;</w:t>
      </w:r>
      <w:r w:rsidRPr="009356FC">
        <w:rPr>
          <w:lang w:val="en-US"/>
        </w:rPr>
        <w:t xml:space="preserve"> conclusions and recommendations from the effectiveness evaluation </w:t>
      </w:r>
      <w:r w:rsidR="00BD78BD">
        <w:rPr>
          <w:lang w:val="en-US"/>
        </w:rPr>
        <w:t xml:space="preserve">committee </w:t>
      </w:r>
      <w:r w:rsidRPr="009356FC">
        <w:rPr>
          <w:lang w:val="en-US"/>
        </w:rPr>
        <w:t xml:space="preserve">of the Stockholm Convention and </w:t>
      </w:r>
      <w:r w:rsidR="00BD78BD">
        <w:rPr>
          <w:lang w:val="en-US"/>
        </w:rPr>
        <w:t xml:space="preserve">from </w:t>
      </w:r>
      <w:r w:rsidRPr="009356FC">
        <w:rPr>
          <w:lang w:val="en-US"/>
        </w:rPr>
        <w:t xml:space="preserve">the </w:t>
      </w:r>
      <w:r w:rsidR="00BD78BD">
        <w:rPr>
          <w:lang w:val="en-US"/>
        </w:rPr>
        <w:t xml:space="preserve">review of the </w:t>
      </w:r>
      <w:r w:rsidRPr="009356FC">
        <w:rPr>
          <w:lang w:val="en-US"/>
        </w:rPr>
        <w:t>synergies arrangements</w:t>
      </w:r>
      <w:r w:rsidR="00960FBE">
        <w:rPr>
          <w:lang w:val="en-US"/>
        </w:rPr>
        <w:t>;</w:t>
      </w:r>
      <w:r w:rsidRPr="009356FC">
        <w:rPr>
          <w:lang w:val="en-US"/>
        </w:rPr>
        <w:t xml:space="preserve"> requests included in decisions of the conferences of the Parties and </w:t>
      </w:r>
      <w:r w:rsidR="00E21854" w:rsidRPr="009356FC">
        <w:rPr>
          <w:lang w:val="en-US"/>
        </w:rPr>
        <w:t xml:space="preserve">their </w:t>
      </w:r>
      <w:r w:rsidRPr="009356FC">
        <w:rPr>
          <w:lang w:val="en-US"/>
        </w:rPr>
        <w:t>subsidiary bodies</w:t>
      </w:r>
      <w:r w:rsidR="00960FBE">
        <w:rPr>
          <w:lang w:val="en-US"/>
        </w:rPr>
        <w:t>;</w:t>
      </w:r>
      <w:r w:rsidRPr="009356FC">
        <w:rPr>
          <w:lang w:val="en-US"/>
        </w:rPr>
        <w:t xml:space="preserve"> feedback from intersessional processes</w:t>
      </w:r>
      <w:r w:rsidR="00BD78BD">
        <w:rPr>
          <w:lang w:val="en-US"/>
        </w:rPr>
        <w:t xml:space="preserve"> under the conventions</w:t>
      </w:r>
      <w:r w:rsidRPr="009356FC">
        <w:rPr>
          <w:lang w:val="en-US"/>
        </w:rPr>
        <w:t xml:space="preserve"> and needs identified through </w:t>
      </w:r>
      <w:r w:rsidR="00BD78BD">
        <w:rPr>
          <w:lang w:val="en-US"/>
        </w:rPr>
        <w:t>the Secretariat</w:t>
      </w:r>
      <w:r w:rsidR="00960FBE">
        <w:rPr>
          <w:lang w:val="en-US"/>
        </w:rPr>
        <w:t>’s</w:t>
      </w:r>
      <w:r w:rsidR="00BD78BD">
        <w:rPr>
          <w:lang w:val="en-US"/>
        </w:rPr>
        <w:t xml:space="preserve"> </w:t>
      </w:r>
      <w:r w:rsidRPr="009356FC">
        <w:rPr>
          <w:lang w:val="en-US"/>
        </w:rPr>
        <w:t xml:space="preserve">face-to-face and online activities, meetings and projects. Depending on their nature, these needs are included in the plan for future assistance to be provided by the Secretariat, the regional centers, </w:t>
      </w:r>
      <w:r w:rsidR="00960FBE">
        <w:rPr>
          <w:lang w:val="en-US"/>
        </w:rPr>
        <w:t xml:space="preserve">UNEP and </w:t>
      </w:r>
      <w:r w:rsidRPr="009356FC">
        <w:rPr>
          <w:lang w:val="en-US"/>
        </w:rPr>
        <w:t>FAO</w:t>
      </w:r>
      <w:r w:rsidR="0087273C">
        <w:rPr>
          <w:lang w:val="en-US"/>
        </w:rPr>
        <w:t>, including their</w:t>
      </w:r>
      <w:r w:rsidRPr="009356FC">
        <w:rPr>
          <w:lang w:val="en-US"/>
        </w:rPr>
        <w:t xml:space="preserve"> regional offices, </w:t>
      </w:r>
      <w:r w:rsidR="0087273C">
        <w:rPr>
          <w:lang w:val="en-US"/>
        </w:rPr>
        <w:t xml:space="preserve">other implementing agencies, such as </w:t>
      </w:r>
      <w:r w:rsidR="003E2563">
        <w:rPr>
          <w:lang w:val="en-US"/>
        </w:rPr>
        <w:t>the organizations participating in the Inter-Organization Programme for the Sound Management of Chemicals (IOMC)</w:t>
      </w:r>
      <w:r w:rsidR="0087273C">
        <w:rPr>
          <w:lang w:val="en-US"/>
        </w:rPr>
        <w:t>,</w:t>
      </w:r>
      <w:r w:rsidR="0087273C" w:rsidRPr="009356FC">
        <w:rPr>
          <w:lang w:val="en-US"/>
        </w:rPr>
        <w:t xml:space="preserve"> </w:t>
      </w:r>
      <w:r w:rsidRPr="009356FC">
        <w:rPr>
          <w:lang w:val="en-US"/>
        </w:rPr>
        <w:t>intergovernmental or other organizations</w:t>
      </w:r>
      <w:r w:rsidR="00960FBE">
        <w:rPr>
          <w:lang w:val="en-US"/>
        </w:rPr>
        <w:t>, in line</w:t>
      </w:r>
      <w:r w:rsidRPr="009356FC">
        <w:rPr>
          <w:lang w:val="en-US"/>
        </w:rPr>
        <w:t xml:space="preserve"> with relevant mandate and expertise. </w:t>
      </w:r>
    </w:p>
    <w:p w:rsidR="00F149AE" w:rsidRPr="009356FC" w:rsidRDefault="00361F8A" w:rsidP="00E210D3">
      <w:pPr>
        <w:pStyle w:val="NormalNonumber"/>
        <w:numPr>
          <w:ilvl w:val="0"/>
          <w:numId w:val="5"/>
        </w:numPr>
        <w:ind w:left="1247" w:firstLine="0"/>
        <w:rPr>
          <w:lang w:val="en-US"/>
        </w:rPr>
      </w:pPr>
      <w:r w:rsidRPr="009356FC">
        <w:rPr>
          <w:lang w:val="en-US"/>
        </w:rPr>
        <w:lastRenderedPageBreak/>
        <w:t xml:space="preserve">On the basis of information provided by Parties </w:t>
      </w:r>
      <w:r w:rsidR="00B57BA2" w:rsidRPr="009356FC">
        <w:rPr>
          <w:lang w:val="en-US"/>
        </w:rPr>
        <w:t xml:space="preserve">in 2016 </w:t>
      </w:r>
      <w:r w:rsidR="00960FBE">
        <w:rPr>
          <w:lang w:val="en-US"/>
        </w:rPr>
        <w:t xml:space="preserve">in </w:t>
      </w:r>
      <w:r w:rsidRPr="009356FC">
        <w:rPr>
          <w:lang w:val="en-US"/>
        </w:rPr>
        <w:t>the</w:t>
      </w:r>
      <w:r w:rsidR="00960FBE">
        <w:rPr>
          <w:lang w:val="en-US"/>
        </w:rPr>
        <w:t>ir needs assessment</w:t>
      </w:r>
      <w:r w:rsidRPr="009356FC">
        <w:rPr>
          <w:lang w:val="en-US"/>
        </w:rPr>
        <w:t xml:space="preserve"> questionnaires</w:t>
      </w:r>
      <w:r w:rsidR="00960FBE">
        <w:rPr>
          <w:lang w:val="en-US"/>
        </w:rPr>
        <w:t>,</w:t>
      </w:r>
      <w:r w:rsidRPr="009356FC">
        <w:rPr>
          <w:lang w:val="en-US"/>
        </w:rPr>
        <w:t xml:space="preserve"> </w:t>
      </w:r>
      <w:r w:rsidR="00C67702" w:rsidRPr="009356FC">
        <w:rPr>
          <w:lang w:val="en-US"/>
        </w:rPr>
        <w:t xml:space="preserve">and </w:t>
      </w:r>
      <w:r w:rsidR="00960FBE">
        <w:rPr>
          <w:lang w:val="en-US"/>
        </w:rPr>
        <w:t xml:space="preserve">supported by </w:t>
      </w:r>
      <w:r w:rsidR="00C67702" w:rsidRPr="009356FC">
        <w:rPr>
          <w:lang w:val="en-US"/>
        </w:rPr>
        <w:t xml:space="preserve">information </w:t>
      </w:r>
      <w:r w:rsidR="00960FBE">
        <w:rPr>
          <w:lang w:val="en-US"/>
        </w:rPr>
        <w:t xml:space="preserve">from other </w:t>
      </w:r>
      <w:r w:rsidR="00C67702" w:rsidRPr="009356FC">
        <w:rPr>
          <w:lang w:val="en-US"/>
        </w:rPr>
        <w:t xml:space="preserve">sources </w:t>
      </w:r>
      <w:r w:rsidR="00960FBE">
        <w:rPr>
          <w:lang w:val="en-US"/>
        </w:rPr>
        <w:t xml:space="preserve">as </w:t>
      </w:r>
      <w:r w:rsidR="00C67702" w:rsidRPr="009356FC">
        <w:rPr>
          <w:lang w:val="en-US"/>
        </w:rPr>
        <w:t xml:space="preserve">mentioned above, </w:t>
      </w:r>
      <w:r w:rsidRPr="009356FC">
        <w:rPr>
          <w:lang w:val="en-US"/>
        </w:rPr>
        <w:t xml:space="preserve"> </w:t>
      </w:r>
      <w:r w:rsidR="00960FBE">
        <w:rPr>
          <w:lang w:val="en-US"/>
        </w:rPr>
        <w:t>the following</w:t>
      </w:r>
      <w:r w:rsidR="00960FBE" w:rsidRPr="009356FC">
        <w:rPr>
          <w:lang w:val="en-US"/>
        </w:rPr>
        <w:t xml:space="preserve"> </w:t>
      </w:r>
      <w:r w:rsidRPr="009356FC">
        <w:rPr>
          <w:lang w:val="en-US"/>
        </w:rPr>
        <w:t>main needs and challenges in implementing the conventions were identified, with priority areas under two or three of the conventions</w:t>
      </w:r>
      <w:r w:rsidR="00960FBE">
        <w:rPr>
          <w:lang w:val="en-US"/>
        </w:rPr>
        <w:t xml:space="preserve">: </w:t>
      </w:r>
      <w:r w:rsidR="006302F6" w:rsidRPr="009356FC">
        <w:rPr>
          <w:lang w:val="en-US"/>
        </w:rPr>
        <w:t>training for customs authorities, the sound management of POPs stockpiles and wastes, multi-stakeholder coordination at the national level, development of national legal frameworks, and national reporting, with a focus on the collection of inventory data</w:t>
      </w:r>
      <w:r w:rsidRPr="009356FC">
        <w:rPr>
          <w:lang w:val="en-US"/>
        </w:rPr>
        <w:t>.</w:t>
      </w:r>
    </w:p>
    <w:p w:rsidR="008A11E3" w:rsidRPr="009356FC" w:rsidRDefault="008A11E3" w:rsidP="00B57BA2">
      <w:pPr>
        <w:pStyle w:val="NormalNonumber"/>
        <w:numPr>
          <w:ilvl w:val="0"/>
          <w:numId w:val="5"/>
        </w:numPr>
        <w:ind w:left="1247" w:firstLine="0"/>
        <w:rPr>
          <w:lang w:val="en-US"/>
        </w:rPr>
      </w:pPr>
      <w:r w:rsidRPr="009356FC">
        <w:rPr>
          <w:lang w:val="en-US"/>
        </w:rPr>
        <w:t xml:space="preserve">In terms of the </w:t>
      </w:r>
      <w:r w:rsidR="00663700" w:rsidRPr="009356FC">
        <w:rPr>
          <w:lang w:val="en-US"/>
        </w:rPr>
        <w:t xml:space="preserve">delivery </w:t>
      </w:r>
      <w:r w:rsidR="00663700">
        <w:rPr>
          <w:lang w:val="en-US"/>
        </w:rPr>
        <w:t xml:space="preserve">of </w:t>
      </w:r>
      <w:r w:rsidRPr="009356FC">
        <w:rPr>
          <w:lang w:val="en-US"/>
        </w:rPr>
        <w:t xml:space="preserve">technical assistance, Parties </w:t>
      </w:r>
      <w:r w:rsidR="00663700" w:rsidRPr="009356FC">
        <w:rPr>
          <w:lang w:val="en-US"/>
        </w:rPr>
        <w:t xml:space="preserve">across the regions </w:t>
      </w:r>
      <w:r w:rsidRPr="009356FC">
        <w:rPr>
          <w:lang w:val="en-US"/>
        </w:rPr>
        <w:t xml:space="preserve">specified </w:t>
      </w:r>
      <w:r w:rsidR="00663700">
        <w:rPr>
          <w:lang w:val="en-US"/>
        </w:rPr>
        <w:t xml:space="preserve">a preference for </w:t>
      </w:r>
      <w:r w:rsidRPr="009356FC">
        <w:rPr>
          <w:lang w:val="en-US"/>
        </w:rPr>
        <w:t>face-to-face training (workshops or “train</w:t>
      </w:r>
      <w:r w:rsidR="008A04BA">
        <w:rPr>
          <w:lang w:val="en-US"/>
        </w:rPr>
        <w:t>-</w:t>
      </w:r>
      <w:r w:rsidRPr="009356FC">
        <w:rPr>
          <w:lang w:val="en-US"/>
        </w:rPr>
        <w:t>the</w:t>
      </w:r>
      <w:r w:rsidR="008A04BA">
        <w:rPr>
          <w:lang w:val="en-US"/>
        </w:rPr>
        <w:t>-</w:t>
      </w:r>
      <w:r w:rsidRPr="009356FC">
        <w:rPr>
          <w:lang w:val="en-US"/>
        </w:rPr>
        <w:t xml:space="preserve">trainers”), </w:t>
      </w:r>
      <w:r w:rsidR="006302F6" w:rsidRPr="009356FC">
        <w:rPr>
          <w:lang w:val="en-US"/>
        </w:rPr>
        <w:t xml:space="preserve">support for project proposal development, support for </w:t>
      </w:r>
      <w:r w:rsidR="00663700">
        <w:rPr>
          <w:lang w:val="en-US"/>
        </w:rPr>
        <w:t xml:space="preserve">the </w:t>
      </w:r>
      <w:r w:rsidR="006302F6" w:rsidRPr="009356FC">
        <w:rPr>
          <w:lang w:val="en-US"/>
        </w:rPr>
        <w:t>develop</w:t>
      </w:r>
      <w:r w:rsidR="00663700">
        <w:rPr>
          <w:lang w:val="en-US"/>
        </w:rPr>
        <w:t xml:space="preserve">ment </w:t>
      </w:r>
      <w:r w:rsidR="006302F6" w:rsidRPr="009356FC">
        <w:rPr>
          <w:lang w:val="en-US"/>
        </w:rPr>
        <w:t>and implement</w:t>
      </w:r>
      <w:r w:rsidR="00663700">
        <w:rPr>
          <w:lang w:val="en-US"/>
        </w:rPr>
        <w:t xml:space="preserve">ation of </w:t>
      </w:r>
      <w:r w:rsidR="006302F6" w:rsidRPr="009356FC">
        <w:rPr>
          <w:lang w:val="en-US"/>
        </w:rPr>
        <w:t>specific projects</w:t>
      </w:r>
      <w:r w:rsidRPr="009356FC">
        <w:rPr>
          <w:lang w:val="en-US"/>
        </w:rPr>
        <w:t xml:space="preserve"> and </w:t>
      </w:r>
      <w:r w:rsidR="00663700">
        <w:rPr>
          <w:lang w:val="en-US"/>
        </w:rPr>
        <w:t>support through the availability of tools and guidance</w:t>
      </w:r>
      <w:r w:rsidRPr="009356FC">
        <w:rPr>
          <w:lang w:val="en-US"/>
        </w:rPr>
        <w:t>. Despite</w:t>
      </w:r>
      <w:r w:rsidR="00AC3397">
        <w:rPr>
          <w:lang w:val="en-US"/>
        </w:rPr>
        <w:t xml:space="preserve"> some</w:t>
      </w:r>
      <w:r w:rsidRPr="009356FC">
        <w:rPr>
          <w:lang w:val="en-US"/>
        </w:rPr>
        <w:t xml:space="preserve"> regional disparities, </w:t>
      </w:r>
      <w:r w:rsidR="00AC3397">
        <w:rPr>
          <w:lang w:val="en-US"/>
        </w:rPr>
        <w:t xml:space="preserve">Parties were generally less interested in </w:t>
      </w:r>
      <w:r w:rsidR="006302F6" w:rsidRPr="009356FC">
        <w:rPr>
          <w:lang w:val="en-US"/>
        </w:rPr>
        <w:t>e-learning tools</w:t>
      </w:r>
      <w:r w:rsidRPr="009356FC">
        <w:rPr>
          <w:lang w:val="en-US"/>
        </w:rPr>
        <w:t xml:space="preserve"> such as online courses without trainer support or toolkits, online training</w:t>
      </w:r>
      <w:r w:rsidR="00AC3397">
        <w:rPr>
          <w:lang w:val="en-US"/>
        </w:rPr>
        <w:t xml:space="preserve"> such as </w:t>
      </w:r>
      <w:r w:rsidRPr="009356FC">
        <w:rPr>
          <w:lang w:val="en-US"/>
        </w:rPr>
        <w:t>webinars and videos.</w:t>
      </w:r>
      <w:r w:rsidR="00B57BA2" w:rsidRPr="009356FC">
        <w:rPr>
          <w:lang w:val="en-US"/>
        </w:rPr>
        <w:t xml:space="preserve"> </w:t>
      </w:r>
      <w:r w:rsidR="00F149AE" w:rsidRPr="009356FC">
        <w:rPr>
          <w:lang w:val="en-US"/>
        </w:rPr>
        <w:t xml:space="preserve">More detailed information on the </w:t>
      </w:r>
      <w:r w:rsidR="00711E0F" w:rsidRPr="008A04BA">
        <w:rPr>
          <w:lang w:val="en-GB"/>
        </w:rPr>
        <w:t xml:space="preserve">technical assistance </w:t>
      </w:r>
      <w:r w:rsidR="00F149AE" w:rsidRPr="009356FC">
        <w:rPr>
          <w:lang w:val="en-US"/>
        </w:rPr>
        <w:t>needs assessment</w:t>
      </w:r>
      <w:r w:rsidR="000168F6">
        <w:rPr>
          <w:lang w:val="en-US"/>
        </w:rPr>
        <w:t>s</w:t>
      </w:r>
      <w:r w:rsidR="00F149AE" w:rsidRPr="009356FC">
        <w:rPr>
          <w:lang w:val="en-US"/>
        </w:rPr>
        <w:t xml:space="preserve"> is available in the documents UNEP/CHW.13/INF/</w:t>
      </w:r>
      <w:r w:rsidR="00224EFB">
        <w:rPr>
          <w:lang w:val="en-US"/>
        </w:rPr>
        <w:t>3</w:t>
      </w:r>
      <w:r w:rsidR="009200D1" w:rsidRPr="009356FC">
        <w:rPr>
          <w:lang w:val="en-US"/>
        </w:rPr>
        <w:t>5</w:t>
      </w:r>
      <w:r w:rsidR="00F149AE" w:rsidRPr="009356FC">
        <w:rPr>
          <w:lang w:val="en-US"/>
        </w:rPr>
        <w:t>, UNEP/FAO/RC/COP.8/INF/25 and UNEP/POPS/COP.8/INF/</w:t>
      </w:r>
      <w:r w:rsidR="009200D1" w:rsidRPr="009356FC">
        <w:rPr>
          <w:lang w:val="en-US"/>
        </w:rPr>
        <w:t>23</w:t>
      </w:r>
      <w:r w:rsidR="00F149AE" w:rsidRPr="009356FC">
        <w:rPr>
          <w:lang w:val="en-US"/>
        </w:rPr>
        <w:t>.</w:t>
      </w:r>
    </w:p>
    <w:p w:rsidR="00B468FF" w:rsidRPr="009356FC" w:rsidRDefault="0025518C" w:rsidP="0025518C">
      <w:pPr>
        <w:pStyle w:val="CH1"/>
      </w:pPr>
      <w:r>
        <w:tab/>
      </w:r>
      <w:r w:rsidR="00FE18F8" w:rsidRPr="009356FC">
        <w:t>II</w:t>
      </w:r>
      <w:r w:rsidR="00B468FF" w:rsidRPr="009356FC">
        <w:t>.</w:t>
      </w:r>
      <w:r w:rsidR="00B468FF" w:rsidRPr="009356FC">
        <w:tab/>
        <w:t>Guiding principles</w:t>
      </w:r>
    </w:p>
    <w:p w:rsidR="00E210D3" w:rsidRPr="009356FC" w:rsidRDefault="009940B6" w:rsidP="008A04BA">
      <w:pPr>
        <w:pStyle w:val="NormalNonumber"/>
        <w:numPr>
          <w:ilvl w:val="0"/>
          <w:numId w:val="5"/>
        </w:numPr>
        <w:ind w:left="1247" w:firstLine="0"/>
        <w:rPr>
          <w:lang w:val="en-US"/>
        </w:rPr>
      </w:pPr>
      <w:r w:rsidRPr="009356FC">
        <w:rPr>
          <w:lang w:val="en-US"/>
        </w:rPr>
        <w:t xml:space="preserve">The technical assistance </w:t>
      </w:r>
      <w:r w:rsidR="008B5ECB" w:rsidRPr="009356FC">
        <w:rPr>
          <w:lang w:val="en-US"/>
        </w:rPr>
        <w:t>plan</w:t>
      </w:r>
      <w:r w:rsidR="00E56379" w:rsidRPr="009356FC">
        <w:rPr>
          <w:lang w:val="en-US"/>
        </w:rPr>
        <w:t xml:space="preserve"> </w:t>
      </w:r>
      <w:r w:rsidR="00E502A9" w:rsidRPr="009356FC">
        <w:rPr>
          <w:lang w:val="en-US"/>
        </w:rPr>
        <w:t>promotes a</w:t>
      </w:r>
      <w:r w:rsidRPr="009356FC">
        <w:rPr>
          <w:lang w:val="en-US"/>
        </w:rPr>
        <w:t xml:space="preserve"> dynamic, progressive and long-term process of capacity</w:t>
      </w:r>
      <w:r w:rsidR="00E56379" w:rsidRPr="009356FC">
        <w:rPr>
          <w:lang w:val="en-US"/>
        </w:rPr>
        <w:t xml:space="preserve"> </w:t>
      </w:r>
      <w:r w:rsidRPr="009356FC">
        <w:rPr>
          <w:lang w:val="en-US"/>
        </w:rPr>
        <w:t xml:space="preserve">development, applying an adaptive approach. </w:t>
      </w:r>
      <w:r w:rsidR="00E210D3" w:rsidRPr="009356FC">
        <w:rPr>
          <w:lang w:val="en-US"/>
        </w:rPr>
        <w:t xml:space="preserve">The </w:t>
      </w:r>
      <w:r w:rsidR="00833E80" w:rsidRPr="009356FC">
        <w:rPr>
          <w:lang w:val="en-US"/>
        </w:rPr>
        <w:t xml:space="preserve">implementation of the </w:t>
      </w:r>
      <w:r w:rsidR="00E45C55">
        <w:rPr>
          <w:lang w:val="en-US"/>
        </w:rPr>
        <w:t xml:space="preserve">activities under the </w:t>
      </w:r>
      <w:r w:rsidR="008A342B" w:rsidRPr="009356FC">
        <w:rPr>
          <w:lang w:val="en-US"/>
        </w:rPr>
        <w:t>plan</w:t>
      </w:r>
      <w:r w:rsidR="00E210D3" w:rsidRPr="009356FC">
        <w:rPr>
          <w:lang w:val="en-US"/>
        </w:rPr>
        <w:t xml:space="preserve"> </w:t>
      </w:r>
      <w:r w:rsidR="00F22042" w:rsidRPr="009356FC">
        <w:rPr>
          <w:lang w:val="en-US"/>
        </w:rPr>
        <w:t xml:space="preserve">will </w:t>
      </w:r>
      <w:r w:rsidR="007745D0" w:rsidRPr="009356FC">
        <w:rPr>
          <w:lang w:val="en-US"/>
        </w:rPr>
        <w:t>catalyze</w:t>
      </w:r>
      <w:r w:rsidR="00E210D3" w:rsidRPr="009356FC">
        <w:rPr>
          <w:lang w:val="en-US"/>
        </w:rPr>
        <w:t xml:space="preserve"> and facilitate capacity</w:t>
      </w:r>
      <w:r w:rsidR="00E56379" w:rsidRPr="009356FC">
        <w:rPr>
          <w:lang w:val="en-US"/>
        </w:rPr>
        <w:t xml:space="preserve"> </w:t>
      </w:r>
      <w:r w:rsidR="008A342B" w:rsidRPr="009356FC">
        <w:rPr>
          <w:lang w:val="en-US"/>
        </w:rPr>
        <w:t xml:space="preserve">development </w:t>
      </w:r>
      <w:r w:rsidR="007745D0" w:rsidRPr="009356FC">
        <w:rPr>
          <w:lang w:val="en-US"/>
        </w:rPr>
        <w:t xml:space="preserve">involving </w:t>
      </w:r>
      <w:r w:rsidR="00E210D3" w:rsidRPr="009356FC">
        <w:rPr>
          <w:lang w:val="en-US"/>
        </w:rPr>
        <w:t xml:space="preserve">Parties, </w:t>
      </w:r>
      <w:r w:rsidR="008A342B" w:rsidRPr="009356FC">
        <w:rPr>
          <w:lang w:val="en-US"/>
        </w:rPr>
        <w:t>non-</w:t>
      </w:r>
      <w:r w:rsidR="00DC4C17" w:rsidRPr="009356FC">
        <w:rPr>
          <w:lang w:val="en-US"/>
        </w:rPr>
        <w:t xml:space="preserve">Party </w:t>
      </w:r>
      <w:r w:rsidR="00D31CA3" w:rsidRPr="009356FC">
        <w:rPr>
          <w:color w:val="000000" w:themeColor="text1"/>
          <w:lang w:val="en-US"/>
        </w:rPr>
        <w:t>States</w:t>
      </w:r>
      <w:r w:rsidR="008A342B" w:rsidRPr="009356FC">
        <w:rPr>
          <w:lang w:val="en-US"/>
        </w:rPr>
        <w:t xml:space="preserve">, </w:t>
      </w:r>
      <w:r w:rsidR="00DC4C17" w:rsidRPr="009356FC">
        <w:rPr>
          <w:lang w:val="en-US"/>
        </w:rPr>
        <w:t>Basel and Stockholm convention</w:t>
      </w:r>
      <w:r w:rsidR="00282F26">
        <w:rPr>
          <w:lang w:val="en-US"/>
        </w:rPr>
        <w:t>s</w:t>
      </w:r>
      <w:r w:rsidR="00DC4C17" w:rsidRPr="009356FC">
        <w:rPr>
          <w:lang w:val="en-US"/>
        </w:rPr>
        <w:t xml:space="preserve"> </w:t>
      </w:r>
      <w:r w:rsidR="008A342B" w:rsidRPr="009356FC">
        <w:rPr>
          <w:lang w:val="en-US"/>
        </w:rPr>
        <w:t xml:space="preserve">regional </w:t>
      </w:r>
      <w:proofErr w:type="spellStart"/>
      <w:r w:rsidR="008A342B" w:rsidRPr="009356FC">
        <w:rPr>
          <w:lang w:val="en-US"/>
        </w:rPr>
        <w:t>centres</w:t>
      </w:r>
      <w:proofErr w:type="spellEnd"/>
      <w:r w:rsidR="008A342B" w:rsidRPr="009356FC">
        <w:rPr>
          <w:lang w:val="en-US"/>
        </w:rPr>
        <w:t>, UNEP and FAO</w:t>
      </w:r>
      <w:r w:rsidR="0087273C">
        <w:rPr>
          <w:lang w:val="en-US"/>
        </w:rPr>
        <w:t>, including their</w:t>
      </w:r>
      <w:r w:rsidR="008A342B" w:rsidRPr="009356FC">
        <w:rPr>
          <w:lang w:val="en-US"/>
        </w:rPr>
        <w:t xml:space="preserve"> regional offices</w:t>
      </w:r>
      <w:r w:rsidR="0087273C">
        <w:rPr>
          <w:lang w:val="en-US"/>
        </w:rPr>
        <w:t>, other implementing agencies,</w:t>
      </w:r>
      <w:r w:rsidR="00E210D3" w:rsidRPr="009356FC">
        <w:rPr>
          <w:lang w:val="en-US"/>
        </w:rPr>
        <w:t xml:space="preserve"> </w:t>
      </w:r>
      <w:r w:rsidR="0087273C" w:rsidRPr="0087273C">
        <w:rPr>
          <w:lang w:val="en-US"/>
        </w:rPr>
        <w:t xml:space="preserve">such as the IOMC organizations, </w:t>
      </w:r>
      <w:r w:rsidR="00E210D3" w:rsidRPr="009356FC">
        <w:rPr>
          <w:lang w:val="en-US"/>
        </w:rPr>
        <w:t>and</w:t>
      </w:r>
      <w:r w:rsidR="0087273C">
        <w:rPr>
          <w:lang w:val="en-US"/>
        </w:rPr>
        <w:t xml:space="preserve"> other</w:t>
      </w:r>
      <w:r w:rsidR="00E210D3" w:rsidRPr="009356FC">
        <w:rPr>
          <w:lang w:val="en-US"/>
        </w:rPr>
        <w:t xml:space="preserve"> relevant organizations, by providing </w:t>
      </w:r>
      <w:r w:rsidR="007745D0" w:rsidRPr="009356FC">
        <w:rPr>
          <w:lang w:val="en-US"/>
        </w:rPr>
        <w:t xml:space="preserve">guidance </w:t>
      </w:r>
      <w:r w:rsidR="00E210D3" w:rsidRPr="009356FC">
        <w:rPr>
          <w:lang w:val="en-US"/>
        </w:rPr>
        <w:t>aim</w:t>
      </w:r>
      <w:r w:rsidR="008B5ECB" w:rsidRPr="009356FC">
        <w:rPr>
          <w:lang w:val="en-US"/>
        </w:rPr>
        <w:t>ed at</w:t>
      </w:r>
      <w:r w:rsidR="00E210D3" w:rsidRPr="009356FC">
        <w:rPr>
          <w:lang w:val="en-US"/>
        </w:rPr>
        <w:t>:</w:t>
      </w:r>
    </w:p>
    <w:p w:rsidR="00E210D3" w:rsidRPr="009356FC" w:rsidRDefault="00E210D3" w:rsidP="00FE039D">
      <w:pPr>
        <w:pStyle w:val="NormalNonumber"/>
        <w:ind w:left="1248" w:firstLine="595"/>
        <w:rPr>
          <w:lang w:val="en-US"/>
        </w:rPr>
      </w:pPr>
      <w:r w:rsidRPr="009356FC">
        <w:rPr>
          <w:lang w:val="en-US"/>
        </w:rPr>
        <w:t>(</w:t>
      </w:r>
      <w:r w:rsidR="00F22042" w:rsidRPr="009356FC">
        <w:rPr>
          <w:lang w:val="en-US"/>
        </w:rPr>
        <w:t>a</w:t>
      </w:r>
      <w:r w:rsidRPr="009356FC">
        <w:rPr>
          <w:lang w:val="en-US"/>
        </w:rPr>
        <w:t>)</w:t>
      </w:r>
      <w:r w:rsidR="003E2563">
        <w:rPr>
          <w:lang w:val="en-US"/>
        </w:rPr>
        <w:tab/>
      </w:r>
      <w:r w:rsidRPr="009356FC">
        <w:rPr>
          <w:lang w:val="en-US"/>
        </w:rPr>
        <w:t>Foster</w:t>
      </w:r>
      <w:r w:rsidR="008B5ECB" w:rsidRPr="009356FC">
        <w:rPr>
          <w:lang w:val="en-US"/>
        </w:rPr>
        <w:t>ing</w:t>
      </w:r>
      <w:r w:rsidRPr="009356FC">
        <w:rPr>
          <w:lang w:val="en-US"/>
        </w:rPr>
        <w:t xml:space="preserve"> a strategic</w:t>
      </w:r>
      <w:r w:rsidR="00E502A9" w:rsidRPr="009356FC">
        <w:rPr>
          <w:lang w:val="en-US"/>
        </w:rPr>
        <w:t>, coherent</w:t>
      </w:r>
      <w:r w:rsidRPr="009356FC">
        <w:rPr>
          <w:lang w:val="en-US"/>
        </w:rPr>
        <w:t xml:space="preserve"> and coordinated approach to capacity</w:t>
      </w:r>
      <w:r w:rsidR="008B5ECB" w:rsidRPr="009356FC">
        <w:rPr>
          <w:lang w:val="en-US"/>
        </w:rPr>
        <w:t xml:space="preserve"> </w:t>
      </w:r>
      <w:r w:rsidR="008A342B" w:rsidRPr="009356FC">
        <w:rPr>
          <w:lang w:val="en-US"/>
        </w:rPr>
        <w:t xml:space="preserve">development </w:t>
      </w:r>
      <w:r w:rsidR="009200D1" w:rsidRPr="009356FC">
        <w:rPr>
          <w:lang w:val="en-US"/>
        </w:rPr>
        <w:t xml:space="preserve">for the effective implementation of the Basel, Rotterdam and Stockholm conventions </w:t>
      </w:r>
      <w:r w:rsidR="008A342B" w:rsidRPr="009356FC">
        <w:rPr>
          <w:lang w:val="en-US"/>
        </w:rPr>
        <w:t>i</w:t>
      </w:r>
      <w:r w:rsidRPr="009356FC">
        <w:rPr>
          <w:lang w:val="en-US"/>
        </w:rPr>
        <w:t xml:space="preserve">n </w:t>
      </w:r>
      <w:r w:rsidR="008A342B" w:rsidRPr="009356FC">
        <w:rPr>
          <w:lang w:val="en-US"/>
        </w:rPr>
        <w:t xml:space="preserve">the </w:t>
      </w:r>
      <w:r w:rsidR="009200D1" w:rsidRPr="009356FC">
        <w:rPr>
          <w:lang w:val="en-US"/>
        </w:rPr>
        <w:t xml:space="preserve">context of </w:t>
      </w:r>
      <w:r w:rsidR="00BD78BD">
        <w:rPr>
          <w:lang w:val="en-US"/>
        </w:rPr>
        <w:t xml:space="preserve">a </w:t>
      </w:r>
      <w:r w:rsidR="00DC4C17" w:rsidRPr="009356FC">
        <w:rPr>
          <w:lang w:val="en-US"/>
        </w:rPr>
        <w:t xml:space="preserve">life-cycle approach </w:t>
      </w:r>
      <w:r w:rsidR="002711B1" w:rsidRPr="009356FC">
        <w:rPr>
          <w:lang w:val="en-US"/>
        </w:rPr>
        <w:t>for the</w:t>
      </w:r>
      <w:r w:rsidR="00DC4C17" w:rsidRPr="009356FC">
        <w:rPr>
          <w:lang w:val="en-US"/>
        </w:rPr>
        <w:t xml:space="preserve"> </w:t>
      </w:r>
      <w:r w:rsidR="009200D1" w:rsidRPr="009356FC">
        <w:rPr>
          <w:lang w:val="en-US"/>
        </w:rPr>
        <w:t xml:space="preserve">environmentally sound </w:t>
      </w:r>
      <w:r w:rsidR="008A342B" w:rsidRPr="009356FC">
        <w:rPr>
          <w:lang w:val="en-US"/>
        </w:rPr>
        <w:t>management of chemicals and waste</w:t>
      </w:r>
      <w:r w:rsidR="00282F26">
        <w:rPr>
          <w:lang w:val="en-US"/>
        </w:rPr>
        <w:t>s</w:t>
      </w:r>
      <w:r w:rsidR="00DC4C17" w:rsidRPr="009356FC">
        <w:rPr>
          <w:lang w:val="en-US"/>
        </w:rPr>
        <w:t>. T</w:t>
      </w:r>
      <w:r w:rsidR="008A342B" w:rsidRPr="009356FC">
        <w:rPr>
          <w:lang w:val="en-US"/>
        </w:rPr>
        <w:t>echnology transfer</w:t>
      </w:r>
      <w:r w:rsidRPr="009356FC">
        <w:rPr>
          <w:lang w:val="en-US"/>
        </w:rPr>
        <w:t xml:space="preserve"> </w:t>
      </w:r>
      <w:r w:rsidR="00DC4C17" w:rsidRPr="009356FC">
        <w:rPr>
          <w:lang w:val="en-US"/>
        </w:rPr>
        <w:t xml:space="preserve">will also be considered where appropriate so as to achieve </w:t>
      </w:r>
      <w:r w:rsidR="006302F6" w:rsidRPr="009356FC">
        <w:rPr>
          <w:lang w:val="en-US"/>
        </w:rPr>
        <w:t>the goals of the conventions;</w:t>
      </w:r>
    </w:p>
    <w:p w:rsidR="00E210D3" w:rsidRPr="009356FC" w:rsidRDefault="006302F6" w:rsidP="00FE039D">
      <w:pPr>
        <w:pStyle w:val="NormalNonumber"/>
        <w:ind w:left="1248" w:firstLine="595"/>
        <w:rPr>
          <w:lang w:val="en-US"/>
        </w:rPr>
      </w:pPr>
      <w:r w:rsidRPr="009356FC">
        <w:rPr>
          <w:lang w:val="en-US"/>
        </w:rPr>
        <w:t>(</w:t>
      </w:r>
      <w:r w:rsidR="00F22042" w:rsidRPr="009356FC">
        <w:rPr>
          <w:lang w:val="en-US"/>
        </w:rPr>
        <w:t>b</w:t>
      </w:r>
      <w:r w:rsidR="00E210D3" w:rsidRPr="009356FC">
        <w:rPr>
          <w:lang w:val="en-US"/>
        </w:rPr>
        <w:t>)</w:t>
      </w:r>
      <w:r w:rsidR="003E2563">
        <w:rPr>
          <w:lang w:val="en-US"/>
        </w:rPr>
        <w:tab/>
      </w:r>
      <w:r w:rsidR="00DC1D08" w:rsidRPr="009356FC">
        <w:rPr>
          <w:lang w:val="en-US"/>
        </w:rPr>
        <w:t>Promot</w:t>
      </w:r>
      <w:r w:rsidR="00FF3A43" w:rsidRPr="009356FC">
        <w:rPr>
          <w:lang w:val="en-US"/>
        </w:rPr>
        <w:t>ing</w:t>
      </w:r>
      <w:r w:rsidR="00E210D3" w:rsidRPr="009356FC">
        <w:rPr>
          <w:lang w:val="en-US"/>
        </w:rPr>
        <w:t xml:space="preserve"> the development and implementation of targeted, synergistic and integrated </w:t>
      </w:r>
      <w:r w:rsidR="008A342B" w:rsidRPr="009356FC">
        <w:rPr>
          <w:lang w:val="en-US"/>
        </w:rPr>
        <w:t xml:space="preserve">activities </w:t>
      </w:r>
      <w:r w:rsidR="00E210D3" w:rsidRPr="009356FC">
        <w:rPr>
          <w:lang w:val="en-US"/>
        </w:rPr>
        <w:t>at the national, regional and international levels;</w:t>
      </w:r>
      <w:r w:rsidR="00D31CA3" w:rsidRPr="009356FC">
        <w:rPr>
          <w:lang w:val="en-US"/>
        </w:rPr>
        <w:t xml:space="preserve"> </w:t>
      </w:r>
    </w:p>
    <w:p w:rsidR="00E210D3" w:rsidRPr="009356FC" w:rsidRDefault="00E210D3" w:rsidP="00FE039D">
      <w:pPr>
        <w:pStyle w:val="NormalNonumber"/>
        <w:ind w:left="1248" w:firstLine="595"/>
        <w:rPr>
          <w:lang w:val="en-US"/>
        </w:rPr>
      </w:pPr>
      <w:r w:rsidRPr="009356FC">
        <w:rPr>
          <w:lang w:val="en-US"/>
        </w:rPr>
        <w:t>(</w:t>
      </w:r>
      <w:r w:rsidR="00F22042" w:rsidRPr="009356FC">
        <w:rPr>
          <w:lang w:val="en-US"/>
        </w:rPr>
        <w:t>c</w:t>
      </w:r>
      <w:r w:rsidRPr="009356FC">
        <w:rPr>
          <w:lang w:val="en-US"/>
        </w:rPr>
        <w:t>)</w:t>
      </w:r>
      <w:r w:rsidR="003E2563">
        <w:rPr>
          <w:lang w:val="en-US"/>
        </w:rPr>
        <w:tab/>
      </w:r>
      <w:r w:rsidRPr="009356FC">
        <w:rPr>
          <w:lang w:val="en-US"/>
        </w:rPr>
        <w:t>Facilitat</w:t>
      </w:r>
      <w:r w:rsidR="00FF3A43" w:rsidRPr="009356FC">
        <w:rPr>
          <w:lang w:val="en-US"/>
        </w:rPr>
        <w:t>ing</w:t>
      </w:r>
      <w:r w:rsidRPr="009356FC">
        <w:rPr>
          <w:lang w:val="en-US"/>
        </w:rPr>
        <w:t xml:space="preserve"> the mobilization and leveraging of financial, technical and technological resources and expertise</w:t>
      </w:r>
      <w:r w:rsidR="009A776E" w:rsidRPr="009356FC">
        <w:rPr>
          <w:color w:val="000000" w:themeColor="text1"/>
          <w:lang w:val="en-US"/>
        </w:rPr>
        <w:t xml:space="preserve"> in support of developing countr</w:t>
      </w:r>
      <w:r w:rsidR="001D3030" w:rsidRPr="009356FC">
        <w:rPr>
          <w:color w:val="000000" w:themeColor="text1"/>
          <w:lang w:val="en-US"/>
        </w:rPr>
        <w:t>y Parties</w:t>
      </w:r>
      <w:r w:rsidR="009A776E" w:rsidRPr="009356FC">
        <w:rPr>
          <w:color w:val="000000" w:themeColor="text1"/>
          <w:lang w:val="en-US"/>
        </w:rPr>
        <w:t xml:space="preserve">, in particular least developed countries and </w:t>
      </w:r>
      <w:proofErr w:type="gramStart"/>
      <w:r w:rsidR="009A776E" w:rsidRPr="009356FC">
        <w:rPr>
          <w:color w:val="000000" w:themeColor="text1"/>
          <w:lang w:val="en-US"/>
        </w:rPr>
        <w:t>small island</w:t>
      </w:r>
      <w:proofErr w:type="gramEnd"/>
      <w:r w:rsidR="009A776E" w:rsidRPr="009356FC">
        <w:rPr>
          <w:color w:val="000000" w:themeColor="text1"/>
          <w:lang w:val="en-US"/>
        </w:rPr>
        <w:t xml:space="preserve"> developing States, as well as </w:t>
      </w:r>
      <w:r w:rsidR="001D3030" w:rsidRPr="009356FC">
        <w:rPr>
          <w:color w:val="000000" w:themeColor="text1"/>
          <w:lang w:val="en-US"/>
        </w:rPr>
        <w:t>Parties</w:t>
      </w:r>
      <w:r w:rsidR="009A776E" w:rsidRPr="009356FC">
        <w:rPr>
          <w:color w:val="000000" w:themeColor="text1"/>
          <w:lang w:val="en-US"/>
        </w:rPr>
        <w:t xml:space="preserve"> with economies in transition.</w:t>
      </w:r>
    </w:p>
    <w:p w:rsidR="00BC19FF" w:rsidRPr="009356FC" w:rsidRDefault="00BC19FF" w:rsidP="00BC19FF">
      <w:pPr>
        <w:pStyle w:val="NormalNonumber"/>
        <w:numPr>
          <w:ilvl w:val="0"/>
          <w:numId w:val="5"/>
        </w:numPr>
        <w:ind w:left="1247" w:firstLine="0"/>
        <w:rPr>
          <w:lang w:val="en-US"/>
        </w:rPr>
      </w:pPr>
      <w:r w:rsidRPr="009356FC">
        <w:rPr>
          <w:lang w:val="en-US"/>
        </w:rPr>
        <w:t>The plan promotes</w:t>
      </w:r>
      <w:r w:rsidR="00DC4C17" w:rsidRPr="009356FC">
        <w:rPr>
          <w:lang w:val="en-US"/>
        </w:rPr>
        <w:t xml:space="preserve"> </w:t>
      </w:r>
      <w:r w:rsidRPr="009356FC">
        <w:rPr>
          <w:lang w:val="en-US"/>
        </w:rPr>
        <w:t xml:space="preserve">a </w:t>
      </w:r>
      <w:r w:rsidR="00D85F8C" w:rsidRPr="009356FC">
        <w:rPr>
          <w:lang w:val="en-US"/>
        </w:rPr>
        <w:t xml:space="preserve">life-cycle </w:t>
      </w:r>
      <w:r w:rsidRPr="009356FC">
        <w:rPr>
          <w:lang w:val="en-US"/>
        </w:rPr>
        <w:t>approach</w:t>
      </w:r>
      <w:r w:rsidR="00D85F8C" w:rsidRPr="009356FC">
        <w:rPr>
          <w:lang w:val="en-US"/>
        </w:rPr>
        <w:t xml:space="preserve"> to chemicals and waste</w:t>
      </w:r>
      <w:r w:rsidR="00282F26">
        <w:rPr>
          <w:lang w:val="en-US"/>
        </w:rPr>
        <w:t>s</w:t>
      </w:r>
      <w:r w:rsidR="00D85F8C" w:rsidRPr="009356FC">
        <w:rPr>
          <w:lang w:val="en-US"/>
        </w:rPr>
        <w:t xml:space="preserve"> management</w:t>
      </w:r>
      <w:r w:rsidRPr="009356FC">
        <w:rPr>
          <w:lang w:val="en-US"/>
        </w:rPr>
        <w:t xml:space="preserve"> based on the </w:t>
      </w:r>
      <w:r w:rsidR="00E328CD">
        <w:rPr>
          <w:lang w:val="en-US"/>
        </w:rPr>
        <w:t>legal-</w:t>
      </w:r>
      <w:r w:rsidRPr="009356FC">
        <w:rPr>
          <w:lang w:val="en-US"/>
        </w:rPr>
        <w:t xml:space="preserve">policy-science-business interface. This includes considering socio-economic implications, developing business cases, making use of </w:t>
      </w:r>
      <w:r w:rsidR="001D3030" w:rsidRPr="009356FC">
        <w:rPr>
          <w:lang w:val="en-US"/>
        </w:rPr>
        <w:t xml:space="preserve">social and </w:t>
      </w:r>
      <w:r w:rsidRPr="009356FC">
        <w:rPr>
          <w:lang w:val="en-US"/>
        </w:rPr>
        <w:t xml:space="preserve">economic incentives, and encouraging cooperation with academia and the private sector. </w:t>
      </w:r>
    </w:p>
    <w:p w:rsidR="00BC19FF" w:rsidRPr="009356FC" w:rsidRDefault="00BC19FF" w:rsidP="00BC19FF">
      <w:pPr>
        <w:pStyle w:val="NormalNonumber"/>
        <w:numPr>
          <w:ilvl w:val="0"/>
          <w:numId w:val="5"/>
        </w:numPr>
        <w:ind w:left="1247" w:firstLine="0"/>
        <w:rPr>
          <w:lang w:val="en-US"/>
        </w:rPr>
      </w:pPr>
      <w:r w:rsidRPr="009356FC">
        <w:rPr>
          <w:lang w:val="en-US"/>
        </w:rPr>
        <w:t xml:space="preserve">The plan </w:t>
      </w:r>
      <w:r w:rsidR="001D3030" w:rsidRPr="009356FC">
        <w:rPr>
          <w:lang w:val="en-US"/>
        </w:rPr>
        <w:t>takes into account</w:t>
      </w:r>
      <w:r w:rsidRPr="009356FC">
        <w:rPr>
          <w:lang w:val="en-US"/>
        </w:rPr>
        <w:t xml:space="preserve"> </w:t>
      </w:r>
      <w:r w:rsidR="001D3030" w:rsidRPr="009356FC">
        <w:rPr>
          <w:lang w:val="en-US"/>
        </w:rPr>
        <w:t xml:space="preserve">relevant activities undertaken </w:t>
      </w:r>
      <w:r w:rsidRPr="009356FC">
        <w:rPr>
          <w:lang w:val="en-US"/>
        </w:rPr>
        <w:t>by subsidiary bodies and/or intersessional processes, such as the intersessional working group</w:t>
      </w:r>
      <w:r w:rsidR="004F155A">
        <w:rPr>
          <w:lang w:val="en-US"/>
        </w:rPr>
        <w:t>s</w:t>
      </w:r>
      <w:r w:rsidRPr="009356FC">
        <w:rPr>
          <w:lang w:val="en-US"/>
        </w:rPr>
        <w:t xml:space="preserve"> on listing of chemicals under the Rotterdam </w:t>
      </w:r>
      <w:r w:rsidR="004F155A">
        <w:rPr>
          <w:lang w:val="en-US"/>
        </w:rPr>
        <w:t xml:space="preserve">and Stockholm </w:t>
      </w:r>
      <w:r w:rsidR="00E76F78">
        <w:rPr>
          <w:lang w:val="en-US"/>
        </w:rPr>
        <w:t>c</w:t>
      </w:r>
      <w:r w:rsidRPr="009356FC">
        <w:rPr>
          <w:lang w:val="en-US"/>
        </w:rPr>
        <w:t>onvention</w:t>
      </w:r>
      <w:r w:rsidR="004F155A">
        <w:rPr>
          <w:lang w:val="en-US"/>
        </w:rPr>
        <w:t>s</w:t>
      </w:r>
      <w:r w:rsidRPr="009356FC">
        <w:rPr>
          <w:lang w:val="en-US"/>
        </w:rPr>
        <w:t>, the expert working group on environmentally sound management</w:t>
      </w:r>
      <w:r w:rsidR="00781A40">
        <w:rPr>
          <w:lang w:val="en-US"/>
        </w:rPr>
        <w:t xml:space="preserve">, </w:t>
      </w:r>
      <w:r w:rsidR="001E33AC">
        <w:rPr>
          <w:lang w:val="en-US"/>
        </w:rPr>
        <w:t xml:space="preserve">the </w:t>
      </w:r>
      <w:r w:rsidR="001E33AC" w:rsidRPr="001E33AC">
        <w:rPr>
          <w:lang w:val="en-US"/>
        </w:rPr>
        <w:t xml:space="preserve">Committee administering the Mechanism for Promoting Implementation and Compliance </w:t>
      </w:r>
      <w:r w:rsidR="00F1052B">
        <w:rPr>
          <w:lang w:val="en-US"/>
        </w:rPr>
        <w:t>of</w:t>
      </w:r>
      <w:r w:rsidR="001E33AC" w:rsidRPr="001E33AC">
        <w:rPr>
          <w:lang w:val="en-US"/>
        </w:rPr>
        <w:t xml:space="preserve"> </w:t>
      </w:r>
      <w:r w:rsidRPr="009356FC">
        <w:rPr>
          <w:lang w:val="en-US"/>
        </w:rPr>
        <w:t>the Basel Convention, and the global monitoring plan for persistent organic pollutants under the Stockholm Convention</w:t>
      </w:r>
      <w:r w:rsidR="00282F26">
        <w:rPr>
          <w:lang w:val="en-US"/>
        </w:rPr>
        <w:t>.</w:t>
      </w:r>
    </w:p>
    <w:p w:rsidR="00B44296" w:rsidRPr="009356FC" w:rsidRDefault="00B44296" w:rsidP="00B44296">
      <w:pPr>
        <w:pStyle w:val="NormalNonumber"/>
        <w:numPr>
          <w:ilvl w:val="0"/>
          <w:numId w:val="5"/>
        </w:numPr>
        <w:ind w:left="1247" w:firstLine="0"/>
        <w:rPr>
          <w:lang w:val="en-US"/>
        </w:rPr>
      </w:pPr>
      <w:r w:rsidRPr="009356FC">
        <w:rPr>
          <w:lang w:val="en-US"/>
        </w:rPr>
        <w:t xml:space="preserve">The plan seeks to facilitate North-South and South-South cooperation between Parties by engaging developed </w:t>
      </w:r>
      <w:r w:rsidR="00C571F5" w:rsidRPr="009356FC">
        <w:rPr>
          <w:lang w:val="en-US"/>
        </w:rPr>
        <w:t xml:space="preserve">country </w:t>
      </w:r>
      <w:r w:rsidRPr="009356FC">
        <w:rPr>
          <w:lang w:val="en-US"/>
        </w:rPr>
        <w:t>Parties in capacity</w:t>
      </w:r>
      <w:r w:rsidR="0070434B" w:rsidRPr="009356FC">
        <w:rPr>
          <w:lang w:val="en-US"/>
        </w:rPr>
        <w:t xml:space="preserve"> </w:t>
      </w:r>
      <w:r w:rsidRPr="009356FC">
        <w:rPr>
          <w:lang w:val="en-US"/>
        </w:rPr>
        <w:t xml:space="preserve">development </w:t>
      </w:r>
      <w:r w:rsidR="0070434B" w:rsidRPr="009356FC">
        <w:rPr>
          <w:lang w:val="en-US"/>
        </w:rPr>
        <w:t>by providing</w:t>
      </w:r>
      <w:r w:rsidR="00C571F5" w:rsidRPr="009356FC">
        <w:rPr>
          <w:lang w:val="en-US"/>
        </w:rPr>
        <w:t xml:space="preserve"> </w:t>
      </w:r>
      <w:r w:rsidRPr="009356FC">
        <w:rPr>
          <w:lang w:val="en-US"/>
        </w:rPr>
        <w:t>expert</w:t>
      </w:r>
      <w:r w:rsidR="00C571F5" w:rsidRPr="009356FC">
        <w:rPr>
          <w:lang w:val="en-US"/>
        </w:rPr>
        <w:t>ise</w:t>
      </w:r>
      <w:r w:rsidR="009356FC">
        <w:rPr>
          <w:lang w:val="en-US"/>
        </w:rPr>
        <w:t xml:space="preserve"> </w:t>
      </w:r>
      <w:r w:rsidR="0070434B" w:rsidRPr="009356FC">
        <w:rPr>
          <w:lang w:val="en-US"/>
        </w:rPr>
        <w:t>as appropriate</w:t>
      </w:r>
      <w:r w:rsidRPr="009356FC">
        <w:rPr>
          <w:lang w:val="en-US"/>
        </w:rPr>
        <w:t xml:space="preserve">. A differentiated approach tailoring technical assistance to specific needs of developing countries, in particular least developed countries and </w:t>
      </w:r>
      <w:proofErr w:type="gramStart"/>
      <w:r w:rsidRPr="009356FC">
        <w:rPr>
          <w:lang w:val="en-US"/>
        </w:rPr>
        <w:t>small island</w:t>
      </w:r>
      <w:proofErr w:type="gramEnd"/>
      <w:r w:rsidRPr="009356FC">
        <w:rPr>
          <w:lang w:val="en-US"/>
        </w:rPr>
        <w:t xml:space="preserve"> developing States, and countries with economies in transition will be followed taking into consideration, among other</w:t>
      </w:r>
      <w:r w:rsidR="00425386">
        <w:rPr>
          <w:lang w:val="en-US"/>
        </w:rPr>
        <w:t xml:space="preserve"> things</w:t>
      </w:r>
      <w:r w:rsidRPr="009356FC">
        <w:rPr>
          <w:lang w:val="en-US"/>
        </w:rPr>
        <w:t>, Parties’ capacities for the implementation of the</w:t>
      </w:r>
      <w:r w:rsidR="009356FC">
        <w:rPr>
          <w:lang w:val="en-US"/>
        </w:rPr>
        <w:t xml:space="preserve"> </w:t>
      </w:r>
      <w:r w:rsidR="00D47588" w:rsidRPr="009356FC">
        <w:rPr>
          <w:lang w:val="en-US"/>
        </w:rPr>
        <w:t>conventions</w:t>
      </w:r>
      <w:r w:rsidRPr="009356FC">
        <w:rPr>
          <w:lang w:val="en-US"/>
        </w:rPr>
        <w:t>.</w:t>
      </w:r>
    </w:p>
    <w:p w:rsidR="00E210D3" w:rsidRPr="009356FC" w:rsidRDefault="00E210D3" w:rsidP="003E2563">
      <w:pPr>
        <w:pStyle w:val="NormalNonumber"/>
        <w:numPr>
          <w:ilvl w:val="0"/>
          <w:numId w:val="5"/>
        </w:numPr>
        <w:tabs>
          <w:tab w:val="clear" w:pos="2381"/>
          <w:tab w:val="left" w:pos="2520"/>
        </w:tabs>
        <w:ind w:left="1247" w:firstLine="0"/>
        <w:rPr>
          <w:lang w:val="en-US"/>
        </w:rPr>
      </w:pPr>
      <w:r w:rsidRPr="009356FC">
        <w:rPr>
          <w:lang w:val="en-US"/>
        </w:rPr>
        <w:t xml:space="preserve">In light of the operational experience and lessons learned from </w:t>
      </w:r>
      <w:r w:rsidR="00FB6E1A" w:rsidRPr="009356FC">
        <w:rPr>
          <w:lang w:val="en-US"/>
        </w:rPr>
        <w:t xml:space="preserve">the implementation of the technical assistance </w:t>
      </w:r>
      <w:proofErr w:type="spellStart"/>
      <w:r w:rsidR="00FB6E1A" w:rsidRPr="009356FC">
        <w:rPr>
          <w:lang w:val="en-US"/>
        </w:rPr>
        <w:t>programme</w:t>
      </w:r>
      <w:proofErr w:type="spellEnd"/>
      <w:r w:rsidR="00FB6E1A" w:rsidRPr="009356FC">
        <w:rPr>
          <w:lang w:val="en-US"/>
        </w:rPr>
        <w:t xml:space="preserve"> developed in 2014,</w:t>
      </w:r>
      <w:r w:rsidR="00C571F5" w:rsidRPr="009356FC">
        <w:rPr>
          <w:lang w:val="en-US"/>
        </w:rPr>
        <w:t xml:space="preserve"> </w:t>
      </w:r>
      <w:r w:rsidR="009940B6" w:rsidRPr="009356FC">
        <w:rPr>
          <w:lang w:val="en-US"/>
        </w:rPr>
        <w:t>technical assistance</w:t>
      </w:r>
      <w:r w:rsidRPr="009356FC">
        <w:rPr>
          <w:lang w:val="en-US"/>
        </w:rPr>
        <w:t xml:space="preserve"> </w:t>
      </w:r>
      <w:r w:rsidR="00FB6E1A" w:rsidRPr="009356FC">
        <w:rPr>
          <w:lang w:val="en-US"/>
        </w:rPr>
        <w:t xml:space="preserve">activities </w:t>
      </w:r>
      <w:r w:rsidRPr="009356FC">
        <w:rPr>
          <w:lang w:val="en-US"/>
        </w:rPr>
        <w:t>should:</w:t>
      </w:r>
    </w:p>
    <w:p w:rsidR="00E210D3" w:rsidRPr="009356FC" w:rsidRDefault="00E210D3" w:rsidP="004C62B6">
      <w:pPr>
        <w:pStyle w:val="NormalNonumber"/>
        <w:tabs>
          <w:tab w:val="clear" w:pos="1247"/>
          <w:tab w:val="clear" w:pos="1814"/>
          <w:tab w:val="clear" w:pos="2381"/>
          <w:tab w:val="clear" w:pos="2948"/>
          <w:tab w:val="clear" w:pos="3515"/>
          <w:tab w:val="clear" w:pos="4082"/>
          <w:tab w:val="left" w:pos="2520"/>
        </w:tabs>
        <w:ind w:left="1248" w:firstLine="595"/>
        <w:rPr>
          <w:lang w:val="en-US"/>
        </w:rPr>
      </w:pPr>
      <w:r w:rsidRPr="009356FC">
        <w:rPr>
          <w:lang w:val="en-US"/>
        </w:rPr>
        <w:t>(</w:t>
      </w:r>
      <w:proofErr w:type="gramStart"/>
      <w:r w:rsidRPr="009356FC">
        <w:rPr>
          <w:lang w:val="en-US"/>
        </w:rPr>
        <w:t>a</w:t>
      </w:r>
      <w:proofErr w:type="gramEnd"/>
      <w:r w:rsidRPr="009356FC">
        <w:rPr>
          <w:lang w:val="en-US"/>
        </w:rPr>
        <w:t>)</w:t>
      </w:r>
      <w:r w:rsidR="003E2563">
        <w:rPr>
          <w:lang w:val="en-US"/>
        </w:rPr>
        <w:tab/>
      </w:r>
      <w:r w:rsidRPr="009356FC">
        <w:rPr>
          <w:lang w:val="en-US"/>
        </w:rPr>
        <w:t>Be country-driven</w:t>
      </w:r>
      <w:r w:rsidR="00C571F5" w:rsidRPr="009356FC">
        <w:rPr>
          <w:lang w:val="en-US"/>
        </w:rPr>
        <w:t xml:space="preserve"> and be </w:t>
      </w:r>
      <w:r w:rsidRPr="009356FC">
        <w:rPr>
          <w:lang w:val="en-US"/>
        </w:rPr>
        <w:t>based on the needs identified by the recipient countries;</w:t>
      </w:r>
    </w:p>
    <w:p w:rsidR="00E210D3" w:rsidRPr="009356FC" w:rsidRDefault="00E210D3" w:rsidP="004C62B6">
      <w:pPr>
        <w:pStyle w:val="NormalNonumber"/>
        <w:tabs>
          <w:tab w:val="clear" w:pos="1247"/>
          <w:tab w:val="clear" w:pos="1814"/>
          <w:tab w:val="clear" w:pos="2381"/>
          <w:tab w:val="clear" w:pos="2948"/>
          <w:tab w:val="clear" w:pos="3515"/>
          <w:tab w:val="clear" w:pos="4082"/>
          <w:tab w:val="left" w:pos="2520"/>
        </w:tabs>
        <w:ind w:left="1248" w:firstLine="595"/>
        <w:rPr>
          <w:lang w:val="en-US"/>
        </w:rPr>
      </w:pPr>
      <w:r w:rsidRPr="009356FC">
        <w:rPr>
          <w:lang w:val="en-US"/>
        </w:rPr>
        <w:t>(b)</w:t>
      </w:r>
      <w:r w:rsidR="003E2563">
        <w:rPr>
          <w:lang w:val="en-US"/>
        </w:rPr>
        <w:tab/>
      </w:r>
      <w:r w:rsidR="00C571F5" w:rsidRPr="009356FC">
        <w:rPr>
          <w:lang w:val="en-US"/>
        </w:rPr>
        <w:t xml:space="preserve">Promote </w:t>
      </w:r>
      <w:r w:rsidRPr="009356FC">
        <w:rPr>
          <w:lang w:val="en-US"/>
        </w:rPr>
        <w:t>national ownership and leadership, including the setting of priorities and design, implementation and evaluation of the initiatives;</w:t>
      </w:r>
    </w:p>
    <w:p w:rsidR="00EB5A04" w:rsidRPr="009356FC" w:rsidRDefault="00EB5A04" w:rsidP="004C62B6">
      <w:pPr>
        <w:pStyle w:val="NormalNonumber"/>
        <w:tabs>
          <w:tab w:val="clear" w:pos="1247"/>
          <w:tab w:val="clear" w:pos="1814"/>
          <w:tab w:val="clear" w:pos="2381"/>
          <w:tab w:val="clear" w:pos="2948"/>
          <w:tab w:val="clear" w:pos="3515"/>
          <w:tab w:val="clear" w:pos="4082"/>
          <w:tab w:val="left" w:pos="2520"/>
        </w:tabs>
        <w:ind w:left="1248" w:firstLine="595"/>
        <w:rPr>
          <w:lang w:val="en-US"/>
        </w:rPr>
      </w:pPr>
      <w:r w:rsidRPr="009356FC">
        <w:rPr>
          <w:lang w:val="en-US"/>
        </w:rPr>
        <w:t>(</w:t>
      </w:r>
      <w:r w:rsidR="004A44E5" w:rsidRPr="009356FC">
        <w:rPr>
          <w:lang w:val="en-US"/>
        </w:rPr>
        <w:t>c</w:t>
      </w:r>
      <w:r w:rsidRPr="009356FC">
        <w:rPr>
          <w:lang w:val="en-US"/>
        </w:rPr>
        <w:t>)</w:t>
      </w:r>
      <w:r w:rsidR="003E2563">
        <w:rPr>
          <w:lang w:val="en-US"/>
        </w:rPr>
        <w:tab/>
      </w:r>
      <w:r w:rsidRPr="009356FC">
        <w:rPr>
          <w:lang w:val="en-US"/>
        </w:rPr>
        <w:t>Apply a holistic approach, integrating convention</w:t>
      </w:r>
      <w:r w:rsidR="00282F26">
        <w:rPr>
          <w:lang w:val="en-US"/>
        </w:rPr>
        <w:t>-</w:t>
      </w:r>
      <w:r w:rsidRPr="009356FC">
        <w:rPr>
          <w:lang w:val="en-US"/>
        </w:rPr>
        <w:t xml:space="preserve">specific activities with relevant sectoral and national policies, strategies and </w:t>
      </w:r>
      <w:proofErr w:type="spellStart"/>
      <w:r w:rsidRPr="009356FC">
        <w:rPr>
          <w:lang w:val="en-US"/>
        </w:rPr>
        <w:t>programmes</w:t>
      </w:r>
      <w:proofErr w:type="spellEnd"/>
      <w:r w:rsidRPr="009356FC">
        <w:rPr>
          <w:lang w:val="en-US"/>
        </w:rPr>
        <w:t>;</w:t>
      </w:r>
    </w:p>
    <w:p w:rsidR="00E210D3" w:rsidRPr="009356FC" w:rsidRDefault="00E210D3" w:rsidP="004C62B6">
      <w:pPr>
        <w:pStyle w:val="NormalNonumber"/>
        <w:tabs>
          <w:tab w:val="clear" w:pos="1247"/>
          <w:tab w:val="clear" w:pos="1814"/>
          <w:tab w:val="clear" w:pos="2381"/>
          <w:tab w:val="clear" w:pos="2948"/>
          <w:tab w:val="clear" w:pos="3515"/>
          <w:tab w:val="clear" w:pos="4082"/>
          <w:tab w:val="left" w:pos="2520"/>
        </w:tabs>
        <w:ind w:left="1248" w:firstLine="595"/>
        <w:rPr>
          <w:lang w:val="en-US"/>
        </w:rPr>
      </w:pPr>
      <w:r w:rsidRPr="009356FC">
        <w:rPr>
          <w:lang w:val="en-US"/>
        </w:rPr>
        <w:lastRenderedPageBreak/>
        <w:t>(</w:t>
      </w:r>
      <w:r w:rsidR="004A44E5" w:rsidRPr="009356FC">
        <w:rPr>
          <w:lang w:val="en-US"/>
        </w:rPr>
        <w:t>d</w:t>
      </w:r>
      <w:r w:rsidRPr="009356FC">
        <w:rPr>
          <w:lang w:val="en-US"/>
        </w:rPr>
        <w:t>)</w:t>
      </w:r>
      <w:r w:rsidR="003E2563">
        <w:rPr>
          <w:lang w:val="en-US"/>
        </w:rPr>
        <w:tab/>
      </w:r>
      <w:r w:rsidRPr="009356FC">
        <w:rPr>
          <w:lang w:val="en-US"/>
        </w:rPr>
        <w:t>Maximize synerg</w:t>
      </w:r>
      <w:r w:rsidR="00282F26">
        <w:rPr>
          <w:lang w:val="en-US"/>
        </w:rPr>
        <w:t>ies</w:t>
      </w:r>
      <w:r w:rsidRPr="009356FC">
        <w:rPr>
          <w:lang w:val="en-US"/>
        </w:rPr>
        <w:t xml:space="preserve"> </w:t>
      </w:r>
      <w:r w:rsidR="00EE4AAD" w:rsidRPr="009356FC">
        <w:rPr>
          <w:lang w:val="en-US"/>
        </w:rPr>
        <w:t xml:space="preserve">in the implementation of the conventions through </w:t>
      </w:r>
      <w:r w:rsidR="00EB5A04" w:rsidRPr="009356FC">
        <w:rPr>
          <w:lang w:val="en-US"/>
        </w:rPr>
        <w:t>coordination of</w:t>
      </w:r>
      <w:r w:rsidR="004A44E5" w:rsidRPr="009356FC">
        <w:rPr>
          <w:lang w:val="en-US"/>
        </w:rPr>
        <w:t xml:space="preserve"> </w:t>
      </w:r>
      <w:r w:rsidRPr="009356FC">
        <w:rPr>
          <w:lang w:val="en-US"/>
        </w:rPr>
        <w:t>capacity</w:t>
      </w:r>
      <w:r w:rsidR="0070434B" w:rsidRPr="009356FC">
        <w:rPr>
          <w:lang w:val="en-US"/>
        </w:rPr>
        <w:t xml:space="preserve"> </w:t>
      </w:r>
      <w:r w:rsidR="00EE4AAD" w:rsidRPr="009356FC">
        <w:rPr>
          <w:lang w:val="en-US"/>
        </w:rPr>
        <w:t xml:space="preserve">development </w:t>
      </w:r>
      <w:r w:rsidR="00FB6E1A" w:rsidRPr="009356FC">
        <w:rPr>
          <w:lang w:val="en-US"/>
        </w:rPr>
        <w:t xml:space="preserve">activities </w:t>
      </w:r>
      <w:r w:rsidR="00763C3C" w:rsidRPr="009356FC">
        <w:rPr>
          <w:lang w:val="en-US"/>
        </w:rPr>
        <w:t xml:space="preserve">under the conventions’ </w:t>
      </w:r>
      <w:proofErr w:type="spellStart"/>
      <w:r w:rsidR="00763C3C" w:rsidRPr="009356FC">
        <w:rPr>
          <w:lang w:val="en-US"/>
        </w:rPr>
        <w:t>programme</w:t>
      </w:r>
      <w:proofErr w:type="spellEnd"/>
      <w:r w:rsidR="00763C3C" w:rsidRPr="009356FC">
        <w:rPr>
          <w:lang w:val="en-US"/>
        </w:rPr>
        <w:t xml:space="preserve"> of work </w:t>
      </w:r>
      <w:r w:rsidR="00EB5A04" w:rsidRPr="009356FC">
        <w:rPr>
          <w:lang w:val="en-US"/>
        </w:rPr>
        <w:t xml:space="preserve">with </w:t>
      </w:r>
      <w:r w:rsidR="00FB6E1A" w:rsidRPr="009356FC">
        <w:rPr>
          <w:lang w:val="en-US"/>
        </w:rPr>
        <w:t xml:space="preserve">activities implemented by </w:t>
      </w:r>
      <w:r w:rsidR="0070434B" w:rsidRPr="009356FC">
        <w:rPr>
          <w:lang w:val="en-US"/>
        </w:rPr>
        <w:t xml:space="preserve">Parties, </w:t>
      </w:r>
      <w:r w:rsidR="00FB6E1A" w:rsidRPr="009356FC">
        <w:rPr>
          <w:lang w:val="en-US"/>
        </w:rPr>
        <w:t xml:space="preserve">the </w:t>
      </w:r>
      <w:r w:rsidR="00C571F5" w:rsidRPr="009356FC">
        <w:rPr>
          <w:lang w:val="en-US"/>
        </w:rPr>
        <w:t xml:space="preserve">Basel and Stockholm conventions </w:t>
      </w:r>
      <w:r w:rsidR="00FB6E1A" w:rsidRPr="009356FC">
        <w:rPr>
          <w:lang w:val="en-US"/>
        </w:rPr>
        <w:t xml:space="preserve">regional </w:t>
      </w:r>
      <w:proofErr w:type="spellStart"/>
      <w:r w:rsidR="00FB6E1A" w:rsidRPr="009356FC">
        <w:rPr>
          <w:lang w:val="en-US"/>
        </w:rPr>
        <w:t>centres</w:t>
      </w:r>
      <w:proofErr w:type="spellEnd"/>
      <w:r w:rsidR="00FB6E1A" w:rsidRPr="009356FC">
        <w:rPr>
          <w:lang w:val="en-US"/>
        </w:rPr>
        <w:t>, UNEP and FAO</w:t>
      </w:r>
      <w:r w:rsidR="0087273C">
        <w:rPr>
          <w:lang w:val="en-US"/>
        </w:rPr>
        <w:t>, including through their</w:t>
      </w:r>
      <w:r w:rsidR="00FB6E1A" w:rsidRPr="009356FC">
        <w:rPr>
          <w:lang w:val="en-US"/>
        </w:rPr>
        <w:t xml:space="preserve"> regional offices</w:t>
      </w:r>
      <w:r w:rsidR="0087273C">
        <w:rPr>
          <w:lang w:val="en-US"/>
        </w:rPr>
        <w:t xml:space="preserve">, </w:t>
      </w:r>
      <w:r w:rsidR="00FB6E1A" w:rsidRPr="009356FC">
        <w:rPr>
          <w:lang w:val="en-US"/>
        </w:rPr>
        <w:t xml:space="preserve">and </w:t>
      </w:r>
      <w:r w:rsidR="0087273C">
        <w:rPr>
          <w:lang w:val="en-US"/>
        </w:rPr>
        <w:t xml:space="preserve">implementing agencies such as </w:t>
      </w:r>
      <w:r w:rsidR="00FB6E1A" w:rsidRPr="009356FC">
        <w:rPr>
          <w:lang w:val="en-US"/>
        </w:rPr>
        <w:t>the IOMC organizations</w:t>
      </w:r>
      <w:r w:rsidR="0087273C">
        <w:rPr>
          <w:lang w:val="en-US"/>
        </w:rPr>
        <w:t>,</w:t>
      </w:r>
      <w:r w:rsidR="00FB6E1A" w:rsidRPr="009356FC">
        <w:rPr>
          <w:lang w:val="en-US"/>
        </w:rPr>
        <w:t xml:space="preserve"> </w:t>
      </w:r>
      <w:r w:rsidR="00EB5A04" w:rsidRPr="009356FC">
        <w:rPr>
          <w:lang w:val="en-US"/>
        </w:rPr>
        <w:t xml:space="preserve">as well as civil society, the private sector </w:t>
      </w:r>
      <w:r w:rsidR="00FB6E1A" w:rsidRPr="009356FC">
        <w:rPr>
          <w:lang w:val="en-US"/>
        </w:rPr>
        <w:t>and other relevant</w:t>
      </w:r>
      <w:r w:rsidR="004A44E5" w:rsidRPr="009356FC">
        <w:rPr>
          <w:lang w:val="en-US"/>
        </w:rPr>
        <w:t xml:space="preserve"> s</w:t>
      </w:r>
      <w:r w:rsidR="00EB5A04" w:rsidRPr="009356FC">
        <w:rPr>
          <w:lang w:val="en-US"/>
        </w:rPr>
        <w:t>takeholders</w:t>
      </w:r>
      <w:r w:rsidRPr="009356FC">
        <w:rPr>
          <w:lang w:val="en-US"/>
        </w:rPr>
        <w:t>;</w:t>
      </w:r>
      <w:r w:rsidR="00FB1B2D" w:rsidRPr="009356FC">
        <w:rPr>
          <w:lang w:val="en-US"/>
        </w:rPr>
        <w:t xml:space="preserve"> </w:t>
      </w:r>
    </w:p>
    <w:p w:rsidR="00E210D3" w:rsidRPr="009356FC" w:rsidRDefault="00E210D3" w:rsidP="004C62B6">
      <w:pPr>
        <w:pStyle w:val="NormalNonumber"/>
        <w:tabs>
          <w:tab w:val="clear" w:pos="1247"/>
          <w:tab w:val="clear" w:pos="1814"/>
          <w:tab w:val="clear" w:pos="2381"/>
          <w:tab w:val="clear" w:pos="2948"/>
          <w:tab w:val="clear" w:pos="3515"/>
          <w:tab w:val="clear" w:pos="4082"/>
          <w:tab w:val="left" w:pos="2520"/>
        </w:tabs>
        <w:ind w:left="1248" w:firstLine="595"/>
        <w:rPr>
          <w:lang w:val="en-US"/>
        </w:rPr>
      </w:pPr>
      <w:r w:rsidRPr="009356FC">
        <w:rPr>
          <w:lang w:val="en-US"/>
        </w:rPr>
        <w:t>(</w:t>
      </w:r>
      <w:r w:rsidR="004A44E5" w:rsidRPr="009356FC">
        <w:rPr>
          <w:lang w:val="en-US"/>
        </w:rPr>
        <w:t>e</w:t>
      </w:r>
      <w:r w:rsidRPr="009356FC">
        <w:rPr>
          <w:lang w:val="en-US"/>
        </w:rPr>
        <w:t>)</w:t>
      </w:r>
      <w:r w:rsidR="003E2563">
        <w:rPr>
          <w:lang w:val="en-US"/>
        </w:rPr>
        <w:tab/>
      </w:r>
      <w:r w:rsidRPr="009356FC">
        <w:rPr>
          <w:lang w:val="en-US"/>
        </w:rPr>
        <w:t>Promote</w:t>
      </w:r>
      <w:r w:rsidR="00EB5A04" w:rsidRPr="009356FC">
        <w:rPr>
          <w:lang w:val="en-US"/>
        </w:rPr>
        <w:t>, as appropriate,</w:t>
      </w:r>
      <w:r w:rsidRPr="009356FC">
        <w:rPr>
          <w:lang w:val="en-US"/>
        </w:rPr>
        <w:t xml:space="preserve"> regional </w:t>
      </w:r>
      <w:r w:rsidR="00FB6E1A" w:rsidRPr="009356FC">
        <w:rPr>
          <w:lang w:val="en-US"/>
        </w:rPr>
        <w:t xml:space="preserve">delivery of </w:t>
      </w:r>
      <w:r w:rsidRPr="009356FC">
        <w:rPr>
          <w:lang w:val="en-US"/>
        </w:rPr>
        <w:t>capacity</w:t>
      </w:r>
      <w:r w:rsidR="0070434B" w:rsidRPr="009356FC">
        <w:rPr>
          <w:lang w:val="en-US"/>
        </w:rPr>
        <w:t xml:space="preserve"> </w:t>
      </w:r>
      <w:r w:rsidR="00FB6E1A" w:rsidRPr="009356FC">
        <w:rPr>
          <w:lang w:val="en-US"/>
        </w:rPr>
        <w:t>development</w:t>
      </w:r>
      <w:r w:rsidR="00FB1B2D" w:rsidRPr="009356FC">
        <w:rPr>
          <w:lang w:val="en-US"/>
        </w:rPr>
        <w:t>.</w:t>
      </w:r>
    </w:p>
    <w:p w:rsidR="008164D9" w:rsidRPr="009356FC" w:rsidRDefault="0025518C" w:rsidP="0025518C">
      <w:pPr>
        <w:pStyle w:val="CH1"/>
      </w:pPr>
      <w:r>
        <w:tab/>
      </w:r>
      <w:r w:rsidR="008164D9" w:rsidRPr="009356FC">
        <w:t>I</w:t>
      </w:r>
      <w:r w:rsidR="00D87101">
        <w:t>I</w:t>
      </w:r>
      <w:r w:rsidR="008164D9" w:rsidRPr="009356FC">
        <w:t>I.</w:t>
      </w:r>
      <w:r w:rsidR="008164D9" w:rsidRPr="009356FC">
        <w:tab/>
      </w:r>
      <w:r w:rsidR="00686805">
        <w:t>Approach to</w:t>
      </w:r>
      <w:r w:rsidR="003F3564">
        <w:t xml:space="preserve"> the </w:t>
      </w:r>
      <w:r w:rsidR="003F3564" w:rsidRPr="009356FC">
        <w:t xml:space="preserve">technical assistance </w:t>
      </w:r>
    </w:p>
    <w:p w:rsidR="00A62FBA" w:rsidRDefault="003F3564" w:rsidP="00A62FBA">
      <w:pPr>
        <w:pStyle w:val="NormalNonumber"/>
        <w:numPr>
          <w:ilvl w:val="0"/>
          <w:numId w:val="5"/>
        </w:numPr>
        <w:tabs>
          <w:tab w:val="clear" w:pos="2381"/>
          <w:tab w:val="left" w:pos="2520"/>
        </w:tabs>
        <w:ind w:left="1247" w:firstLine="0"/>
        <w:rPr>
          <w:lang w:val="en-US"/>
        </w:rPr>
      </w:pPr>
      <w:r w:rsidRPr="009356FC">
        <w:rPr>
          <w:lang w:val="en-US"/>
        </w:rPr>
        <w:t xml:space="preserve">The overall approach to technical assistance focuses on developing, strengthening and maintaining the capabilities </w:t>
      </w:r>
      <w:r>
        <w:rPr>
          <w:lang w:val="en-US"/>
        </w:rPr>
        <w:t xml:space="preserve">of Parties </w:t>
      </w:r>
      <w:r w:rsidRPr="009356FC">
        <w:rPr>
          <w:lang w:val="en-US"/>
        </w:rPr>
        <w:t xml:space="preserve">needed for the implementation of the Basel, Rotterdam and Stockholm conventions at the individual, organizational and systemic levels. </w:t>
      </w:r>
    </w:p>
    <w:p w:rsidR="00A62FBA" w:rsidRDefault="003F3564" w:rsidP="00A62FBA">
      <w:pPr>
        <w:pStyle w:val="NormalNonumber"/>
        <w:numPr>
          <w:ilvl w:val="0"/>
          <w:numId w:val="5"/>
        </w:numPr>
        <w:tabs>
          <w:tab w:val="clear" w:pos="2381"/>
          <w:tab w:val="left" w:pos="2520"/>
        </w:tabs>
        <w:ind w:left="1247" w:firstLine="0"/>
        <w:rPr>
          <w:lang w:val="en-US"/>
        </w:rPr>
      </w:pPr>
      <w:r w:rsidRPr="009356FC">
        <w:rPr>
          <w:lang w:val="en-US"/>
        </w:rPr>
        <w:t>While using the harmonized approach across the three conventions, specific characteristics of technical assistance for each convention are taken into account.</w:t>
      </w:r>
      <w:r>
        <w:rPr>
          <w:lang w:val="en-US"/>
        </w:rPr>
        <w:t xml:space="preserve"> Technical assistance activities for each convention and cross-cutting issues are presented below through outcomes, outputs and indicators. Following </w:t>
      </w:r>
      <w:r w:rsidRPr="009356FC">
        <w:rPr>
          <w:lang w:val="en-US"/>
        </w:rPr>
        <w:t xml:space="preserve">the strategic direction </w:t>
      </w:r>
      <w:r>
        <w:rPr>
          <w:lang w:val="en-US"/>
        </w:rPr>
        <w:t>defined</w:t>
      </w:r>
      <w:r w:rsidRPr="009356FC">
        <w:rPr>
          <w:lang w:val="en-US"/>
        </w:rPr>
        <w:t xml:space="preserve"> by the Parties</w:t>
      </w:r>
      <w:r>
        <w:rPr>
          <w:lang w:val="en-US"/>
        </w:rPr>
        <w:t xml:space="preserve">, the activities will be implemented using the most appropriate means of implementation depending on the topic at hand, resources available and national circumstances. </w:t>
      </w:r>
    </w:p>
    <w:p w:rsidR="00A62FBA" w:rsidRDefault="00A62FBA" w:rsidP="00A62FBA">
      <w:pPr>
        <w:pStyle w:val="NormalNonumber"/>
        <w:numPr>
          <w:ilvl w:val="0"/>
          <w:numId w:val="5"/>
        </w:numPr>
        <w:tabs>
          <w:tab w:val="clear" w:pos="2381"/>
          <w:tab w:val="left" w:pos="2520"/>
        </w:tabs>
        <w:ind w:left="1247" w:firstLine="0"/>
        <w:rPr>
          <w:lang w:val="en-US"/>
        </w:rPr>
      </w:pPr>
      <w:r w:rsidRPr="00A62FBA">
        <w:rPr>
          <w:color w:val="000000" w:themeColor="text1"/>
          <w:lang w:val="en-US"/>
        </w:rPr>
        <w:t xml:space="preserve">In order to provide sufficient time for </w:t>
      </w:r>
      <w:r w:rsidRPr="00A62FBA">
        <w:rPr>
          <w:lang w:val="en-US"/>
        </w:rPr>
        <w:t>planning</w:t>
      </w:r>
      <w:r w:rsidRPr="00A62FBA">
        <w:rPr>
          <w:color w:val="000000" w:themeColor="text1"/>
          <w:lang w:val="en-US"/>
        </w:rPr>
        <w:t xml:space="preserve"> and implementation </w:t>
      </w:r>
      <w:r w:rsidR="00AE1066" w:rsidRPr="0033388F">
        <w:rPr>
          <w:color w:val="000000" w:themeColor="text1"/>
          <w:lang w:val="en-US"/>
        </w:rPr>
        <w:t>of projects and activities</w:t>
      </w:r>
      <w:r w:rsidRPr="00A62FBA">
        <w:rPr>
          <w:color w:val="000000" w:themeColor="text1"/>
          <w:lang w:val="en-US"/>
        </w:rPr>
        <w:t xml:space="preserve">, which includes </w:t>
      </w:r>
      <w:r w:rsidR="00AE1066" w:rsidRPr="0033388F">
        <w:rPr>
          <w:color w:val="000000" w:themeColor="text1"/>
          <w:lang w:val="en-US"/>
        </w:rPr>
        <w:t>the mobilization of resource</w:t>
      </w:r>
      <w:r w:rsidRPr="00A62FBA">
        <w:rPr>
          <w:color w:val="000000" w:themeColor="text1"/>
          <w:lang w:val="en-US"/>
        </w:rPr>
        <w:t>s</w:t>
      </w:r>
      <w:r w:rsidR="00AE1066" w:rsidRPr="0033388F">
        <w:rPr>
          <w:color w:val="000000" w:themeColor="text1"/>
          <w:lang w:val="en-US"/>
        </w:rPr>
        <w:t xml:space="preserve">, the plan </w:t>
      </w:r>
      <w:r w:rsidRPr="00A62FBA">
        <w:rPr>
          <w:color w:val="000000" w:themeColor="text1"/>
          <w:lang w:val="en-US"/>
        </w:rPr>
        <w:t>lays down the foundations for the next four years</w:t>
      </w:r>
      <w:r w:rsidR="00726302">
        <w:rPr>
          <w:color w:val="000000" w:themeColor="text1"/>
          <w:lang w:val="en-US"/>
        </w:rPr>
        <w:t>,</w:t>
      </w:r>
      <w:r w:rsidR="00AE1066" w:rsidRPr="0033388F">
        <w:rPr>
          <w:color w:val="000000" w:themeColor="text1"/>
          <w:lang w:val="en-US"/>
        </w:rPr>
        <w:t xml:space="preserve"> describing the overall goal and objectives</w:t>
      </w:r>
      <w:r w:rsidRPr="00A62FBA">
        <w:rPr>
          <w:color w:val="000000" w:themeColor="text1"/>
          <w:lang w:val="en-US"/>
        </w:rPr>
        <w:t>,</w:t>
      </w:r>
      <w:r w:rsidR="00AE1066" w:rsidRPr="0033388F">
        <w:rPr>
          <w:color w:val="000000" w:themeColor="text1"/>
          <w:lang w:val="en-US"/>
        </w:rPr>
        <w:t xml:space="preserve"> as well as expected outputs and outcomes</w:t>
      </w:r>
      <w:r w:rsidRPr="00A62FBA">
        <w:rPr>
          <w:color w:val="000000" w:themeColor="text1"/>
          <w:lang w:val="en-US"/>
        </w:rPr>
        <w:t>,</w:t>
      </w:r>
      <w:r w:rsidR="00AE1066" w:rsidRPr="0033388F">
        <w:rPr>
          <w:color w:val="000000" w:themeColor="text1"/>
          <w:lang w:val="en-US"/>
        </w:rPr>
        <w:t xml:space="preserve"> with the understanding that t</w:t>
      </w:r>
      <w:r w:rsidR="00AE1066" w:rsidRPr="0033388F">
        <w:rPr>
          <w:lang w:val="en-GB"/>
        </w:rPr>
        <w:t>he plan will be reviewed and adjusted, as needed, by the conferences of the Parties in 2019</w:t>
      </w:r>
      <w:r w:rsidR="00AE1066" w:rsidRPr="0033388F">
        <w:rPr>
          <w:color w:val="000000" w:themeColor="text1"/>
          <w:lang w:val="en-US"/>
        </w:rPr>
        <w:t>.</w:t>
      </w:r>
    </w:p>
    <w:p w:rsidR="00A62FBA" w:rsidRDefault="00AD7649" w:rsidP="00A62FBA">
      <w:pPr>
        <w:pStyle w:val="NormalNonumber"/>
        <w:numPr>
          <w:ilvl w:val="0"/>
          <w:numId w:val="5"/>
        </w:numPr>
        <w:tabs>
          <w:tab w:val="clear" w:pos="2381"/>
          <w:tab w:val="left" w:pos="2520"/>
        </w:tabs>
        <w:ind w:left="1247" w:firstLine="0"/>
        <w:rPr>
          <w:lang w:val="en-US"/>
        </w:rPr>
      </w:pPr>
      <w:r>
        <w:rPr>
          <w:lang w:val="en-US"/>
        </w:rPr>
        <w:t xml:space="preserve">This four-year plan is the basis for activities related to technical assistance that are included in the </w:t>
      </w:r>
      <w:proofErr w:type="spellStart"/>
      <w:r>
        <w:rPr>
          <w:lang w:val="en-US"/>
        </w:rPr>
        <w:t>programmes</w:t>
      </w:r>
      <w:proofErr w:type="spellEnd"/>
      <w:r>
        <w:rPr>
          <w:lang w:val="en-US"/>
        </w:rPr>
        <w:t xml:space="preserve"> of work and proposed budgets for the biennium 2018-2019</w:t>
      </w:r>
      <w:r w:rsidR="00AE1066" w:rsidRPr="0033388F">
        <w:rPr>
          <w:rStyle w:val="FootnoteReference"/>
          <w:lang w:val="en-US"/>
        </w:rPr>
        <w:footnoteReference w:id="7"/>
      </w:r>
      <w:r w:rsidR="00A62FBA" w:rsidRPr="00A62FBA">
        <w:rPr>
          <w:lang w:val="en-US"/>
        </w:rPr>
        <w:t xml:space="preserve"> and that will be developed for the biennium 2020-2021. Specific activities for the biennium 2018-2019 to achieve the outcomes and outputs presented below are set out in the document on </w:t>
      </w:r>
      <w:proofErr w:type="spellStart"/>
      <w:r w:rsidR="00A62FBA" w:rsidRPr="00A62FBA">
        <w:rPr>
          <w:lang w:val="en-US"/>
        </w:rPr>
        <w:t>programmes</w:t>
      </w:r>
      <w:proofErr w:type="spellEnd"/>
      <w:r w:rsidR="00A62FBA" w:rsidRPr="00A62FBA">
        <w:rPr>
          <w:lang w:val="en-US"/>
        </w:rPr>
        <w:t xml:space="preserve"> of work and proposed budgets for the biennium 2018–2019: budget activity fact sheets.</w:t>
      </w:r>
      <w:r w:rsidR="00AE1066" w:rsidRPr="0033388F">
        <w:rPr>
          <w:rStyle w:val="FootnoteReference"/>
          <w:lang w:val="en-US"/>
        </w:rPr>
        <w:footnoteReference w:id="8"/>
      </w:r>
    </w:p>
    <w:p w:rsidR="00A62FBA" w:rsidRDefault="0025518C" w:rsidP="0025518C">
      <w:pPr>
        <w:pStyle w:val="CH1"/>
      </w:pPr>
      <w:r>
        <w:tab/>
        <w:t>IV.</w:t>
      </w:r>
      <w:r>
        <w:tab/>
      </w:r>
      <w:r w:rsidR="00D004E4" w:rsidRPr="00D004E4">
        <w:t>Overall goal and objecti</w:t>
      </w:r>
      <w:r w:rsidR="00254314">
        <w:t>v</w:t>
      </w:r>
      <w:r w:rsidR="00D004E4" w:rsidRPr="00D004E4">
        <w:t>es</w:t>
      </w:r>
    </w:p>
    <w:p w:rsidR="00A62FBA" w:rsidRPr="00A62FBA" w:rsidRDefault="00A62FBA" w:rsidP="00A62FBA">
      <w:pPr>
        <w:pStyle w:val="NormalNonumber"/>
        <w:numPr>
          <w:ilvl w:val="0"/>
          <w:numId w:val="5"/>
        </w:numPr>
        <w:tabs>
          <w:tab w:val="clear" w:pos="2381"/>
          <w:tab w:val="left" w:pos="2520"/>
        </w:tabs>
        <w:ind w:left="1247" w:firstLine="0"/>
        <w:rPr>
          <w:color w:val="000000" w:themeColor="text1"/>
          <w:lang w:val="en-US"/>
        </w:rPr>
      </w:pPr>
      <w:r w:rsidRPr="00A62FBA">
        <w:rPr>
          <w:color w:val="000000" w:themeColor="text1"/>
          <w:lang w:val="en-US"/>
        </w:rPr>
        <w:t xml:space="preserve">The overall goal of the technical assistance plan is to strengthen the capacities of Parties, particularly developing country Parties and Parties with economies in transition, to implement the Basel, Rotterdam and Stockholm conventions. </w:t>
      </w:r>
    </w:p>
    <w:p w:rsidR="00A62FBA" w:rsidRDefault="00A62FBA" w:rsidP="00A62FBA">
      <w:pPr>
        <w:pStyle w:val="NormalNonumber"/>
        <w:numPr>
          <w:ilvl w:val="0"/>
          <w:numId w:val="5"/>
        </w:numPr>
        <w:tabs>
          <w:tab w:val="clear" w:pos="2381"/>
          <w:tab w:val="left" w:pos="2520"/>
        </w:tabs>
        <w:ind w:left="1247" w:firstLine="0"/>
        <w:rPr>
          <w:lang w:val="en-US"/>
        </w:rPr>
      </w:pPr>
      <w:r w:rsidRPr="00A62FBA">
        <w:rPr>
          <w:lang w:val="en-US"/>
        </w:rPr>
        <w:t xml:space="preserve">Achieving the </w:t>
      </w:r>
      <w:r w:rsidRPr="00A62FBA">
        <w:rPr>
          <w:color w:val="000000" w:themeColor="text1"/>
          <w:lang w:val="en-US"/>
        </w:rPr>
        <w:t>goal</w:t>
      </w:r>
      <w:r w:rsidRPr="00A62FBA">
        <w:rPr>
          <w:lang w:val="en-US"/>
        </w:rPr>
        <w:t xml:space="preserve"> of the plan means pursuing the following objectives under each convention: </w:t>
      </w:r>
    </w:p>
    <w:p w:rsidR="00A62FBA" w:rsidRDefault="00A62FBA" w:rsidP="00A62FBA">
      <w:pPr>
        <w:pStyle w:val="NormalNonumber"/>
        <w:numPr>
          <w:ilvl w:val="1"/>
          <w:numId w:val="33"/>
        </w:numPr>
        <w:tabs>
          <w:tab w:val="clear" w:pos="1247"/>
          <w:tab w:val="clear" w:pos="1814"/>
          <w:tab w:val="clear" w:pos="2381"/>
          <w:tab w:val="clear" w:pos="2948"/>
          <w:tab w:val="clear" w:pos="3515"/>
          <w:tab w:val="clear" w:pos="4082"/>
        </w:tabs>
        <w:ind w:left="1276" w:firstLine="567"/>
        <w:rPr>
          <w:lang w:val="en-US"/>
        </w:rPr>
      </w:pPr>
      <w:r w:rsidRPr="00A62FBA">
        <w:rPr>
          <w:lang w:val="en-US"/>
        </w:rPr>
        <w:t xml:space="preserve">Under the Basel Convention, the objective of the delivery of technical assistance is to support Parties in protecting  human health and the environment against the adverse effects of hazardous wastes through enhancing the capacities of Parties to implement control procedures </w:t>
      </w:r>
      <w:r w:rsidR="00726302">
        <w:rPr>
          <w:lang w:val="en-US"/>
        </w:rPr>
        <w:t xml:space="preserve">for transboundary movements </w:t>
      </w:r>
      <w:r w:rsidRPr="00A62FBA">
        <w:rPr>
          <w:lang w:val="en-US"/>
        </w:rPr>
        <w:t xml:space="preserve">and ensure </w:t>
      </w:r>
      <w:r w:rsidRPr="00A62FBA">
        <w:rPr>
          <w:lang w:val="en-US" w:eastAsia="en-GB"/>
        </w:rPr>
        <w:t>the environmentally sound management of hazardous and other wastes, including prevention and minimization;</w:t>
      </w:r>
    </w:p>
    <w:p w:rsidR="00A62FBA" w:rsidRDefault="00A62FBA" w:rsidP="00A62FBA">
      <w:pPr>
        <w:pStyle w:val="NormalNonumber"/>
        <w:numPr>
          <w:ilvl w:val="1"/>
          <w:numId w:val="33"/>
        </w:numPr>
        <w:tabs>
          <w:tab w:val="clear" w:pos="1247"/>
          <w:tab w:val="clear" w:pos="1814"/>
          <w:tab w:val="clear" w:pos="2381"/>
          <w:tab w:val="clear" w:pos="2948"/>
          <w:tab w:val="clear" w:pos="3515"/>
          <w:tab w:val="clear" w:pos="4082"/>
        </w:tabs>
        <w:ind w:left="1276" w:firstLine="567"/>
        <w:rPr>
          <w:lang w:val="en-US"/>
        </w:rPr>
      </w:pPr>
      <w:r w:rsidRPr="00A62FBA">
        <w:rPr>
          <w:lang w:val="en-US"/>
        </w:rPr>
        <w:t xml:space="preserve">Under the Rotterdam  Convention the objective of the delivery of technical assistance is to strengthen Parties’ capacities in promoting shared responsibility and cooperative efforts among Parties in the international trade of certain hazardous chemicals </w:t>
      </w:r>
      <w:r w:rsidR="004F155A">
        <w:rPr>
          <w:lang w:val="en-US"/>
        </w:rPr>
        <w:t xml:space="preserve">and pesticides </w:t>
      </w:r>
      <w:r w:rsidRPr="00A62FBA">
        <w:rPr>
          <w:lang w:val="en-US"/>
        </w:rPr>
        <w:t>in order to protect human health and the environment from potential harm and to contribute to their environmentally sound use, by facilitating information exchange about their characteristics, by providing for a national decision-making process on their import and export and by disseminating these decisions to Parties;</w:t>
      </w:r>
    </w:p>
    <w:p w:rsidR="00A62FBA" w:rsidRDefault="00A62FBA" w:rsidP="00A62FBA">
      <w:pPr>
        <w:pStyle w:val="NormalNonumber"/>
        <w:numPr>
          <w:ilvl w:val="1"/>
          <w:numId w:val="33"/>
        </w:numPr>
        <w:tabs>
          <w:tab w:val="clear" w:pos="1247"/>
          <w:tab w:val="clear" w:pos="1814"/>
          <w:tab w:val="clear" w:pos="2381"/>
          <w:tab w:val="clear" w:pos="2948"/>
          <w:tab w:val="clear" w:pos="3515"/>
          <w:tab w:val="clear" w:pos="4082"/>
        </w:tabs>
        <w:ind w:left="1276" w:firstLine="567"/>
        <w:rPr>
          <w:lang w:val="en-US"/>
        </w:rPr>
      </w:pPr>
      <w:r w:rsidRPr="00A62FBA">
        <w:rPr>
          <w:lang w:val="en-US"/>
        </w:rPr>
        <w:t xml:space="preserve">Under the Stockholm Convention the objective of the delivery of technical assistance  is to protect human health and the environment from persistent organic pollutants through enhancing Parties’ capacities to develop legal </w:t>
      </w:r>
      <w:r w:rsidR="00872075">
        <w:rPr>
          <w:lang w:val="en-US"/>
        </w:rPr>
        <w:t xml:space="preserve">and institutional </w:t>
      </w:r>
      <w:r w:rsidRPr="00A62FBA">
        <w:rPr>
          <w:lang w:val="en-US"/>
        </w:rPr>
        <w:t>frameworks and national implementation plans and addressing  technical issues pertaining to the chemicals listed in the annexes of the Convention; and</w:t>
      </w:r>
    </w:p>
    <w:p w:rsidR="00A62FBA" w:rsidRPr="00856DB4" w:rsidRDefault="00A62FBA" w:rsidP="00A62FBA">
      <w:pPr>
        <w:pStyle w:val="NormalNonumber"/>
        <w:numPr>
          <w:ilvl w:val="1"/>
          <w:numId w:val="33"/>
        </w:numPr>
        <w:tabs>
          <w:tab w:val="clear" w:pos="1247"/>
          <w:tab w:val="clear" w:pos="1814"/>
          <w:tab w:val="clear" w:pos="2381"/>
          <w:tab w:val="clear" w:pos="2948"/>
          <w:tab w:val="clear" w:pos="3515"/>
          <w:tab w:val="clear" w:pos="4082"/>
        </w:tabs>
        <w:ind w:left="1276" w:firstLine="567"/>
        <w:rPr>
          <w:lang w:val="en-US"/>
        </w:rPr>
      </w:pPr>
      <w:r w:rsidRPr="00856DB4">
        <w:rPr>
          <w:lang w:val="en-US"/>
        </w:rPr>
        <w:t>For cross-cutting issues among the three conventions, the objective of the delivery of technical assistance is to: enhance the capacities of Parties to increase nati</w:t>
      </w:r>
      <w:r w:rsidR="00332D65">
        <w:rPr>
          <w:lang w:val="en-US"/>
        </w:rPr>
        <w:t xml:space="preserve">onal coordination and cooperation at the national level; identify and monitor the attainment of needs of developing country Parties and Parties with economy in transition; </w:t>
      </w:r>
      <w:r w:rsidR="009B3B4D">
        <w:rPr>
          <w:lang w:val="en-US"/>
        </w:rPr>
        <w:t xml:space="preserve">strengthen </w:t>
      </w:r>
      <w:r w:rsidR="00856DB4" w:rsidRPr="00856DB4">
        <w:rPr>
          <w:lang w:val="en-US"/>
        </w:rPr>
        <w:t xml:space="preserve">greater access to scientific understanding in </w:t>
      </w:r>
      <w:r w:rsidR="00856DB4" w:rsidRPr="00856DB4">
        <w:rPr>
          <w:lang w:val="en-US"/>
        </w:rPr>
        <w:lastRenderedPageBreak/>
        <w:t>developing countries to enhance informed decision-making on the implementation of the conventions</w:t>
      </w:r>
      <w:r w:rsidR="00332D65">
        <w:rPr>
          <w:lang w:val="en-US"/>
        </w:rPr>
        <w:t xml:space="preserve">; support activities with appropriate tools and methodologies and assess the impacts of undertaken activities. </w:t>
      </w:r>
    </w:p>
    <w:p w:rsidR="00D76F0F" w:rsidRPr="009356FC" w:rsidRDefault="0025518C" w:rsidP="0025518C">
      <w:pPr>
        <w:pStyle w:val="CH1"/>
      </w:pPr>
      <w:r>
        <w:tab/>
      </w:r>
      <w:r w:rsidR="00196B09" w:rsidRPr="00B12D7B">
        <w:t>V</w:t>
      </w:r>
      <w:r w:rsidR="00196B09" w:rsidRPr="00254314">
        <w:t>.</w:t>
      </w:r>
      <w:r w:rsidR="00196B09" w:rsidRPr="00254314">
        <w:tab/>
      </w:r>
      <w:r w:rsidR="00C96BB7">
        <w:t>O</w:t>
      </w:r>
      <w:r w:rsidR="008B3E4A">
        <w:t>utcomes</w:t>
      </w:r>
      <w:r w:rsidR="00C96BB7">
        <w:t xml:space="preserve">, </w:t>
      </w:r>
      <w:r w:rsidR="00254314">
        <w:t xml:space="preserve">outputs </w:t>
      </w:r>
      <w:r w:rsidR="008B3E4A">
        <w:t>and indicators</w:t>
      </w:r>
    </w:p>
    <w:p w:rsidR="00FE18F8" w:rsidRPr="0025518C"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sz w:val="24"/>
          <w:szCs w:val="24"/>
          <w:lang w:val="en-US"/>
        </w:rPr>
      </w:pPr>
      <w:r w:rsidRPr="0025518C">
        <w:rPr>
          <w:b/>
          <w:sz w:val="24"/>
          <w:szCs w:val="24"/>
          <w:lang w:val="en-US"/>
        </w:rPr>
        <w:tab/>
        <w:t>A.</w:t>
      </w:r>
      <w:r w:rsidRPr="0025518C">
        <w:rPr>
          <w:b/>
          <w:sz w:val="24"/>
          <w:szCs w:val="24"/>
          <w:lang w:val="en-US"/>
        </w:rPr>
        <w:tab/>
      </w:r>
      <w:r w:rsidR="00C32B96" w:rsidRPr="0025518C">
        <w:rPr>
          <w:b/>
          <w:sz w:val="24"/>
          <w:szCs w:val="24"/>
          <w:lang w:val="en-US"/>
        </w:rPr>
        <w:t>Basel Convention</w:t>
      </w:r>
    </w:p>
    <w:p w:rsidR="00A24C6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lang w:val="en-US" w:eastAsia="en-GB"/>
        </w:rPr>
        <w:tab/>
        <w:t>1.</w:t>
      </w:r>
      <w:r>
        <w:rPr>
          <w:b/>
          <w:lang w:val="en-US" w:eastAsia="en-GB"/>
        </w:rPr>
        <w:tab/>
      </w:r>
      <w:r w:rsidR="00A86E93">
        <w:rPr>
          <w:b/>
          <w:lang w:val="en-US" w:eastAsia="en-GB"/>
        </w:rPr>
        <w:t>Outcome: Increased capacities of Parties to implement c</w:t>
      </w:r>
      <w:r w:rsidR="00886E83" w:rsidRPr="009356FC">
        <w:rPr>
          <w:b/>
          <w:lang w:val="en-US" w:eastAsia="en-GB"/>
        </w:rPr>
        <w:t xml:space="preserve">ontrol procedures </w:t>
      </w:r>
      <w:r w:rsidR="00911F94" w:rsidRPr="009356FC">
        <w:rPr>
          <w:b/>
          <w:lang w:val="en-US" w:eastAsia="en-GB"/>
        </w:rPr>
        <w:t>under the Basel Convention</w:t>
      </w:r>
    </w:p>
    <w:p w:rsidR="00A24C64" w:rsidRPr="0025518C" w:rsidRDefault="0025518C" w:rsidP="0025518C">
      <w:pPr>
        <w:keepNext/>
        <w:tabs>
          <w:tab w:val="right" w:pos="993"/>
        </w:tabs>
        <w:snapToGrid w:val="0"/>
        <w:spacing w:after="120"/>
        <w:ind w:left="1276" w:hanging="1276"/>
        <w:rPr>
          <w:b/>
          <w:sz w:val="20"/>
        </w:rPr>
      </w:pPr>
      <w:r>
        <w:rPr>
          <w:b/>
          <w:sz w:val="20"/>
        </w:rPr>
        <w:tab/>
        <w:t>(a)</w:t>
      </w:r>
      <w:r>
        <w:rPr>
          <w:b/>
          <w:sz w:val="20"/>
        </w:rPr>
        <w:tab/>
      </w:r>
      <w:r w:rsidR="00FB7A32" w:rsidRPr="0025518C">
        <w:rPr>
          <w:b/>
          <w:sz w:val="20"/>
        </w:rPr>
        <w:t>Outputs</w:t>
      </w:r>
    </w:p>
    <w:p w:rsidR="00A86E93" w:rsidRPr="00895734" w:rsidRDefault="00A62FBA" w:rsidP="004C62B6">
      <w:pPr>
        <w:numPr>
          <w:ilvl w:val="0"/>
          <w:numId w:val="10"/>
        </w:numPr>
        <w:snapToGrid w:val="0"/>
        <w:spacing w:after="120"/>
        <w:ind w:left="1890" w:hanging="630"/>
        <w:rPr>
          <w:sz w:val="20"/>
        </w:rPr>
      </w:pPr>
      <w:r w:rsidRPr="00A62FBA">
        <w:rPr>
          <w:sz w:val="20"/>
        </w:rPr>
        <w:t>Measures taken in relation to transit, import/export restrictions or prohibitions, national definitions of hazardous wastes based on long-term national hazardous waste strategies;</w:t>
      </w:r>
    </w:p>
    <w:p w:rsidR="00A86E93" w:rsidRPr="00895734" w:rsidRDefault="00A62FBA" w:rsidP="004C62B6">
      <w:pPr>
        <w:numPr>
          <w:ilvl w:val="0"/>
          <w:numId w:val="10"/>
        </w:numPr>
        <w:snapToGrid w:val="0"/>
        <w:spacing w:after="120"/>
        <w:ind w:left="1890" w:hanging="630"/>
        <w:rPr>
          <w:sz w:val="20"/>
        </w:rPr>
      </w:pPr>
      <w:r w:rsidRPr="00A62FBA">
        <w:rPr>
          <w:sz w:val="20"/>
        </w:rPr>
        <w:t>Development of legal and institutional frameworks implementing the control regime, including with respect to the roles and responsibilities of the competent authorities;</w:t>
      </w:r>
    </w:p>
    <w:p w:rsidR="00A86E93" w:rsidRPr="009356FC" w:rsidRDefault="003C655E" w:rsidP="004C62B6">
      <w:pPr>
        <w:numPr>
          <w:ilvl w:val="0"/>
          <w:numId w:val="10"/>
        </w:numPr>
        <w:snapToGrid w:val="0"/>
        <w:spacing w:after="120"/>
        <w:ind w:left="1890" w:hanging="630"/>
        <w:rPr>
          <w:sz w:val="20"/>
        </w:rPr>
      </w:pPr>
      <w:r>
        <w:rPr>
          <w:sz w:val="20"/>
        </w:rPr>
        <w:t>Enhanced e</w:t>
      </w:r>
      <w:r w:rsidR="00A86E93" w:rsidRPr="009356FC">
        <w:rPr>
          <w:sz w:val="20"/>
        </w:rPr>
        <w:t>ngage</w:t>
      </w:r>
      <w:r>
        <w:rPr>
          <w:sz w:val="20"/>
        </w:rPr>
        <w:t>ment of Parties</w:t>
      </w:r>
      <w:r w:rsidR="00A86E93" w:rsidRPr="009356FC">
        <w:rPr>
          <w:sz w:val="20"/>
        </w:rPr>
        <w:t xml:space="preserve"> with partners involved in the enforcement chain at the national level</w:t>
      </w:r>
      <w:r>
        <w:rPr>
          <w:sz w:val="20"/>
        </w:rPr>
        <w:t>;</w:t>
      </w:r>
    </w:p>
    <w:p w:rsidR="00A86E93" w:rsidRPr="009356FC" w:rsidRDefault="00FB7A32" w:rsidP="004C62B6">
      <w:pPr>
        <w:numPr>
          <w:ilvl w:val="0"/>
          <w:numId w:val="10"/>
        </w:numPr>
        <w:snapToGrid w:val="0"/>
        <w:spacing w:after="120"/>
        <w:ind w:left="1890" w:hanging="630"/>
        <w:rPr>
          <w:sz w:val="20"/>
        </w:rPr>
      </w:pPr>
      <w:r>
        <w:rPr>
          <w:sz w:val="20"/>
        </w:rPr>
        <w:t>P</w:t>
      </w:r>
      <w:r w:rsidR="00A86E93" w:rsidRPr="009356FC">
        <w:rPr>
          <w:sz w:val="20"/>
        </w:rPr>
        <w:t>revent</w:t>
      </w:r>
      <w:r>
        <w:rPr>
          <w:sz w:val="20"/>
        </w:rPr>
        <w:t>ion</w:t>
      </w:r>
      <w:r w:rsidR="00A86E93" w:rsidRPr="009356FC">
        <w:rPr>
          <w:sz w:val="20"/>
        </w:rPr>
        <w:t>, identif</w:t>
      </w:r>
      <w:r>
        <w:rPr>
          <w:sz w:val="20"/>
        </w:rPr>
        <w:t>ication</w:t>
      </w:r>
      <w:r w:rsidR="00A86E93" w:rsidRPr="009356FC">
        <w:rPr>
          <w:sz w:val="20"/>
        </w:rPr>
        <w:t xml:space="preserve">, </w:t>
      </w:r>
      <w:r w:rsidRPr="009356FC">
        <w:rPr>
          <w:sz w:val="20"/>
        </w:rPr>
        <w:t>investigat</w:t>
      </w:r>
      <w:r>
        <w:rPr>
          <w:sz w:val="20"/>
        </w:rPr>
        <w:t>ion</w:t>
      </w:r>
      <w:r w:rsidRPr="009356FC">
        <w:rPr>
          <w:sz w:val="20"/>
        </w:rPr>
        <w:t xml:space="preserve"> </w:t>
      </w:r>
      <w:r w:rsidR="00A86E93" w:rsidRPr="009356FC">
        <w:rPr>
          <w:sz w:val="20"/>
        </w:rPr>
        <w:t>and punish</w:t>
      </w:r>
      <w:r>
        <w:rPr>
          <w:sz w:val="20"/>
        </w:rPr>
        <w:t xml:space="preserve">ment of </w:t>
      </w:r>
      <w:r w:rsidR="00A86E93" w:rsidRPr="009356FC">
        <w:rPr>
          <w:sz w:val="20"/>
        </w:rPr>
        <w:t xml:space="preserve"> cases of illegal traffic</w:t>
      </w:r>
      <w:r w:rsidR="003C655E">
        <w:rPr>
          <w:sz w:val="20"/>
        </w:rPr>
        <w:t>;</w:t>
      </w:r>
    </w:p>
    <w:p w:rsidR="00A86E93" w:rsidRDefault="00A86E93" w:rsidP="004C62B6">
      <w:pPr>
        <w:numPr>
          <w:ilvl w:val="0"/>
          <w:numId w:val="10"/>
        </w:numPr>
        <w:snapToGrid w:val="0"/>
        <w:spacing w:after="120"/>
        <w:ind w:left="1890" w:hanging="630"/>
        <w:rPr>
          <w:sz w:val="20"/>
        </w:rPr>
      </w:pPr>
      <w:r>
        <w:rPr>
          <w:sz w:val="20"/>
        </w:rPr>
        <w:t>T</w:t>
      </w:r>
      <w:r w:rsidRPr="009356FC">
        <w:rPr>
          <w:sz w:val="20"/>
        </w:rPr>
        <w:t xml:space="preserve">he technical guidelines on transboundary movements </w:t>
      </w:r>
      <w:r w:rsidR="00895734">
        <w:rPr>
          <w:sz w:val="20"/>
        </w:rPr>
        <w:t xml:space="preserve">of </w:t>
      </w:r>
      <w:r w:rsidR="00895734" w:rsidRPr="006B3F1A">
        <w:rPr>
          <w:sz w:val="20"/>
        </w:rPr>
        <w:t>electrical and electronic waste and used electrical and electronic equipment, in particular regarding the</w:t>
      </w:r>
      <w:r w:rsidR="00895734" w:rsidRPr="009356FC" w:rsidDel="00895734">
        <w:rPr>
          <w:sz w:val="20"/>
        </w:rPr>
        <w:t xml:space="preserve"> </w:t>
      </w:r>
      <w:r w:rsidRPr="009356FC">
        <w:rPr>
          <w:sz w:val="20"/>
        </w:rPr>
        <w:t xml:space="preserve">distinction between waste and non-waste </w:t>
      </w:r>
      <w:r w:rsidR="00895734">
        <w:rPr>
          <w:sz w:val="20"/>
        </w:rPr>
        <w:t xml:space="preserve">under the Basel </w:t>
      </w:r>
      <w:r w:rsidR="00895734" w:rsidRPr="00345A83">
        <w:rPr>
          <w:sz w:val="20"/>
        </w:rPr>
        <w:t xml:space="preserve">Convention </w:t>
      </w:r>
      <w:r w:rsidR="00721087" w:rsidRPr="00345A83">
        <w:rPr>
          <w:sz w:val="20"/>
          <w:lang w:val="en-US"/>
        </w:rPr>
        <w:t xml:space="preserve">as adopted on interim basis, </w:t>
      </w:r>
      <w:r w:rsidRPr="00345A83">
        <w:rPr>
          <w:sz w:val="20"/>
        </w:rPr>
        <w:t>and glossary of terms</w:t>
      </w:r>
      <w:r w:rsidRPr="00345A83" w:rsidDel="00A86E93">
        <w:rPr>
          <w:sz w:val="20"/>
        </w:rPr>
        <w:t xml:space="preserve"> </w:t>
      </w:r>
      <w:r w:rsidRPr="00345A83">
        <w:rPr>
          <w:sz w:val="20"/>
        </w:rPr>
        <w:t>are disseminated and practically applied by Parties.</w:t>
      </w:r>
    </w:p>
    <w:p w:rsidR="00A24C64" w:rsidRDefault="0025518C" w:rsidP="0025518C">
      <w:pPr>
        <w:keepNext/>
        <w:tabs>
          <w:tab w:val="right" w:pos="993"/>
        </w:tabs>
        <w:snapToGrid w:val="0"/>
        <w:spacing w:after="120"/>
        <w:ind w:left="1276" w:hanging="1276"/>
        <w:rPr>
          <w:b/>
          <w:sz w:val="20"/>
        </w:rPr>
      </w:pPr>
      <w:r>
        <w:rPr>
          <w:b/>
          <w:sz w:val="20"/>
        </w:rPr>
        <w:tab/>
        <w:t>(b)</w:t>
      </w:r>
      <w:r>
        <w:rPr>
          <w:b/>
          <w:sz w:val="20"/>
        </w:rPr>
        <w:tab/>
      </w:r>
      <w:r w:rsidR="00B65E80" w:rsidRPr="009356FC">
        <w:rPr>
          <w:b/>
          <w:sz w:val="20"/>
        </w:rPr>
        <w:t>Indicators</w:t>
      </w:r>
    </w:p>
    <w:p w:rsidR="00B65E80" w:rsidRDefault="00B65E80" w:rsidP="004C62B6">
      <w:pPr>
        <w:numPr>
          <w:ilvl w:val="0"/>
          <w:numId w:val="11"/>
        </w:numPr>
        <w:snapToGrid w:val="0"/>
        <w:spacing w:after="120"/>
        <w:ind w:left="1890" w:hanging="630"/>
        <w:rPr>
          <w:sz w:val="20"/>
        </w:rPr>
      </w:pPr>
      <w:r w:rsidRPr="009356FC">
        <w:rPr>
          <w:sz w:val="20"/>
        </w:rPr>
        <w:t xml:space="preserve">Guidance on control of transboundary movements used or pilot tested and experiences shared by </w:t>
      </w:r>
      <w:r w:rsidR="00FB7A32">
        <w:rPr>
          <w:sz w:val="20"/>
        </w:rPr>
        <w:t>a number of</w:t>
      </w:r>
      <w:r w:rsidRPr="009356FC">
        <w:rPr>
          <w:sz w:val="20"/>
        </w:rPr>
        <w:t xml:space="preserve"> Parties</w:t>
      </w:r>
      <w:r w:rsidR="00510DCB">
        <w:rPr>
          <w:sz w:val="20"/>
        </w:rPr>
        <w:t>;</w:t>
      </w:r>
    </w:p>
    <w:p w:rsidR="007E5549" w:rsidRPr="009356FC" w:rsidRDefault="00FB7A32" w:rsidP="004C62B6">
      <w:pPr>
        <w:numPr>
          <w:ilvl w:val="0"/>
          <w:numId w:val="11"/>
        </w:numPr>
        <w:snapToGrid w:val="0"/>
        <w:spacing w:after="120"/>
        <w:ind w:left="1890" w:hanging="630"/>
        <w:rPr>
          <w:sz w:val="20"/>
        </w:rPr>
      </w:pPr>
      <w:r>
        <w:rPr>
          <w:sz w:val="20"/>
        </w:rPr>
        <w:t>Number of</w:t>
      </w:r>
      <w:r w:rsidR="007E5549">
        <w:rPr>
          <w:sz w:val="20"/>
        </w:rPr>
        <w:t xml:space="preserve"> Parties </w:t>
      </w:r>
      <w:r w:rsidR="00D36070">
        <w:rPr>
          <w:sz w:val="20"/>
        </w:rPr>
        <w:t xml:space="preserve">that have </w:t>
      </w:r>
      <w:r w:rsidR="007E5549">
        <w:rPr>
          <w:sz w:val="20"/>
        </w:rPr>
        <w:t>developed or strengthened their l</w:t>
      </w:r>
      <w:r w:rsidR="007E5549" w:rsidRPr="009356FC">
        <w:rPr>
          <w:sz w:val="20"/>
        </w:rPr>
        <w:t>egal and institutional frameworks</w:t>
      </w:r>
      <w:r w:rsidR="007E5549">
        <w:rPr>
          <w:sz w:val="20"/>
        </w:rPr>
        <w:t>;</w:t>
      </w:r>
    </w:p>
    <w:p w:rsidR="00B65E80" w:rsidRDefault="00FB7A32" w:rsidP="004C62B6">
      <w:pPr>
        <w:numPr>
          <w:ilvl w:val="0"/>
          <w:numId w:val="11"/>
        </w:numPr>
        <w:snapToGrid w:val="0"/>
        <w:spacing w:after="120"/>
        <w:ind w:left="1890" w:hanging="630"/>
        <w:rPr>
          <w:sz w:val="20"/>
        </w:rPr>
      </w:pPr>
      <w:r>
        <w:rPr>
          <w:sz w:val="20"/>
        </w:rPr>
        <w:t xml:space="preserve">Number of </w:t>
      </w:r>
      <w:r w:rsidR="00B65E80" w:rsidRPr="009356FC">
        <w:rPr>
          <w:sz w:val="20"/>
        </w:rPr>
        <w:t>pilot projects implemented on the coordination at the national and regional level among entities involved in the enforcement chain</w:t>
      </w:r>
      <w:r w:rsidR="00D93574">
        <w:rPr>
          <w:sz w:val="20"/>
        </w:rPr>
        <w:t>;</w:t>
      </w:r>
    </w:p>
    <w:p w:rsidR="00421660" w:rsidRDefault="00421660" w:rsidP="004C62B6">
      <w:pPr>
        <w:numPr>
          <w:ilvl w:val="0"/>
          <w:numId w:val="11"/>
        </w:numPr>
        <w:snapToGrid w:val="0"/>
        <w:spacing w:after="120"/>
        <w:ind w:left="1890" w:hanging="630"/>
        <w:rPr>
          <w:sz w:val="20"/>
        </w:rPr>
      </w:pPr>
      <w:r>
        <w:rPr>
          <w:sz w:val="20"/>
        </w:rPr>
        <w:t xml:space="preserve">Technical guidelines and manuals on control schemes and transboundary movements are used and piloted tested in </w:t>
      </w:r>
      <w:r w:rsidR="00FB7A32">
        <w:rPr>
          <w:sz w:val="20"/>
        </w:rPr>
        <w:t xml:space="preserve">a number of </w:t>
      </w:r>
      <w:r>
        <w:rPr>
          <w:sz w:val="20"/>
        </w:rPr>
        <w:t>Parties;</w:t>
      </w:r>
    </w:p>
    <w:p w:rsidR="00B65E80" w:rsidRDefault="00421660" w:rsidP="004C62B6">
      <w:pPr>
        <w:numPr>
          <w:ilvl w:val="0"/>
          <w:numId w:val="11"/>
        </w:numPr>
        <w:snapToGrid w:val="0"/>
        <w:spacing w:after="120"/>
        <w:ind w:left="1890" w:hanging="630"/>
        <w:rPr>
          <w:sz w:val="20"/>
        </w:rPr>
      </w:pPr>
      <w:r>
        <w:rPr>
          <w:sz w:val="20"/>
        </w:rPr>
        <w:t>T</w:t>
      </w:r>
      <w:r w:rsidRPr="009356FC">
        <w:rPr>
          <w:sz w:val="20"/>
        </w:rPr>
        <w:t xml:space="preserve">he technical guidelines on transboundary movements of </w:t>
      </w:r>
      <w:r w:rsidR="006B3F1A" w:rsidRPr="006B3F1A">
        <w:rPr>
          <w:sz w:val="20"/>
        </w:rPr>
        <w:t xml:space="preserve">electrical and electronic waste and used electrical and electronic equipment, in particular regarding the </w:t>
      </w:r>
      <w:r w:rsidRPr="009356FC">
        <w:rPr>
          <w:sz w:val="20"/>
        </w:rPr>
        <w:t xml:space="preserve">distinction between waste and non-waste </w:t>
      </w:r>
      <w:r w:rsidR="006B3F1A" w:rsidRPr="006B3F1A">
        <w:rPr>
          <w:sz w:val="20"/>
        </w:rPr>
        <w:t>under the Basel Convention</w:t>
      </w:r>
      <w:r w:rsidR="006B3F1A">
        <w:rPr>
          <w:sz w:val="20"/>
        </w:rPr>
        <w:t xml:space="preserve"> </w:t>
      </w:r>
      <w:r>
        <w:rPr>
          <w:sz w:val="20"/>
        </w:rPr>
        <w:t xml:space="preserve">and </w:t>
      </w:r>
      <w:r w:rsidRPr="009356FC">
        <w:rPr>
          <w:sz w:val="20"/>
        </w:rPr>
        <w:t>glossary of terms</w:t>
      </w:r>
      <w:r w:rsidR="00B65E80" w:rsidRPr="009356FC">
        <w:rPr>
          <w:sz w:val="20"/>
        </w:rPr>
        <w:t xml:space="preserve"> used and experiences shared by </w:t>
      </w:r>
      <w:r w:rsidR="00FB7A32">
        <w:rPr>
          <w:sz w:val="20"/>
        </w:rPr>
        <w:t xml:space="preserve">a number of </w:t>
      </w:r>
      <w:r w:rsidR="00B65E80" w:rsidRPr="009356FC">
        <w:rPr>
          <w:sz w:val="20"/>
        </w:rPr>
        <w:t>Parties</w:t>
      </w:r>
      <w:r w:rsidR="007E5549">
        <w:rPr>
          <w:sz w:val="20"/>
        </w:rPr>
        <w:t>.</w:t>
      </w:r>
    </w:p>
    <w:p w:rsidR="00A24C6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lang w:val="en-US" w:eastAsia="en-GB"/>
        </w:rPr>
        <w:tab/>
        <w:t>2.</w:t>
      </w:r>
      <w:r>
        <w:rPr>
          <w:b/>
          <w:lang w:val="en-US" w:eastAsia="en-GB"/>
        </w:rPr>
        <w:tab/>
      </w:r>
      <w:r w:rsidR="00A86E93">
        <w:rPr>
          <w:b/>
          <w:lang w:val="en-US" w:eastAsia="en-GB"/>
        </w:rPr>
        <w:t>Outcome:</w:t>
      </w:r>
      <w:r w:rsidR="00A86E93" w:rsidRPr="009356FC">
        <w:rPr>
          <w:b/>
          <w:lang w:val="en-US" w:eastAsia="en-GB"/>
        </w:rPr>
        <w:t xml:space="preserve"> </w:t>
      </w:r>
      <w:r w:rsidR="003C655E">
        <w:rPr>
          <w:b/>
          <w:lang w:val="en-US" w:eastAsia="en-GB"/>
        </w:rPr>
        <w:t xml:space="preserve">Strengthened capacities of Parties for the </w:t>
      </w:r>
      <w:r w:rsidR="001D62D6" w:rsidRPr="009356FC">
        <w:rPr>
          <w:b/>
          <w:lang w:val="en-US" w:eastAsia="en-GB"/>
        </w:rPr>
        <w:t xml:space="preserve">environmentally sound management </w:t>
      </w:r>
      <w:r w:rsidR="005D29D5" w:rsidRPr="009356FC">
        <w:rPr>
          <w:b/>
          <w:lang w:val="en-US" w:eastAsia="en-GB"/>
        </w:rPr>
        <w:t>of hazardous and other wastes</w:t>
      </w:r>
      <w:r w:rsidR="0012155E" w:rsidRPr="009356FC">
        <w:rPr>
          <w:b/>
          <w:lang w:val="en-US" w:eastAsia="en-GB"/>
        </w:rPr>
        <w:t>, including prevention and minimization</w:t>
      </w:r>
    </w:p>
    <w:p w:rsidR="00A24C64" w:rsidRDefault="0025518C" w:rsidP="0025518C">
      <w:pPr>
        <w:keepNext/>
        <w:tabs>
          <w:tab w:val="right" w:pos="993"/>
        </w:tabs>
        <w:snapToGrid w:val="0"/>
        <w:spacing w:after="120"/>
        <w:ind w:left="1276" w:hanging="1276"/>
        <w:rPr>
          <w:b/>
          <w:sz w:val="20"/>
        </w:rPr>
      </w:pPr>
      <w:r>
        <w:rPr>
          <w:b/>
          <w:sz w:val="20"/>
        </w:rPr>
        <w:tab/>
        <w:t>(a)</w:t>
      </w:r>
      <w:r>
        <w:rPr>
          <w:b/>
          <w:sz w:val="20"/>
        </w:rPr>
        <w:tab/>
      </w:r>
      <w:r w:rsidR="00D87101">
        <w:rPr>
          <w:b/>
          <w:sz w:val="20"/>
        </w:rPr>
        <w:t>Outputs</w:t>
      </w:r>
    </w:p>
    <w:p w:rsidR="00A24C64" w:rsidRDefault="00A86E93" w:rsidP="004C62B6">
      <w:pPr>
        <w:pStyle w:val="NormalNonumber"/>
        <w:numPr>
          <w:ilvl w:val="0"/>
          <w:numId w:val="13"/>
        </w:numPr>
        <w:tabs>
          <w:tab w:val="clear" w:pos="1247"/>
          <w:tab w:val="clear" w:pos="1814"/>
          <w:tab w:val="clear" w:pos="2381"/>
          <w:tab w:val="clear" w:pos="2948"/>
          <w:tab w:val="clear" w:pos="3515"/>
          <w:tab w:val="clear" w:pos="4082"/>
        </w:tabs>
        <w:snapToGrid w:val="0"/>
        <w:ind w:left="1890" w:hanging="630"/>
        <w:rPr>
          <w:lang w:val="en-US"/>
        </w:rPr>
      </w:pPr>
      <w:r w:rsidRPr="009356FC">
        <w:rPr>
          <w:lang w:val="en-US"/>
        </w:rPr>
        <w:t xml:space="preserve">Environmentally sound management of specific waste streams, such as e-waste, POPs waste, mercury waste or other hazardous wastes is enhanced at the national level through </w:t>
      </w:r>
      <w:r w:rsidR="00A24C64" w:rsidRPr="00A24C64">
        <w:rPr>
          <w:lang w:val="en-GB"/>
        </w:rPr>
        <w:t>strategies</w:t>
      </w:r>
      <w:r w:rsidR="003C655E">
        <w:rPr>
          <w:lang w:val="en-GB"/>
        </w:rPr>
        <w:t xml:space="preserve">, </w:t>
      </w:r>
      <w:r w:rsidR="00A24C64" w:rsidRPr="00A24C64">
        <w:rPr>
          <w:lang w:val="en-GB"/>
        </w:rPr>
        <w:t xml:space="preserve"> legislation, technical norms and practical standards, as well as best practices for minimization, recycling, recovery and final disposal </w:t>
      </w:r>
      <w:r w:rsidR="00723787">
        <w:rPr>
          <w:lang w:val="en-US"/>
        </w:rPr>
        <w:t xml:space="preserve">in line with </w:t>
      </w:r>
      <w:r w:rsidR="00A24C64" w:rsidRPr="00A24C64">
        <w:rPr>
          <w:lang w:val="en-GB"/>
        </w:rPr>
        <w:t>the strategic framework for the implementation of the Basel Convention for 2012-2021</w:t>
      </w:r>
      <w:r w:rsidR="00CC1A6F">
        <w:rPr>
          <w:lang w:val="en-US"/>
        </w:rPr>
        <w:t>;</w:t>
      </w:r>
    </w:p>
    <w:p w:rsidR="00A24C64" w:rsidRDefault="00A86E93" w:rsidP="004C62B6">
      <w:pPr>
        <w:pStyle w:val="NormalNonumber"/>
        <w:numPr>
          <w:ilvl w:val="0"/>
          <w:numId w:val="13"/>
        </w:numPr>
        <w:tabs>
          <w:tab w:val="clear" w:pos="1247"/>
          <w:tab w:val="clear" w:pos="1814"/>
          <w:tab w:val="clear" w:pos="2381"/>
          <w:tab w:val="clear" w:pos="2948"/>
          <w:tab w:val="clear" w:pos="3515"/>
          <w:tab w:val="clear" w:pos="4082"/>
        </w:tabs>
        <w:snapToGrid w:val="0"/>
        <w:ind w:left="1890" w:hanging="630"/>
        <w:rPr>
          <w:lang w:val="en-US"/>
        </w:rPr>
      </w:pPr>
      <w:r w:rsidRPr="009356FC">
        <w:rPr>
          <w:lang w:val="en-GB"/>
        </w:rPr>
        <w:t>National inventories of hazardous and other wastes are available in increased number of developing countries</w:t>
      </w:r>
      <w:r w:rsidR="001B0181">
        <w:rPr>
          <w:lang w:val="en-GB"/>
        </w:rPr>
        <w:t xml:space="preserve"> for the purpose of national reporting</w:t>
      </w:r>
      <w:r w:rsidR="00CC1A6F">
        <w:rPr>
          <w:lang w:val="en-GB"/>
        </w:rPr>
        <w:t>;</w:t>
      </w:r>
    </w:p>
    <w:p w:rsidR="00C01CA3" w:rsidRPr="009356FC" w:rsidRDefault="00C01CA3" w:rsidP="004C62B6">
      <w:pPr>
        <w:pStyle w:val="NormalNonumber"/>
        <w:numPr>
          <w:ilvl w:val="0"/>
          <w:numId w:val="13"/>
        </w:numPr>
        <w:tabs>
          <w:tab w:val="clear" w:pos="1247"/>
          <w:tab w:val="clear" w:pos="1814"/>
          <w:tab w:val="clear" w:pos="2381"/>
          <w:tab w:val="clear" w:pos="2948"/>
          <w:tab w:val="clear" w:pos="3515"/>
          <w:tab w:val="clear" w:pos="4082"/>
        </w:tabs>
        <w:snapToGrid w:val="0"/>
        <w:ind w:left="1890" w:hanging="630"/>
        <w:rPr>
          <w:lang w:val="en-GB"/>
        </w:rPr>
      </w:pPr>
      <w:r>
        <w:rPr>
          <w:lang w:val="en-US"/>
        </w:rPr>
        <w:t>T</w:t>
      </w:r>
      <w:r w:rsidRPr="009356FC">
        <w:rPr>
          <w:lang w:val="en-US"/>
        </w:rPr>
        <w:t xml:space="preserve">ools and guidance on </w:t>
      </w:r>
      <w:r w:rsidR="00421660" w:rsidRPr="009356FC">
        <w:rPr>
          <w:lang w:val="en-US"/>
        </w:rPr>
        <w:t xml:space="preserve">specific waste streams </w:t>
      </w:r>
      <w:r>
        <w:rPr>
          <w:lang w:val="en-US"/>
        </w:rPr>
        <w:t>are disseminated and applied by Parties and others</w:t>
      </w:r>
      <w:r w:rsidRPr="009356FC">
        <w:rPr>
          <w:lang w:val="en-US"/>
        </w:rPr>
        <w:t>;</w:t>
      </w:r>
    </w:p>
    <w:p w:rsidR="00A24C64" w:rsidRDefault="00A86E93" w:rsidP="004C62B6">
      <w:pPr>
        <w:pStyle w:val="NormalNonumber"/>
        <w:numPr>
          <w:ilvl w:val="0"/>
          <w:numId w:val="13"/>
        </w:numPr>
        <w:tabs>
          <w:tab w:val="clear" w:pos="1247"/>
          <w:tab w:val="clear" w:pos="1814"/>
          <w:tab w:val="clear" w:pos="2381"/>
          <w:tab w:val="clear" w:pos="2948"/>
          <w:tab w:val="clear" w:pos="3515"/>
          <w:tab w:val="clear" w:pos="4082"/>
        </w:tabs>
        <w:snapToGrid w:val="0"/>
        <w:ind w:left="1890" w:hanging="630"/>
        <w:rPr>
          <w:lang w:val="en-US"/>
        </w:rPr>
      </w:pPr>
      <w:r w:rsidRPr="009356FC">
        <w:rPr>
          <w:lang w:val="en-GB"/>
        </w:rPr>
        <w:t xml:space="preserve">Parties have access to practical </w:t>
      </w:r>
      <w:r w:rsidR="001D0D81">
        <w:rPr>
          <w:lang w:val="en-GB"/>
        </w:rPr>
        <w:t xml:space="preserve">guidance documents and manuals </w:t>
      </w:r>
      <w:r w:rsidRPr="009356FC">
        <w:rPr>
          <w:lang w:val="en-GB"/>
        </w:rPr>
        <w:t xml:space="preserve">developed by the </w:t>
      </w:r>
      <w:r w:rsidRPr="009356FC">
        <w:rPr>
          <w:lang w:val="en-US"/>
        </w:rPr>
        <w:t>expert working group on environmentally sound management</w:t>
      </w:r>
      <w:r w:rsidR="00C01CA3">
        <w:rPr>
          <w:lang w:val="en-US"/>
        </w:rPr>
        <w:t xml:space="preserve"> of hazardous waste and other waste</w:t>
      </w:r>
      <w:r w:rsidR="00CC1A6F">
        <w:rPr>
          <w:lang w:val="en-US"/>
        </w:rPr>
        <w:t xml:space="preserve"> and by the proposed household w</w:t>
      </w:r>
      <w:r w:rsidR="007336F8">
        <w:rPr>
          <w:lang w:val="en-US"/>
        </w:rPr>
        <w:t xml:space="preserve">aste </w:t>
      </w:r>
      <w:r w:rsidR="00CC1A6F">
        <w:rPr>
          <w:lang w:val="en-US"/>
        </w:rPr>
        <w:t>p</w:t>
      </w:r>
      <w:r w:rsidR="007336F8">
        <w:rPr>
          <w:lang w:val="en-US"/>
        </w:rPr>
        <w:t>artnership</w:t>
      </w:r>
      <w:r w:rsidR="00CC1A6F">
        <w:rPr>
          <w:lang w:val="en-US"/>
        </w:rPr>
        <w:t>;</w:t>
      </w:r>
    </w:p>
    <w:p w:rsidR="00A24C64" w:rsidRDefault="003619F2" w:rsidP="004C62B6">
      <w:pPr>
        <w:pStyle w:val="NormalNonumber"/>
        <w:numPr>
          <w:ilvl w:val="0"/>
          <w:numId w:val="13"/>
        </w:numPr>
        <w:tabs>
          <w:tab w:val="clear" w:pos="1247"/>
          <w:tab w:val="clear" w:pos="1814"/>
          <w:tab w:val="clear" w:pos="2381"/>
          <w:tab w:val="clear" w:pos="2948"/>
          <w:tab w:val="clear" w:pos="3515"/>
          <w:tab w:val="clear" w:pos="4082"/>
        </w:tabs>
        <w:snapToGrid w:val="0"/>
        <w:ind w:left="1890" w:hanging="630"/>
        <w:rPr>
          <w:lang w:val="en-GB"/>
        </w:rPr>
      </w:pPr>
      <w:r>
        <w:rPr>
          <w:lang w:val="en-US"/>
        </w:rPr>
        <w:t xml:space="preserve">Enhanced submission rate of </w:t>
      </w:r>
      <w:r w:rsidR="00421660">
        <w:rPr>
          <w:lang w:val="en-US"/>
        </w:rPr>
        <w:t xml:space="preserve">national </w:t>
      </w:r>
      <w:r w:rsidR="001B0181" w:rsidRPr="001D0D81">
        <w:rPr>
          <w:lang w:val="en-US"/>
        </w:rPr>
        <w:t>report</w:t>
      </w:r>
      <w:r w:rsidRPr="001D0D81">
        <w:rPr>
          <w:lang w:val="en-US"/>
        </w:rPr>
        <w:t>s from Parties that participated in the technical assistance activities;</w:t>
      </w:r>
    </w:p>
    <w:p w:rsidR="00A24C64" w:rsidRPr="00345A83" w:rsidRDefault="003619F2" w:rsidP="004C62B6">
      <w:pPr>
        <w:pStyle w:val="NormalNonumber"/>
        <w:numPr>
          <w:ilvl w:val="0"/>
          <w:numId w:val="13"/>
        </w:numPr>
        <w:tabs>
          <w:tab w:val="clear" w:pos="1247"/>
          <w:tab w:val="clear" w:pos="1814"/>
          <w:tab w:val="clear" w:pos="2381"/>
          <w:tab w:val="clear" w:pos="2948"/>
          <w:tab w:val="clear" w:pos="3515"/>
          <w:tab w:val="clear" w:pos="4082"/>
        </w:tabs>
        <w:snapToGrid w:val="0"/>
        <w:ind w:left="1890" w:hanging="630"/>
        <w:rPr>
          <w:lang w:val="en-US"/>
        </w:rPr>
      </w:pPr>
      <w:r w:rsidRPr="00F1630F">
        <w:rPr>
          <w:lang w:val="en-GB"/>
        </w:rPr>
        <w:lastRenderedPageBreak/>
        <w:t>Environmentally</w:t>
      </w:r>
      <w:r w:rsidR="00A24C64" w:rsidRPr="00A24C64">
        <w:rPr>
          <w:lang w:val="en-GB"/>
        </w:rPr>
        <w:t xml:space="preserve"> sound management of hazardous and other </w:t>
      </w:r>
      <w:r w:rsidR="00183A3A" w:rsidRPr="00F1630F">
        <w:rPr>
          <w:lang w:val="en-GB"/>
        </w:rPr>
        <w:t>wastes activities</w:t>
      </w:r>
      <w:r w:rsidR="00A24C64" w:rsidRPr="00A24C64">
        <w:rPr>
          <w:lang w:val="en-GB"/>
        </w:rPr>
        <w:t xml:space="preserve"> initiated and</w:t>
      </w:r>
      <w:r w:rsidR="00183A3A" w:rsidRPr="00F1630F">
        <w:rPr>
          <w:lang w:val="en-GB"/>
        </w:rPr>
        <w:t xml:space="preserve"> </w:t>
      </w:r>
      <w:r w:rsidR="00C01CA3" w:rsidRPr="00F1630F">
        <w:rPr>
          <w:lang w:val="en-GB"/>
        </w:rPr>
        <w:t>implemented</w:t>
      </w:r>
      <w:r w:rsidR="007336F8" w:rsidRPr="00F1630F">
        <w:rPr>
          <w:lang w:val="en-GB"/>
        </w:rPr>
        <w:t xml:space="preserve"> through partnerships</w:t>
      </w:r>
      <w:r w:rsidR="00A24C64" w:rsidRPr="00A24C64">
        <w:rPr>
          <w:lang w:val="en-GB"/>
        </w:rPr>
        <w:t xml:space="preserve"> </w:t>
      </w:r>
      <w:r w:rsidR="007336F8" w:rsidRPr="00F1630F">
        <w:rPr>
          <w:lang w:val="en-GB"/>
        </w:rPr>
        <w:t>and networks</w:t>
      </w:r>
      <w:r w:rsidR="00A24C64" w:rsidRPr="00A24C64">
        <w:rPr>
          <w:lang w:val="en-GB"/>
        </w:rPr>
        <w:t xml:space="preserve"> led by other organizations</w:t>
      </w:r>
      <w:r w:rsidR="007336F8" w:rsidRPr="00F1630F">
        <w:rPr>
          <w:lang w:val="en-GB"/>
        </w:rPr>
        <w:t>.</w:t>
      </w:r>
    </w:p>
    <w:p w:rsidR="00A24C64" w:rsidRPr="0025518C" w:rsidRDefault="0025518C" w:rsidP="0025518C">
      <w:pPr>
        <w:keepNext/>
        <w:tabs>
          <w:tab w:val="right" w:pos="993"/>
        </w:tabs>
        <w:snapToGrid w:val="0"/>
        <w:spacing w:after="120"/>
        <w:ind w:left="1276" w:hanging="1276"/>
        <w:rPr>
          <w:b/>
          <w:sz w:val="20"/>
        </w:rPr>
      </w:pPr>
      <w:r w:rsidRPr="0025518C">
        <w:rPr>
          <w:b/>
          <w:sz w:val="20"/>
        </w:rPr>
        <w:tab/>
        <w:t>(b)</w:t>
      </w:r>
      <w:r w:rsidRPr="0025518C">
        <w:rPr>
          <w:b/>
          <w:sz w:val="20"/>
        </w:rPr>
        <w:tab/>
      </w:r>
      <w:r w:rsidR="00B65E80" w:rsidRPr="0025518C">
        <w:rPr>
          <w:b/>
          <w:sz w:val="20"/>
        </w:rPr>
        <w:t>Indicators</w:t>
      </w:r>
    </w:p>
    <w:p w:rsidR="00A24C64" w:rsidRPr="00904825" w:rsidRDefault="00D87101" w:rsidP="004C62B6">
      <w:pPr>
        <w:pStyle w:val="NormalNonumber"/>
        <w:numPr>
          <w:ilvl w:val="4"/>
          <w:numId w:val="14"/>
        </w:numPr>
        <w:tabs>
          <w:tab w:val="clear" w:pos="1247"/>
          <w:tab w:val="clear" w:pos="1814"/>
          <w:tab w:val="clear" w:pos="2381"/>
          <w:tab w:val="clear" w:pos="2948"/>
          <w:tab w:val="clear" w:pos="3515"/>
          <w:tab w:val="clear" w:pos="4082"/>
        </w:tabs>
        <w:snapToGrid w:val="0"/>
        <w:ind w:left="1890" w:hanging="630"/>
        <w:rPr>
          <w:lang w:val="en-US"/>
        </w:rPr>
      </w:pPr>
      <w:r>
        <w:rPr>
          <w:lang w:val="en-US" w:eastAsia="en-GB"/>
        </w:rPr>
        <w:t>Number of</w:t>
      </w:r>
      <w:r w:rsidR="00B65E80" w:rsidRPr="009356FC">
        <w:rPr>
          <w:lang w:val="en-US" w:eastAsia="en-GB"/>
        </w:rPr>
        <w:t xml:space="preserve"> </w:t>
      </w:r>
      <w:r w:rsidR="00B65E80" w:rsidRPr="009356FC">
        <w:rPr>
          <w:lang w:val="en-US"/>
        </w:rPr>
        <w:t>Parties</w:t>
      </w:r>
      <w:r w:rsidR="00D36070">
        <w:rPr>
          <w:lang w:val="en-US"/>
        </w:rPr>
        <w:t xml:space="preserve"> that have</w:t>
      </w:r>
      <w:r w:rsidR="00B65E80" w:rsidRPr="009356FC">
        <w:rPr>
          <w:lang w:val="en-US"/>
        </w:rPr>
        <w:t xml:space="preserve"> implemented activities on the environmentally sound management of e-waste, POPs waste, mercury waste or other hazardous wastes;</w:t>
      </w:r>
    </w:p>
    <w:p w:rsidR="00A24C64" w:rsidRDefault="00D87101" w:rsidP="004C62B6">
      <w:pPr>
        <w:pStyle w:val="NormalNonumber"/>
        <w:numPr>
          <w:ilvl w:val="4"/>
          <w:numId w:val="14"/>
        </w:numPr>
        <w:tabs>
          <w:tab w:val="clear" w:pos="1247"/>
          <w:tab w:val="clear" w:pos="1814"/>
          <w:tab w:val="clear" w:pos="2381"/>
          <w:tab w:val="clear" w:pos="2948"/>
          <w:tab w:val="clear" w:pos="3515"/>
          <w:tab w:val="clear" w:pos="4082"/>
        </w:tabs>
        <w:snapToGrid w:val="0"/>
        <w:ind w:left="1890" w:hanging="630"/>
        <w:rPr>
          <w:lang w:val="en-GB"/>
        </w:rPr>
      </w:pPr>
      <w:r>
        <w:rPr>
          <w:lang w:val="en-US" w:eastAsia="en-GB"/>
        </w:rPr>
        <w:t>Number of</w:t>
      </w:r>
      <w:r w:rsidRPr="009356FC">
        <w:rPr>
          <w:lang w:val="en-US" w:eastAsia="en-GB"/>
        </w:rPr>
        <w:t xml:space="preserve"> </w:t>
      </w:r>
      <w:r>
        <w:rPr>
          <w:lang w:val="en-US" w:eastAsia="en-GB"/>
        </w:rPr>
        <w:t xml:space="preserve"> </w:t>
      </w:r>
      <w:r w:rsidR="00B65E80" w:rsidRPr="009356FC">
        <w:rPr>
          <w:lang w:val="en-US"/>
        </w:rPr>
        <w:t xml:space="preserve">pilot projects on </w:t>
      </w:r>
      <w:r w:rsidR="00B65E80" w:rsidRPr="009356FC">
        <w:rPr>
          <w:lang w:val="en-GB"/>
        </w:rPr>
        <w:t>the development of national inventories of hazardous and other wastes</w:t>
      </w:r>
      <w:r w:rsidR="00D93574" w:rsidRPr="00D93574">
        <w:rPr>
          <w:lang w:val="en-US"/>
        </w:rPr>
        <w:t xml:space="preserve"> </w:t>
      </w:r>
      <w:r w:rsidR="00D93574" w:rsidRPr="009356FC">
        <w:rPr>
          <w:lang w:val="en-US"/>
        </w:rPr>
        <w:t>are implemented</w:t>
      </w:r>
      <w:r w:rsidR="00B65E80" w:rsidRPr="009356FC">
        <w:rPr>
          <w:lang w:val="en-GB"/>
        </w:rPr>
        <w:t>;</w:t>
      </w:r>
    </w:p>
    <w:p w:rsidR="00D93574" w:rsidRPr="00D93574" w:rsidRDefault="00D93574" w:rsidP="004C62B6">
      <w:pPr>
        <w:pStyle w:val="NormalNonumber"/>
        <w:numPr>
          <w:ilvl w:val="4"/>
          <w:numId w:val="14"/>
        </w:numPr>
        <w:tabs>
          <w:tab w:val="clear" w:pos="1247"/>
          <w:tab w:val="clear" w:pos="1814"/>
          <w:tab w:val="clear" w:pos="2381"/>
          <w:tab w:val="clear" w:pos="2948"/>
          <w:tab w:val="clear" w:pos="3515"/>
          <w:tab w:val="clear" w:pos="4082"/>
        </w:tabs>
        <w:snapToGrid w:val="0"/>
        <w:ind w:left="1890" w:hanging="630"/>
        <w:rPr>
          <w:lang w:val="en-GB"/>
        </w:rPr>
      </w:pPr>
      <w:r>
        <w:rPr>
          <w:lang w:val="en-US"/>
        </w:rPr>
        <w:t>Tools</w:t>
      </w:r>
      <w:r w:rsidRPr="009356FC">
        <w:rPr>
          <w:lang w:val="en-US"/>
        </w:rPr>
        <w:t xml:space="preserve"> and manuals on specific waste streams used or pilot tested and experiences shared by </w:t>
      </w:r>
      <w:r w:rsidR="00D87101">
        <w:rPr>
          <w:lang w:val="en-US"/>
        </w:rPr>
        <w:t>a n</w:t>
      </w:r>
      <w:r w:rsidR="00D87101">
        <w:rPr>
          <w:lang w:val="en-US" w:eastAsia="en-GB"/>
        </w:rPr>
        <w:t>umber of</w:t>
      </w:r>
      <w:r w:rsidR="00D87101" w:rsidRPr="009356FC">
        <w:rPr>
          <w:lang w:val="en-US" w:eastAsia="en-GB"/>
        </w:rPr>
        <w:t xml:space="preserve"> </w:t>
      </w:r>
      <w:r>
        <w:rPr>
          <w:lang w:val="en-US"/>
        </w:rPr>
        <w:t>P</w:t>
      </w:r>
      <w:r w:rsidR="004279B0">
        <w:rPr>
          <w:lang w:val="en-US"/>
        </w:rPr>
        <w:t>arties per year;</w:t>
      </w:r>
    </w:p>
    <w:p w:rsidR="00A24C64" w:rsidRPr="00A24C64" w:rsidRDefault="00B65E80" w:rsidP="004C62B6">
      <w:pPr>
        <w:pStyle w:val="NormalNonumber"/>
        <w:numPr>
          <w:ilvl w:val="4"/>
          <w:numId w:val="14"/>
        </w:numPr>
        <w:tabs>
          <w:tab w:val="clear" w:pos="1247"/>
          <w:tab w:val="clear" w:pos="1814"/>
          <w:tab w:val="clear" w:pos="2381"/>
          <w:tab w:val="clear" w:pos="2948"/>
          <w:tab w:val="clear" w:pos="3515"/>
          <w:tab w:val="clear" w:pos="4082"/>
        </w:tabs>
        <w:snapToGrid w:val="0"/>
        <w:ind w:left="1890" w:hanging="630"/>
        <w:rPr>
          <w:lang w:val="en-GB"/>
        </w:rPr>
      </w:pPr>
      <w:r w:rsidRPr="009356FC">
        <w:rPr>
          <w:lang w:val="en-US"/>
        </w:rPr>
        <w:t xml:space="preserve">Guidance documents, manuals and factsheets developed </w:t>
      </w:r>
      <w:r w:rsidR="001D0D81">
        <w:rPr>
          <w:lang w:val="en-US"/>
        </w:rPr>
        <w:t xml:space="preserve">and </w:t>
      </w:r>
      <w:r w:rsidR="001D0D81" w:rsidRPr="009356FC">
        <w:rPr>
          <w:lang w:val="en-US"/>
        </w:rPr>
        <w:t xml:space="preserve">disseminated </w:t>
      </w:r>
      <w:r w:rsidRPr="009356FC">
        <w:rPr>
          <w:lang w:val="en-US"/>
        </w:rPr>
        <w:t xml:space="preserve">by the expert working group on environmentally sound management </w:t>
      </w:r>
      <w:r w:rsidR="00D93574">
        <w:rPr>
          <w:lang w:val="en-US"/>
        </w:rPr>
        <w:t xml:space="preserve">and by the </w:t>
      </w:r>
      <w:r w:rsidR="00D93574" w:rsidRPr="009356FC">
        <w:rPr>
          <w:lang w:val="en-US"/>
        </w:rPr>
        <w:t xml:space="preserve">proposed </w:t>
      </w:r>
      <w:r w:rsidR="001D0D81">
        <w:rPr>
          <w:lang w:val="en-US"/>
        </w:rPr>
        <w:t>h</w:t>
      </w:r>
      <w:r w:rsidR="00D93574" w:rsidRPr="009356FC">
        <w:rPr>
          <w:lang w:val="en-US"/>
        </w:rPr>
        <w:t xml:space="preserve">ousehold </w:t>
      </w:r>
      <w:r w:rsidR="001D0D81">
        <w:rPr>
          <w:lang w:val="en-US"/>
        </w:rPr>
        <w:t>w</w:t>
      </w:r>
      <w:r w:rsidR="00D93574" w:rsidRPr="009356FC">
        <w:rPr>
          <w:lang w:val="en-US"/>
        </w:rPr>
        <w:t xml:space="preserve">aste </w:t>
      </w:r>
      <w:r w:rsidR="001D0D81">
        <w:rPr>
          <w:lang w:val="en-US"/>
        </w:rPr>
        <w:t>p</w:t>
      </w:r>
      <w:r w:rsidR="00D93574" w:rsidRPr="009356FC">
        <w:rPr>
          <w:lang w:val="en-US"/>
        </w:rPr>
        <w:t>artnership</w:t>
      </w:r>
      <w:r w:rsidR="00D93574">
        <w:rPr>
          <w:lang w:val="en-US"/>
        </w:rPr>
        <w:t>;</w:t>
      </w:r>
    </w:p>
    <w:p w:rsidR="00A24C64" w:rsidRPr="00A24C64" w:rsidRDefault="00D87101" w:rsidP="004C62B6">
      <w:pPr>
        <w:pStyle w:val="NormalNonumber"/>
        <w:numPr>
          <w:ilvl w:val="4"/>
          <w:numId w:val="14"/>
        </w:numPr>
        <w:tabs>
          <w:tab w:val="clear" w:pos="1247"/>
          <w:tab w:val="clear" w:pos="1814"/>
          <w:tab w:val="clear" w:pos="2381"/>
          <w:tab w:val="clear" w:pos="2948"/>
          <w:tab w:val="clear" w:pos="3515"/>
          <w:tab w:val="clear" w:pos="4082"/>
        </w:tabs>
        <w:snapToGrid w:val="0"/>
        <w:ind w:left="1890" w:hanging="630"/>
        <w:rPr>
          <w:lang w:val="en-GB"/>
        </w:rPr>
      </w:pPr>
      <w:r>
        <w:rPr>
          <w:lang w:val="en-US" w:eastAsia="en-GB"/>
        </w:rPr>
        <w:t>Number of</w:t>
      </w:r>
      <w:r w:rsidRPr="009356FC">
        <w:rPr>
          <w:lang w:val="en-US" w:eastAsia="en-GB"/>
        </w:rPr>
        <w:t xml:space="preserve"> </w:t>
      </w:r>
      <w:r w:rsidR="00A24C64" w:rsidRPr="00A24C64">
        <w:rPr>
          <w:lang w:val="en-GB"/>
        </w:rPr>
        <w:t>Parties trained on the use of a new reporting format  under the Basel Convention</w:t>
      </w:r>
      <w:r w:rsidR="003619F2">
        <w:rPr>
          <w:lang w:val="en-GB"/>
        </w:rPr>
        <w:t>;</w:t>
      </w:r>
    </w:p>
    <w:p w:rsidR="00A24C64" w:rsidRDefault="00B65E80" w:rsidP="004C62B6">
      <w:pPr>
        <w:pStyle w:val="NormalNonumber"/>
        <w:numPr>
          <w:ilvl w:val="4"/>
          <w:numId w:val="14"/>
        </w:numPr>
        <w:tabs>
          <w:tab w:val="clear" w:pos="1247"/>
          <w:tab w:val="clear" w:pos="1814"/>
          <w:tab w:val="clear" w:pos="2381"/>
          <w:tab w:val="clear" w:pos="2948"/>
          <w:tab w:val="clear" w:pos="3515"/>
          <w:tab w:val="clear" w:pos="4082"/>
        </w:tabs>
        <w:snapToGrid w:val="0"/>
        <w:ind w:left="1890" w:hanging="630"/>
        <w:rPr>
          <w:lang w:val="en-GB"/>
        </w:rPr>
      </w:pPr>
      <w:r w:rsidRPr="009356FC">
        <w:rPr>
          <w:lang w:val="en-US"/>
        </w:rPr>
        <w:t xml:space="preserve">Number of interventions per year that promote the implementation of the BRS conventions in partnerships and networks managed by partners like UNEP (mercury, PCB elimination, waste management), </w:t>
      </w:r>
      <w:r w:rsidR="00B2531B">
        <w:rPr>
          <w:lang w:val="en-US"/>
        </w:rPr>
        <w:t xml:space="preserve">the </w:t>
      </w:r>
      <w:r w:rsidR="00B2531B" w:rsidRPr="00B2531B">
        <w:rPr>
          <w:lang w:val="en-US"/>
        </w:rPr>
        <w:t xml:space="preserve">United Nations University </w:t>
      </w:r>
      <w:r w:rsidRPr="009356FC">
        <w:rPr>
          <w:lang w:val="en-US"/>
        </w:rPr>
        <w:t xml:space="preserve">(electrical and electronic waste), </w:t>
      </w:r>
      <w:r w:rsidR="00B2531B">
        <w:rPr>
          <w:lang w:val="en-US"/>
        </w:rPr>
        <w:t xml:space="preserve">the </w:t>
      </w:r>
      <w:r w:rsidR="00B2531B" w:rsidRPr="00B2531B">
        <w:rPr>
          <w:lang w:val="en-US"/>
        </w:rPr>
        <w:t>International Telecommunication Union</w:t>
      </w:r>
      <w:r w:rsidRPr="009356FC">
        <w:rPr>
          <w:lang w:val="en-US"/>
        </w:rPr>
        <w:t xml:space="preserve">, </w:t>
      </w:r>
      <w:r w:rsidR="00B2531B">
        <w:rPr>
          <w:lang w:val="en-US"/>
        </w:rPr>
        <w:t xml:space="preserve">the </w:t>
      </w:r>
      <w:r w:rsidR="00B2531B" w:rsidRPr="00B2531B">
        <w:rPr>
          <w:lang w:val="en-US"/>
        </w:rPr>
        <w:t xml:space="preserve">United Nations Conference on Trade and Development </w:t>
      </w:r>
      <w:r w:rsidRPr="009356FC">
        <w:rPr>
          <w:lang w:val="en-US"/>
        </w:rPr>
        <w:t xml:space="preserve"> (measuring ICT/electronic waste).</w:t>
      </w:r>
    </w:p>
    <w:p w:rsidR="00EB0EDA" w:rsidRPr="0025518C"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sz w:val="24"/>
          <w:szCs w:val="24"/>
          <w:lang w:val="en-US"/>
        </w:rPr>
      </w:pPr>
      <w:r w:rsidRPr="0025518C">
        <w:rPr>
          <w:b/>
          <w:sz w:val="24"/>
          <w:szCs w:val="24"/>
          <w:lang w:val="en-US"/>
        </w:rPr>
        <w:tab/>
      </w:r>
      <w:r w:rsidR="008B3E4A" w:rsidRPr="0025518C">
        <w:rPr>
          <w:b/>
          <w:sz w:val="24"/>
          <w:szCs w:val="24"/>
          <w:lang w:val="en-US"/>
        </w:rPr>
        <w:t>B.</w:t>
      </w:r>
      <w:r w:rsidR="008B3E4A" w:rsidRPr="0025518C">
        <w:rPr>
          <w:b/>
          <w:sz w:val="24"/>
          <w:szCs w:val="24"/>
          <w:lang w:val="en-US"/>
        </w:rPr>
        <w:tab/>
      </w:r>
      <w:r w:rsidR="00C32B96" w:rsidRPr="0025518C">
        <w:rPr>
          <w:b/>
          <w:sz w:val="24"/>
          <w:szCs w:val="24"/>
          <w:lang w:val="en-US"/>
        </w:rPr>
        <w:t>Rotterdam Convention</w:t>
      </w:r>
    </w:p>
    <w:p w:rsidR="00A24C6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lang w:val="en-US" w:eastAsia="en-GB"/>
        </w:rPr>
        <w:tab/>
      </w:r>
      <w:r w:rsidR="001B7FF2">
        <w:rPr>
          <w:b/>
          <w:lang w:val="en-US" w:eastAsia="en-GB"/>
        </w:rPr>
        <w:t>1.</w:t>
      </w:r>
      <w:r w:rsidR="001B7FF2">
        <w:rPr>
          <w:b/>
          <w:lang w:val="en-US" w:eastAsia="en-GB"/>
        </w:rPr>
        <w:tab/>
      </w:r>
      <w:r w:rsidR="00DB576B">
        <w:rPr>
          <w:b/>
          <w:lang w:val="en-US" w:eastAsia="en-GB"/>
        </w:rPr>
        <w:t>Outcome: Availability of new and updated</w:t>
      </w:r>
      <w:r w:rsidR="00C32B96" w:rsidRPr="009356FC">
        <w:rPr>
          <w:b/>
          <w:lang w:val="en-US" w:eastAsia="en-GB"/>
        </w:rPr>
        <w:t xml:space="preserve"> </w:t>
      </w:r>
      <w:r w:rsidR="00DB576B">
        <w:rPr>
          <w:b/>
          <w:lang w:val="en-US" w:eastAsia="en-GB"/>
        </w:rPr>
        <w:t>guidance documents</w:t>
      </w:r>
      <w:r w:rsidR="00C32B96" w:rsidRPr="009356FC">
        <w:rPr>
          <w:b/>
          <w:lang w:val="en-US" w:eastAsia="en-GB"/>
        </w:rPr>
        <w:t xml:space="preserve"> under the Rotterdam Convention</w:t>
      </w:r>
    </w:p>
    <w:p w:rsidR="00A24C64" w:rsidRDefault="0025518C" w:rsidP="0025518C">
      <w:pPr>
        <w:keepNext/>
        <w:tabs>
          <w:tab w:val="right" w:pos="993"/>
        </w:tabs>
        <w:snapToGrid w:val="0"/>
        <w:spacing w:after="120"/>
        <w:ind w:left="1276" w:hanging="1276"/>
        <w:rPr>
          <w:b/>
          <w:sz w:val="20"/>
        </w:rPr>
      </w:pPr>
      <w:r>
        <w:rPr>
          <w:b/>
          <w:sz w:val="20"/>
        </w:rPr>
        <w:tab/>
      </w:r>
      <w:r w:rsidR="001B7FF2">
        <w:rPr>
          <w:b/>
          <w:sz w:val="20"/>
        </w:rPr>
        <w:t>(a)</w:t>
      </w:r>
      <w:r w:rsidR="001B7FF2">
        <w:rPr>
          <w:b/>
          <w:sz w:val="20"/>
        </w:rPr>
        <w:tab/>
      </w:r>
      <w:r w:rsidR="00D87101">
        <w:rPr>
          <w:b/>
          <w:sz w:val="20"/>
        </w:rPr>
        <w:t>Outputs</w:t>
      </w:r>
    </w:p>
    <w:p w:rsidR="00EE690A" w:rsidRPr="009356FC" w:rsidRDefault="00EE690A" w:rsidP="004C62B6">
      <w:pPr>
        <w:pStyle w:val="NormalNonumber"/>
        <w:numPr>
          <w:ilvl w:val="0"/>
          <w:numId w:val="15"/>
        </w:numPr>
        <w:tabs>
          <w:tab w:val="clear" w:pos="1814"/>
        </w:tabs>
        <w:snapToGrid w:val="0"/>
        <w:ind w:left="1890" w:hanging="630"/>
        <w:rPr>
          <w:color w:val="000000" w:themeColor="text1"/>
          <w:lang w:val="en-US"/>
        </w:rPr>
      </w:pPr>
      <w:r w:rsidRPr="009356FC">
        <w:rPr>
          <w:color w:val="000000" w:themeColor="text1"/>
          <w:lang w:val="en-US"/>
        </w:rPr>
        <w:t xml:space="preserve">Updated guidance for the </w:t>
      </w:r>
      <w:r w:rsidR="00DB576B" w:rsidRPr="009356FC">
        <w:rPr>
          <w:lang w:val="en-GB"/>
        </w:rPr>
        <w:t>the identification of elements of national action plans on the implementation of the Rotterdam Convention</w:t>
      </w:r>
      <w:r w:rsidR="00DB576B" w:rsidRPr="009356FC" w:rsidDel="00DB576B">
        <w:rPr>
          <w:color w:val="000000" w:themeColor="text1"/>
          <w:lang w:val="en-US"/>
        </w:rPr>
        <w:t xml:space="preserve"> </w:t>
      </w:r>
      <w:r w:rsidRPr="009356FC">
        <w:rPr>
          <w:color w:val="000000" w:themeColor="text1"/>
          <w:lang w:val="en-US"/>
        </w:rPr>
        <w:t>available</w:t>
      </w:r>
      <w:r w:rsidR="00293DD7">
        <w:rPr>
          <w:color w:val="000000" w:themeColor="text1"/>
          <w:lang w:val="en-US"/>
        </w:rPr>
        <w:t xml:space="preserve"> and disseminated to Parties</w:t>
      </w:r>
      <w:r w:rsidR="00293DD7" w:rsidRPr="00293DD7">
        <w:rPr>
          <w:color w:val="000000" w:themeColor="text1"/>
          <w:lang w:val="en-US"/>
        </w:rPr>
        <w:t xml:space="preserve"> </w:t>
      </w:r>
      <w:r w:rsidR="00293DD7">
        <w:rPr>
          <w:color w:val="000000" w:themeColor="text1"/>
          <w:lang w:val="en-US"/>
        </w:rPr>
        <w:t>and others</w:t>
      </w:r>
      <w:r w:rsidRPr="009356FC">
        <w:rPr>
          <w:color w:val="000000" w:themeColor="text1"/>
          <w:lang w:val="en-US"/>
        </w:rPr>
        <w:t>;</w:t>
      </w:r>
    </w:p>
    <w:p w:rsidR="00293DD7" w:rsidRDefault="00293DD7" w:rsidP="004C62B6">
      <w:pPr>
        <w:pStyle w:val="NormalNonumber"/>
        <w:numPr>
          <w:ilvl w:val="0"/>
          <w:numId w:val="15"/>
        </w:numPr>
        <w:tabs>
          <w:tab w:val="clear" w:pos="1814"/>
        </w:tabs>
        <w:snapToGrid w:val="0"/>
        <w:ind w:left="1890" w:hanging="630"/>
        <w:rPr>
          <w:color w:val="000000" w:themeColor="text1"/>
          <w:lang w:val="en-US"/>
        </w:rPr>
      </w:pPr>
      <w:r>
        <w:rPr>
          <w:lang w:val="en-GB"/>
        </w:rPr>
        <w:t xml:space="preserve">Guidance on the </w:t>
      </w:r>
      <w:r w:rsidRPr="009356FC">
        <w:rPr>
          <w:lang w:val="en-GB"/>
        </w:rPr>
        <w:t>use of bridging information for final regulatory actions</w:t>
      </w:r>
      <w:r w:rsidRPr="009356FC">
        <w:rPr>
          <w:color w:val="000000" w:themeColor="text1"/>
          <w:lang w:val="en-US"/>
        </w:rPr>
        <w:t xml:space="preserve"> </w:t>
      </w:r>
      <w:r>
        <w:rPr>
          <w:color w:val="000000" w:themeColor="text1"/>
          <w:lang w:val="en-US"/>
        </w:rPr>
        <w:t xml:space="preserve"> available and disseminated to Parties</w:t>
      </w:r>
      <w:r w:rsidRPr="00293DD7">
        <w:rPr>
          <w:color w:val="000000" w:themeColor="text1"/>
          <w:lang w:val="en-US"/>
        </w:rPr>
        <w:t xml:space="preserve"> </w:t>
      </w:r>
      <w:r>
        <w:rPr>
          <w:color w:val="000000" w:themeColor="text1"/>
          <w:lang w:val="en-US"/>
        </w:rPr>
        <w:t>and others;</w:t>
      </w:r>
    </w:p>
    <w:p w:rsidR="00EE690A" w:rsidRPr="009356FC" w:rsidRDefault="00EE690A" w:rsidP="004C62B6">
      <w:pPr>
        <w:pStyle w:val="NormalNonumber"/>
        <w:numPr>
          <w:ilvl w:val="0"/>
          <w:numId w:val="15"/>
        </w:numPr>
        <w:tabs>
          <w:tab w:val="clear" w:pos="1814"/>
        </w:tabs>
        <w:snapToGrid w:val="0"/>
        <w:ind w:left="1890" w:hanging="630"/>
        <w:rPr>
          <w:color w:val="000000" w:themeColor="text1"/>
          <w:lang w:val="en-US"/>
        </w:rPr>
      </w:pPr>
      <w:r w:rsidRPr="009356FC">
        <w:rPr>
          <w:color w:val="000000" w:themeColor="text1"/>
          <w:lang w:val="en-US"/>
        </w:rPr>
        <w:t>Guidance material</w:t>
      </w:r>
      <w:r w:rsidR="00DB576B">
        <w:rPr>
          <w:color w:val="000000" w:themeColor="text1"/>
          <w:lang w:val="en-US"/>
        </w:rPr>
        <w:t>s</w:t>
      </w:r>
      <w:r w:rsidRPr="009356FC">
        <w:rPr>
          <w:color w:val="000000" w:themeColor="text1"/>
          <w:lang w:val="en-US"/>
        </w:rPr>
        <w:t xml:space="preserve"> on vulnerable groups made available</w:t>
      </w:r>
      <w:r w:rsidR="00293DD7">
        <w:rPr>
          <w:color w:val="000000" w:themeColor="text1"/>
          <w:lang w:val="en-US"/>
        </w:rPr>
        <w:t xml:space="preserve"> and disseminated to Parties</w:t>
      </w:r>
      <w:r w:rsidR="00293DD7" w:rsidRPr="00293DD7">
        <w:rPr>
          <w:color w:val="000000" w:themeColor="text1"/>
          <w:lang w:val="en-US"/>
        </w:rPr>
        <w:t xml:space="preserve"> </w:t>
      </w:r>
      <w:r w:rsidR="00293DD7">
        <w:rPr>
          <w:color w:val="000000" w:themeColor="text1"/>
          <w:lang w:val="en-US"/>
        </w:rPr>
        <w:t>and others</w:t>
      </w:r>
      <w:r w:rsidRPr="009356FC">
        <w:rPr>
          <w:color w:val="000000" w:themeColor="text1"/>
          <w:lang w:val="en-US"/>
        </w:rPr>
        <w:t>;</w:t>
      </w:r>
    </w:p>
    <w:p w:rsidR="00EE690A" w:rsidRPr="009356FC" w:rsidRDefault="00EE690A" w:rsidP="004C62B6">
      <w:pPr>
        <w:pStyle w:val="NormalNonumber"/>
        <w:numPr>
          <w:ilvl w:val="0"/>
          <w:numId w:val="15"/>
        </w:numPr>
        <w:tabs>
          <w:tab w:val="clear" w:pos="1814"/>
        </w:tabs>
        <w:snapToGrid w:val="0"/>
        <w:ind w:left="1890" w:hanging="630"/>
        <w:rPr>
          <w:color w:val="000000" w:themeColor="text1"/>
          <w:lang w:val="en-US"/>
        </w:rPr>
      </w:pPr>
      <w:r w:rsidRPr="009356FC">
        <w:rPr>
          <w:color w:val="000000" w:themeColor="text1"/>
          <w:lang w:val="en-US"/>
        </w:rPr>
        <w:t xml:space="preserve">Information </w:t>
      </w:r>
      <w:r w:rsidR="00DB576B">
        <w:rPr>
          <w:color w:val="000000" w:themeColor="text1"/>
          <w:lang w:val="en-US"/>
        </w:rPr>
        <w:t xml:space="preserve">documents </w:t>
      </w:r>
      <w:r w:rsidR="00DB576B" w:rsidRPr="009356FC">
        <w:rPr>
          <w:lang w:val="en-GB"/>
        </w:rPr>
        <w:t>on alternatives to chemical substances considered under the Rotterdam Convention</w:t>
      </w:r>
      <w:r w:rsidRPr="009356FC">
        <w:rPr>
          <w:color w:val="000000" w:themeColor="text1"/>
          <w:lang w:val="en-US"/>
        </w:rPr>
        <w:t xml:space="preserve"> </w:t>
      </w:r>
      <w:r w:rsidR="00DB576B">
        <w:rPr>
          <w:color w:val="000000" w:themeColor="text1"/>
          <w:lang w:val="en-US"/>
        </w:rPr>
        <w:t>prepared</w:t>
      </w:r>
      <w:r w:rsidR="00293DD7">
        <w:rPr>
          <w:color w:val="000000" w:themeColor="text1"/>
          <w:lang w:val="en-US"/>
        </w:rPr>
        <w:t xml:space="preserve"> and disseminated to Parties and others</w:t>
      </w:r>
      <w:r w:rsidR="004279B0">
        <w:rPr>
          <w:color w:val="000000" w:themeColor="text1"/>
          <w:lang w:val="en-US"/>
        </w:rPr>
        <w:t>.</w:t>
      </w:r>
    </w:p>
    <w:p w:rsidR="00A24C64" w:rsidRPr="0025518C" w:rsidRDefault="0025518C" w:rsidP="0025518C">
      <w:pPr>
        <w:keepNext/>
        <w:tabs>
          <w:tab w:val="right" w:pos="993"/>
        </w:tabs>
        <w:snapToGrid w:val="0"/>
        <w:spacing w:after="120"/>
        <w:ind w:left="1276" w:hanging="1276"/>
        <w:rPr>
          <w:b/>
          <w:sz w:val="20"/>
        </w:rPr>
      </w:pPr>
      <w:r w:rsidRPr="0025518C">
        <w:rPr>
          <w:b/>
          <w:sz w:val="20"/>
        </w:rPr>
        <w:tab/>
      </w:r>
      <w:r w:rsidR="001B7FF2" w:rsidRPr="0025518C">
        <w:rPr>
          <w:b/>
          <w:sz w:val="20"/>
        </w:rPr>
        <w:t xml:space="preserve">(b) </w:t>
      </w:r>
      <w:r w:rsidR="001B7FF2" w:rsidRPr="0025518C">
        <w:rPr>
          <w:b/>
          <w:sz w:val="20"/>
        </w:rPr>
        <w:tab/>
      </w:r>
      <w:r w:rsidR="00B65E80" w:rsidRPr="0025518C">
        <w:rPr>
          <w:b/>
          <w:sz w:val="20"/>
        </w:rPr>
        <w:t>Indicators</w:t>
      </w:r>
    </w:p>
    <w:p w:rsidR="00B65E80" w:rsidRPr="009356FC" w:rsidRDefault="00B65E80" w:rsidP="004C62B6">
      <w:pPr>
        <w:pStyle w:val="NormalNonumber"/>
        <w:numPr>
          <w:ilvl w:val="0"/>
          <w:numId w:val="16"/>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 xml:space="preserve">Guidance for development of national </w:t>
      </w:r>
      <w:r w:rsidR="00421660">
        <w:rPr>
          <w:lang w:val="en-GB"/>
        </w:rPr>
        <w:t xml:space="preserve">action </w:t>
      </w:r>
      <w:r w:rsidR="00421660" w:rsidRPr="009356FC">
        <w:rPr>
          <w:lang w:val="en-GB"/>
        </w:rPr>
        <w:t xml:space="preserve"> </w:t>
      </w:r>
      <w:r w:rsidRPr="009356FC">
        <w:rPr>
          <w:lang w:val="en-GB"/>
        </w:rPr>
        <w:t xml:space="preserve">plans applied by </w:t>
      </w:r>
      <w:r w:rsidR="00D87101">
        <w:rPr>
          <w:lang w:val="en-GB"/>
        </w:rPr>
        <w:t xml:space="preserve">a number of </w:t>
      </w:r>
      <w:r w:rsidRPr="009356FC">
        <w:rPr>
          <w:lang w:val="en-GB"/>
        </w:rPr>
        <w:t xml:space="preserve"> Parties;</w:t>
      </w:r>
    </w:p>
    <w:p w:rsidR="00B65E80" w:rsidRPr="009356FC" w:rsidRDefault="00B65E80" w:rsidP="004C62B6">
      <w:pPr>
        <w:pStyle w:val="NormalNonumber"/>
        <w:numPr>
          <w:ilvl w:val="0"/>
          <w:numId w:val="16"/>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Guidance on bridging information made available to Parties in three languages;</w:t>
      </w:r>
    </w:p>
    <w:p w:rsidR="00B65E80" w:rsidRPr="009356FC" w:rsidRDefault="00B65E80" w:rsidP="004C62B6">
      <w:pPr>
        <w:pStyle w:val="NormalNonumber"/>
        <w:numPr>
          <w:ilvl w:val="0"/>
          <w:numId w:val="16"/>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 xml:space="preserve">Guidance on work with vulnerable groups made available to and applied in </w:t>
      </w:r>
      <w:r w:rsidR="00D87101">
        <w:rPr>
          <w:lang w:val="en-GB"/>
        </w:rPr>
        <w:t xml:space="preserve">a number of </w:t>
      </w:r>
      <w:r w:rsidRPr="009356FC">
        <w:rPr>
          <w:lang w:val="en-GB"/>
        </w:rPr>
        <w:t>pilot countries;</w:t>
      </w:r>
    </w:p>
    <w:p w:rsidR="00B65E80" w:rsidRPr="009356FC" w:rsidRDefault="00B65E80" w:rsidP="004C62B6">
      <w:pPr>
        <w:pStyle w:val="NormalNonumber"/>
        <w:numPr>
          <w:ilvl w:val="0"/>
          <w:numId w:val="16"/>
        </w:numPr>
        <w:tabs>
          <w:tab w:val="clear" w:pos="1814"/>
        </w:tabs>
        <w:snapToGrid w:val="0"/>
        <w:ind w:left="1890" w:hanging="630"/>
        <w:rPr>
          <w:color w:val="000000" w:themeColor="text1"/>
          <w:lang w:val="en-US"/>
        </w:rPr>
      </w:pPr>
      <w:r w:rsidRPr="009356FC">
        <w:rPr>
          <w:color w:val="000000" w:themeColor="text1"/>
          <w:lang w:val="en-US"/>
        </w:rPr>
        <w:t xml:space="preserve">Information document on alternatives field tested </w:t>
      </w:r>
      <w:r w:rsidR="004279B0">
        <w:rPr>
          <w:color w:val="000000" w:themeColor="text1"/>
          <w:lang w:val="en-US"/>
        </w:rPr>
        <w:t xml:space="preserve">in </w:t>
      </w:r>
      <w:r w:rsidR="00D87101" w:rsidRPr="009356FC">
        <w:rPr>
          <w:lang w:val="en-GB"/>
        </w:rPr>
        <w:t xml:space="preserve">by </w:t>
      </w:r>
      <w:r w:rsidR="00D87101">
        <w:rPr>
          <w:lang w:val="en-GB"/>
        </w:rPr>
        <w:t xml:space="preserve">a number of </w:t>
      </w:r>
      <w:r w:rsidR="004279B0">
        <w:rPr>
          <w:color w:val="000000" w:themeColor="text1"/>
          <w:lang w:val="en-US"/>
        </w:rPr>
        <w:t>countries.</w:t>
      </w:r>
    </w:p>
    <w:p w:rsidR="00A24C6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lang w:val="en-US" w:eastAsia="en-GB"/>
        </w:rPr>
        <w:tab/>
        <w:t>2.</w:t>
      </w:r>
      <w:r>
        <w:rPr>
          <w:b/>
          <w:lang w:val="en-US" w:eastAsia="en-GB"/>
        </w:rPr>
        <w:tab/>
      </w:r>
      <w:r w:rsidR="00811B2B">
        <w:rPr>
          <w:b/>
          <w:lang w:val="en-US" w:eastAsia="en-GB"/>
        </w:rPr>
        <w:t>Outcome</w:t>
      </w:r>
      <w:r w:rsidR="00811B2B">
        <w:rPr>
          <w:b/>
          <w:lang w:val="en-US"/>
        </w:rPr>
        <w:t xml:space="preserve">: </w:t>
      </w:r>
      <w:r w:rsidR="00A54A52" w:rsidRPr="009356FC">
        <w:rPr>
          <w:b/>
          <w:lang w:val="en-US"/>
        </w:rPr>
        <w:t>Strengthen</w:t>
      </w:r>
      <w:r w:rsidR="00A54A52">
        <w:rPr>
          <w:b/>
          <w:lang w:val="en-US"/>
        </w:rPr>
        <w:t>ed</w:t>
      </w:r>
      <w:r w:rsidR="00A54A52" w:rsidRPr="009356FC">
        <w:rPr>
          <w:b/>
          <w:lang w:val="en-US"/>
        </w:rPr>
        <w:t xml:space="preserve"> </w:t>
      </w:r>
      <w:r w:rsidR="00E74C15" w:rsidRPr="009356FC">
        <w:rPr>
          <w:b/>
          <w:lang w:val="en-US"/>
        </w:rPr>
        <w:t>functions and procedures</w:t>
      </w:r>
      <w:r w:rsidR="00911F94" w:rsidRPr="009356FC">
        <w:rPr>
          <w:b/>
          <w:lang w:val="en-US"/>
        </w:rPr>
        <w:t xml:space="preserve"> of the Rotterdam Convention</w:t>
      </w:r>
    </w:p>
    <w:p w:rsidR="00A24C64" w:rsidRDefault="0025518C" w:rsidP="0025518C">
      <w:pPr>
        <w:keepNext/>
        <w:tabs>
          <w:tab w:val="right" w:pos="993"/>
        </w:tabs>
        <w:snapToGrid w:val="0"/>
        <w:spacing w:after="120"/>
        <w:ind w:left="1276" w:hanging="1276"/>
        <w:rPr>
          <w:b/>
          <w:sz w:val="20"/>
        </w:rPr>
      </w:pPr>
      <w:r>
        <w:rPr>
          <w:b/>
          <w:sz w:val="20"/>
        </w:rPr>
        <w:tab/>
        <w:t>(a)</w:t>
      </w:r>
      <w:r>
        <w:rPr>
          <w:b/>
          <w:sz w:val="20"/>
        </w:rPr>
        <w:tab/>
      </w:r>
      <w:r w:rsidR="00D87101">
        <w:rPr>
          <w:b/>
          <w:sz w:val="20"/>
        </w:rPr>
        <w:t>Outputs</w:t>
      </w:r>
    </w:p>
    <w:p w:rsidR="00A24C64" w:rsidRPr="001B7FF2" w:rsidRDefault="00BB4D84" w:rsidP="004C62B6">
      <w:pPr>
        <w:pStyle w:val="ListParagraph"/>
        <w:numPr>
          <w:ilvl w:val="2"/>
          <w:numId w:val="19"/>
        </w:numPr>
        <w:snapToGrid w:val="0"/>
        <w:spacing w:after="120"/>
        <w:ind w:left="1890" w:hanging="630"/>
        <w:contextualSpacing w:val="0"/>
        <w:rPr>
          <w:sz w:val="20"/>
          <w:lang w:val="en-US"/>
        </w:rPr>
      </w:pPr>
      <w:r w:rsidRPr="001B7FF2">
        <w:rPr>
          <w:sz w:val="20"/>
        </w:rPr>
        <w:t>National regulatory frameworks and sub-regional approaches</w:t>
      </w:r>
      <w:r w:rsidR="00811B2B" w:rsidRPr="001B7FF2">
        <w:rPr>
          <w:sz w:val="20"/>
        </w:rPr>
        <w:t xml:space="preserve"> are consistent with </w:t>
      </w:r>
      <w:r w:rsidR="001B0181" w:rsidRPr="001B7FF2">
        <w:rPr>
          <w:sz w:val="20"/>
        </w:rPr>
        <w:t xml:space="preserve">the </w:t>
      </w:r>
      <w:r w:rsidR="001B0181" w:rsidRPr="001B7FF2">
        <w:rPr>
          <w:sz w:val="20"/>
          <w:lang w:val="en-US"/>
        </w:rPr>
        <w:t>requirements</w:t>
      </w:r>
      <w:r w:rsidR="00811B2B" w:rsidRPr="001B7FF2">
        <w:rPr>
          <w:sz w:val="20"/>
          <w:lang w:val="en-US"/>
        </w:rPr>
        <w:t xml:space="preserve"> of the Rotterdam Convention</w:t>
      </w:r>
      <w:r w:rsidRPr="001B7FF2">
        <w:rPr>
          <w:sz w:val="20"/>
          <w:lang w:val="en-US"/>
        </w:rPr>
        <w:t>;</w:t>
      </w:r>
    </w:p>
    <w:p w:rsidR="00BB4D84" w:rsidRPr="009356FC" w:rsidRDefault="00561A8C" w:rsidP="004C62B6">
      <w:pPr>
        <w:pStyle w:val="NormalNonumber"/>
        <w:numPr>
          <w:ilvl w:val="0"/>
          <w:numId w:val="19"/>
        </w:numPr>
        <w:tabs>
          <w:tab w:val="clear" w:pos="1247"/>
          <w:tab w:val="clear" w:pos="1814"/>
          <w:tab w:val="clear" w:pos="2381"/>
          <w:tab w:val="clear" w:pos="2948"/>
          <w:tab w:val="clear" w:pos="3515"/>
          <w:tab w:val="clear" w:pos="4082"/>
        </w:tabs>
        <w:snapToGrid w:val="0"/>
        <w:ind w:left="1890" w:hanging="630"/>
        <w:rPr>
          <w:lang w:val="en-GB"/>
        </w:rPr>
      </w:pPr>
      <w:r>
        <w:rPr>
          <w:lang w:val="en-GB"/>
        </w:rPr>
        <w:t>C</w:t>
      </w:r>
      <w:r w:rsidR="00BB4D84" w:rsidRPr="009356FC">
        <w:rPr>
          <w:lang w:val="en-GB"/>
        </w:rPr>
        <w:t>ompl</w:t>
      </w:r>
      <w:r>
        <w:rPr>
          <w:lang w:val="en-GB"/>
        </w:rPr>
        <w:t>iance</w:t>
      </w:r>
      <w:r w:rsidR="00BB4D84" w:rsidRPr="009356FC">
        <w:rPr>
          <w:lang w:val="en-GB"/>
        </w:rPr>
        <w:t xml:space="preserve"> with export notification requirements for chemicals addressed by the Rotterdam Convention;</w:t>
      </w:r>
    </w:p>
    <w:p w:rsidR="00BB4D84" w:rsidRDefault="00561A8C" w:rsidP="004C62B6">
      <w:pPr>
        <w:pStyle w:val="NormalNonumber"/>
        <w:numPr>
          <w:ilvl w:val="0"/>
          <w:numId w:val="19"/>
        </w:numPr>
        <w:tabs>
          <w:tab w:val="clear" w:pos="1247"/>
          <w:tab w:val="clear" w:pos="1814"/>
          <w:tab w:val="clear" w:pos="2381"/>
          <w:tab w:val="clear" w:pos="2948"/>
          <w:tab w:val="clear" w:pos="3515"/>
          <w:tab w:val="clear" w:pos="4082"/>
        </w:tabs>
        <w:snapToGrid w:val="0"/>
        <w:ind w:left="1890" w:hanging="630"/>
        <w:rPr>
          <w:lang w:val="en-US"/>
        </w:rPr>
      </w:pPr>
      <w:r>
        <w:rPr>
          <w:lang w:val="en-US"/>
        </w:rPr>
        <w:t>R</w:t>
      </w:r>
      <w:r w:rsidR="00811B2B" w:rsidRPr="00811B2B">
        <w:rPr>
          <w:lang w:val="en-US"/>
        </w:rPr>
        <w:t>isk evaluations of hazardous chemicals and pesticides</w:t>
      </w:r>
      <w:r w:rsidR="007C2436">
        <w:rPr>
          <w:lang w:val="en-US"/>
        </w:rPr>
        <w:t xml:space="preserve">, </w:t>
      </w:r>
      <w:r w:rsidR="00811B2B" w:rsidRPr="00811B2B">
        <w:rPr>
          <w:lang w:val="en-US"/>
        </w:rPr>
        <w:t xml:space="preserve">take decisions on final regulatory action </w:t>
      </w:r>
      <w:r w:rsidR="00811B2B">
        <w:rPr>
          <w:lang w:val="en-US"/>
        </w:rPr>
        <w:t xml:space="preserve">(FRAs) </w:t>
      </w:r>
      <w:r w:rsidR="00811B2B" w:rsidRPr="00811B2B">
        <w:rPr>
          <w:lang w:val="en-US"/>
        </w:rPr>
        <w:t>and prepar</w:t>
      </w:r>
      <w:r>
        <w:rPr>
          <w:lang w:val="en-US"/>
        </w:rPr>
        <w:t xml:space="preserve">ation of </w:t>
      </w:r>
      <w:r w:rsidR="00811B2B" w:rsidRPr="00811B2B">
        <w:rPr>
          <w:lang w:val="en-US"/>
        </w:rPr>
        <w:t xml:space="preserve"> notifications</w:t>
      </w:r>
      <w:r w:rsidR="004279B0">
        <w:rPr>
          <w:lang w:val="en-US"/>
        </w:rPr>
        <w:t>;</w:t>
      </w:r>
    </w:p>
    <w:p w:rsidR="00BB4D84" w:rsidRPr="009356FC" w:rsidRDefault="00561A8C" w:rsidP="004C62B6">
      <w:pPr>
        <w:pStyle w:val="NormalNonumber"/>
        <w:numPr>
          <w:ilvl w:val="0"/>
          <w:numId w:val="19"/>
        </w:numPr>
        <w:tabs>
          <w:tab w:val="clear" w:pos="1247"/>
          <w:tab w:val="clear" w:pos="1814"/>
          <w:tab w:val="clear" w:pos="2381"/>
          <w:tab w:val="clear" w:pos="2948"/>
          <w:tab w:val="clear" w:pos="3515"/>
          <w:tab w:val="clear" w:pos="4082"/>
        </w:tabs>
        <w:snapToGrid w:val="0"/>
        <w:ind w:left="1890" w:hanging="630"/>
        <w:rPr>
          <w:lang w:val="en-US"/>
        </w:rPr>
      </w:pPr>
      <w:r>
        <w:rPr>
          <w:lang w:val="en-GB"/>
        </w:rPr>
        <w:t>Submission of I</w:t>
      </w:r>
      <w:proofErr w:type="spellStart"/>
      <w:r w:rsidR="00C32B96" w:rsidRPr="009356FC">
        <w:rPr>
          <w:lang w:val="en-US"/>
        </w:rPr>
        <w:t>mport</w:t>
      </w:r>
      <w:proofErr w:type="spellEnd"/>
      <w:r w:rsidR="00C32B96" w:rsidRPr="009356FC">
        <w:rPr>
          <w:lang w:val="en-US"/>
        </w:rPr>
        <w:t xml:space="preserve"> </w:t>
      </w:r>
      <w:r>
        <w:rPr>
          <w:lang w:val="en-US"/>
        </w:rPr>
        <w:t>R</w:t>
      </w:r>
      <w:r w:rsidRPr="009356FC">
        <w:rPr>
          <w:lang w:val="en-US"/>
        </w:rPr>
        <w:t>esponses</w:t>
      </w:r>
      <w:r w:rsidR="00C32B96" w:rsidRPr="009356FC">
        <w:rPr>
          <w:lang w:val="en-US"/>
        </w:rPr>
        <w:t>;</w:t>
      </w:r>
    </w:p>
    <w:p w:rsidR="00BB4D84" w:rsidRDefault="00811B2B" w:rsidP="004C62B6">
      <w:pPr>
        <w:pStyle w:val="NormalNonumber"/>
        <w:numPr>
          <w:ilvl w:val="0"/>
          <w:numId w:val="19"/>
        </w:numPr>
        <w:tabs>
          <w:tab w:val="clear" w:pos="1247"/>
          <w:tab w:val="clear" w:pos="1814"/>
          <w:tab w:val="clear" w:pos="2381"/>
          <w:tab w:val="clear" w:pos="2948"/>
          <w:tab w:val="clear" w:pos="3515"/>
          <w:tab w:val="clear" w:pos="4082"/>
        </w:tabs>
        <w:snapToGrid w:val="0"/>
        <w:ind w:left="1890" w:hanging="630"/>
        <w:rPr>
          <w:lang w:val="en-US"/>
        </w:rPr>
      </w:pPr>
      <w:r>
        <w:rPr>
          <w:lang w:val="en-US"/>
        </w:rPr>
        <w:t>I</w:t>
      </w:r>
      <w:r w:rsidR="00BB4D84" w:rsidRPr="009356FC">
        <w:rPr>
          <w:lang w:val="en-US"/>
        </w:rPr>
        <w:t>ntegrate</w:t>
      </w:r>
      <w:r>
        <w:rPr>
          <w:lang w:val="en-US"/>
        </w:rPr>
        <w:t xml:space="preserve">d approach </w:t>
      </w:r>
      <w:r w:rsidR="00BB4D84" w:rsidRPr="009356FC">
        <w:rPr>
          <w:lang w:val="en-US"/>
        </w:rPr>
        <w:t xml:space="preserve">on pesticide management both the work on </w:t>
      </w:r>
      <w:r w:rsidR="00BB4D84" w:rsidRPr="009356FC">
        <w:rPr>
          <w:lang w:val="en-GB"/>
        </w:rPr>
        <w:t>identification of Severely Hazardous Pesticide Formulations (SHPF) and on Highly Hazardous Pesticides (HHPs)</w:t>
      </w:r>
      <w:r w:rsidR="003704D5" w:rsidRPr="009356FC">
        <w:rPr>
          <w:lang w:val="en-GB"/>
        </w:rPr>
        <w:t xml:space="preserve"> </w:t>
      </w:r>
      <w:r>
        <w:rPr>
          <w:lang w:val="en-US"/>
        </w:rPr>
        <w:t>on the national level</w:t>
      </w:r>
      <w:r w:rsidR="004279B0">
        <w:rPr>
          <w:lang w:val="en-US"/>
        </w:rPr>
        <w:t>.</w:t>
      </w:r>
    </w:p>
    <w:p w:rsidR="00A24C64" w:rsidRDefault="0025518C" w:rsidP="0025518C">
      <w:pPr>
        <w:keepNext/>
        <w:tabs>
          <w:tab w:val="right" w:pos="993"/>
        </w:tabs>
        <w:snapToGrid w:val="0"/>
        <w:spacing w:after="120"/>
        <w:ind w:left="1276" w:hanging="1276"/>
        <w:rPr>
          <w:b/>
          <w:sz w:val="20"/>
        </w:rPr>
      </w:pPr>
      <w:r>
        <w:rPr>
          <w:b/>
          <w:sz w:val="20"/>
        </w:rPr>
        <w:lastRenderedPageBreak/>
        <w:tab/>
        <w:t>(b)</w:t>
      </w:r>
      <w:r>
        <w:rPr>
          <w:b/>
          <w:sz w:val="20"/>
        </w:rPr>
        <w:tab/>
      </w:r>
      <w:r w:rsidR="00B65E80" w:rsidRPr="009356FC">
        <w:rPr>
          <w:b/>
          <w:sz w:val="20"/>
        </w:rPr>
        <w:t>Indicators</w:t>
      </w:r>
    </w:p>
    <w:p w:rsidR="00811B2B" w:rsidRDefault="00811B2B" w:rsidP="004C62B6">
      <w:pPr>
        <w:numPr>
          <w:ilvl w:val="0"/>
          <w:numId w:val="20"/>
        </w:numPr>
        <w:snapToGrid w:val="0"/>
        <w:spacing w:after="120"/>
        <w:ind w:left="1890" w:hanging="630"/>
        <w:rPr>
          <w:sz w:val="20"/>
        </w:rPr>
      </w:pPr>
      <w:r w:rsidRPr="00811B2B">
        <w:rPr>
          <w:sz w:val="20"/>
        </w:rPr>
        <w:t xml:space="preserve">National regulatory frameworks and sub-regional approaches including National Action Plans are available in </w:t>
      </w:r>
      <w:r w:rsidR="00561A8C">
        <w:rPr>
          <w:sz w:val="20"/>
        </w:rPr>
        <w:t>a number of</w:t>
      </w:r>
      <w:r w:rsidR="00421660" w:rsidRPr="00811B2B">
        <w:rPr>
          <w:sz w:val="20"/>
        </w:rPr>
        <w:t xml:space="preserve"> </w:t>
      </w:r>
      <w:r w:rsidRPr="00811B2B">
        <w:rPr>
          <w:sz w:val="20"/>
        </w:rPr>
        <w:t>countries;</w:t>
      </w:r>
    </w:p>
    <w:p w:rsidR="00421660" w:rsidRPr="00421660" w:rsidRDefault="00561A8C" w:rsidP="004C62B6">
      <w:pPr>
        <w:numPr>
          <w:ilvl w:val="0"/>
          <w:numId w:val="20"/>
        </w:numPr>
        <w:snapToGrid w:val="0"/>
        <w:spacing w:after="120"/>
        <w:ind w:left="1890" w:hanging="630"/>
        <w:rPr>
          <w:sz w:val="18"/>
        </w:rPr>
      </w:pPr>
      <w:r>
        <w:rPr>
          <w:sz w:val="20"/>
        </w:rPr>
        <w:t xml:space="preserve">Number of </w:t>
      </w:r>
      <w:r w:rsidR="00421660" w:rsidRPr="009356FC">
        <w:rPr>
          <w:sz w:val="20"/>
        </w:rPr>
        <w:t xml:space="preserve">Parties </w:t>
      </w:r>
      <w:r>
        <w:rPr>
          <w:sz w:val="20"/>
        </w:rPr>
        <w:t xml:space="preserve">that </w:t>
      </w:r>
      <w:r w:rsidR="00F566CE">
        <w:rPr>
          <w:sz w:val="20"/>
        </w:rPr>
        <w:t xml:space="preserve">have </w:t>
      </w:r>
      <w:r w:rsidR="00421660" w:rsidRPr="009356FC">
        <w:rPr>
          <w:sz w:val="20"/>
        </w:rPr>
        <w:t>developed a plan or  strategy to implement the provisions relating to export of chemicals under the Rotterdam Convention</w:t>
      </w:r>
      <w:r w:rsidR="00421660">
        <w:rPr>
          <w:sz w:val="20"/>
        </w:rPr>
        <w:t>;</w:t>
      </w:r>
    </w:p>
    <w:p w:rsidR="003619F2" w:rsidRPr="00A26101" w:rsidRDefault="00561A8C" w:rsidP="004C62B6">
      <w:pPr>
        <w:numPr>
          <w:ilvl w:val="0"/>
          <w:numId w:val="20"/>
        </w:numPr>
        <w:snapToGrid w:val="0"/>
        <w:spacing w:after="120"/>
        <w:ind w:left="1890" w:hanging="630"/>
        <w:rPr>
          <w:sz w:val="20"/>
        </w:rPr>
      </w:pPr>
      <w:r>
        <w:rPr>
          <w:sz w:val="20"/>
        </w:rPr>
        <w:t xml:space="preserve">Number of  </w:t>
      </w:r>
      <w:r w:rsidR="003619F2" w:rsidRPr="00A26101">
        <w:rPr>
          <w:sz w:val="20"/>
        </w:rPr>
        <w:t>Parties</w:t>
      </w:r>
      <w:r>
        <w:rPr>
          <w:sz w:val="20"/>
        </w:rPr>
        <w:t xml:space="preserve"> that </w:t>
      </w:r>
      <w:r w:rsidR="00F566CE">
        <w:rPr>
          <w:sz w:val="20"/>
        </w:rPr>
        <w:t xml:space="preserve">have </w:t>
      </w:r>
      <w:r w:rsidR="003619F2" w:rsidRPr="00A26101">
        <w:rPr>
          <w:sz w:val="20"/>
        </w:rPr>
        <w:t xml:space="preserve"> identified and evaluated chemicals for FRAs</w:t>
      </w:r>
      <w:r w:rsidR="00AF3F01" w:rsidRPr="00A26101">
        <w:rPr>
          <w:sz w:val="20"/>
        </w:rPr>
        <w:t>;</w:t>
      </w:r>
    </w:p>
    <w:p w:rsidR="009A74F7" w:rsidRPr="009356FC" w:rsidRDefault="00561A8C" w:rsidP="004C62B6">
      <w:pPr>
        <w:numPr>
          <w:ilvl w:val="0"/>
          <w:numId w:val="20"/>
        </w:numPr>
        <w:snapToGrid w:val="0"/>
        <w:spacing w:after="120"/>
        <w:ind w:left="1890" w:hanging="630"/>
        <w:rPr>
          <w:sz w:val="20"/>
        </w:rPr>
      </w:pPr>
      <w:r>
        <w:rPr>
          <w:sz w:val="20"/>
        </w:rPr>
        <w:t xml:space="preserve">Number of </w:t>
      </w:r>
      <w:r w:rsidR="009A74F7">
        <w:rPr>
          <w:sz w:val="20"/>
        </w:rPr>
        <w:t xml:space="preserve">Parties </w:t>
      </w:r>
      <w:r>
        <w:rPr>
          <w:sz w:val="20"/>
        </w:rPr>
        <w:t xml:space="preserve">that </w:t>
      </w:r>
      <w:r w:rsidR="00F566CE">
        <w:rPr>
          <w:sz w:val="20"/>
        </w:rPr>
        <w:t xml:space="preserve">have </w:t>
      </w:r>
      <w:r w:rsidR="009A74F7">
        <w:rPr>
          <w:sz w:val="20"/>
        </w:rPr>
        <w:t>prepared Import Responses</w:t>
      </w:r>
      <w:r w:rsidR="007C2436">
        <w:rPr>
          <w:sz w:val="20"/>
        </w:rPr>
        <w:t>, as needed</w:t>
      </w:r>
      <w:r w:rsidR="009A74F7">
        <w:rPr>
          <w:sz w:val="20"/>
        </w:rPr>
        <w:t>;</w:t>
      </w:r>
    </w:p>
    <w:p w:rsidR="00B65E80" w:rsidRPr="009356FC" w:rsidRDefault="00561A8C" w:rsidP="004C62B6">
      <w:pPr>
        <w:numPr>
          <w:ilvl w:val="0"/>
          <w:numId w:val="20"/>
        </w:numPr>
        <w:snapToGrid w:val="0"/>
        <w:spacing w:after="120"/>
        <w:ind w:left="1890" w:hanging="630"/>
        <w:rPr>
          <w:sz w:val="20"/>
        </w:rPr>
      </w:pPr>
      <w:proofErr w:type="gramStart"/>
      <w:r>
        <w:rPr>
          <w:sz w:val="20"/>
        </w:rPr>
        <w:t>Number</w:t>
      </w:r>
      <w:proofErr w:type="gramEnd"/>
      <w:r>
        <w:rPr>
          <w:sz w:val="20"/>
        </w:rPr>
        <w:t xml:space="preserve"> of </w:t>
      </w:r>
      <w:r w:rsidR="00B65E80" w:rsidRPr="009356FC">
        <w:rPr>
          <w:sz w:val="20"/>
        </w:rPr>
        <w:t xml:space="preserve">Parties </w:t>
      </w:r>
      <w:r>
        <w:rPr>
          <w:sz w:val="20"/>
        </w:rPr>
        <w:t xml:space="preserve">that </w:t>
      </w:r>
      <w:r w:rsidR="00B65E80" w:rsidRPr="009356FC">
        <w:rPr>
          <w:sz w:val="20"/>
        </w:rPr>
        <w:t>monitored and reported problems caused by SHPF</w:t>
      </w:r>
      <w:r w:rsidR="007D6031">
        <w:rPr>
          <w:sz w:val="20"/>
        </w:rPr>
        <w:t>s</w:t>
      </w:r>
      <w:r w:rsidR="00B65E80" w:rsidRPr="009356FC">
        <w:rPr>
          <w:sz w:val="20"/>
        </w:rPr>
        <w:t xml:space="preserve"> and have identified joint activities on identification of SHPFs and HHPs</w:t>
      </w:r>
      <w:r w:rsidR="009A74F7">
        <w:rPr>
          <w:sz w:val="20"/>
        </w:rPr>
        <w:t>.</w:t>
      </w:r>
    </w:p>
    <w:p w:rsidR="00FE18F8" w:rsidRPr="0025518C"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color w:val="000000" w:themeColor="text1"/>
          <w:sz w:val="24"/>
          <w:szCs w:val="24"/>
          <w:lang w:val="en-US"/>
        </w:rPr>
      </w:pPr>
      <w:r w:rsidRPr="0025518C">
        <w:rPr>
          <w:b/>
          <w:sz w:val="24"/>
          <w:szCs w:val="24"/>
          <w:lang w:val="en-US"/>
        </w:rPr>
        <w:tab/>
      </w:r>
      <w:r w:rsidR="008B3E4A" w:rsidRPr="0025518C">
        <w:rPr>
          <w:b/>
          <w:sz w:val="24"/>
          <w:szCs w:val="24"/>
          <w:lang w:val="en-US"/>
        </w:rPr>
        <w:t>C.</w:t>
      </w:r>
      <w:r w:rsidR="008B3E4A" w:rsidRPr="0025518C">
        <w:rPr>
          <w:b/>
          <w:sz w:val="24"/>
          <w:szCs w:val="24"/>
          <w:lang w:val="en-US"/>
        </w:rPr>
        <w:tab/>
        <w:t>S</w:t>
      </w:r>
      <w:r w:rsidR="00C32B96" w:rsidRPr="0025518C">
        <w:rPr>
          <w:b/>
          <w:sz w:val="24"/>
          <w:szCs w:val="24"/>
          <w:lang w:val="en-US"/>
        </w:rPr>
        <w:t>tockholm Convention</w:t>
      </w:r>
    </w:p>
    <w:p w:rsidR="00A24C6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lang w:val="en-US"/>
        </w:rPr>
        <w:tab/>
      </w:r>
      <w:r w:rsidR="001B7FF2">
        <w:rPr>
          <w:b/>
          <w:lang w:val="en-US"/>
        </w:rPr>
        <w:t>1.</w:t>
      </w:r>
      <w:r w:rsidR="001B7FF2">
        <w:rPr>
          <w:b/>
          <w:lang w:val="en-US"/>
        </w:rPr>
        <w:tab/>
      </w:r>
      <w:r w:rsidR="00A54A52">
        <w:rPr>
          <w:b/>
          <w:lang w:val="en-US"/>
        </w:rPr>
        <w:t xml:space="preserve">Outcome: </w:t>
      </w:r>
      <w:r w:rsidR="00265B0A">
        <w:rPr>
          <w:b/>
          <w:lang w:val="en-US"/>
        </w:rPr>
        <w:t xml:space="preserve">Legal </w:t>
      </w:r>
      <w:r w:rsidR="00773F94">
        <w:rPr>
          <w:b/>
          <w:lang w:val="en-US"/>
        </w:rPr>
        <w:t xml:space="preserve">and </w:t>
      </w:r>
      <w:r w:rsidR="006A5427">
        <w:rPr>
          <w:b/>
          <w:lang w:val="en-US"/>
        </w:rPr>
        <w:t>i</w:t>
      </w:r>
      <w:r w:rsidR="00773F94">
        <w:rPr>
          <w:b/>
          <w:lang w:val="en-US"/>
        </w:rPr>
        <w:t xml:space="preserve">nstitutional </w:t>
      </w:r>
      <w:r w:rsidR="00265B0A">
        <w:rPr>
          <w:b/>
          <w:lang w:val="en-US"/>
        </w:rPr>
        <w:t>frameworks and n</w:t>
      </w:r>
      <w:r w:rsidR="00FA463E" w:rsidRPr="009356FC">
        <w:rPr>
          <w:b/>
          <w:lang w:val="en-US"/>
        </w:rPr>
        <w:t xml:space="preserve">ational implementation plans </w:t>
      </w:r>
      <w:r w:rsidR="00F955AC" w:rsidRPr="009356FC">
        <w:rPr>
          <w:b/>
          <w:lang w:val="en-US"/>
        </w:rPr>
        <w:t xml:space="preserve">(NIPs) </w:t>
      </w:r>
      <w:r w:rsidR="004C43BD">
        <w:rPr>
          <w:b/>
          <w:lang w:val="en-US"/>
        </w:rPr>
        <w:t>are r</w:t>
      </w:r>
      <w:r w:rsidR="004C43BD" w:rsidRPr="009356FC">
        <w:rPr>
          <w:b/>
          <w:lang w:val="en-US"/>
        </w:rPr>
        <w:t>eview</w:t>
      </w:r>
      <w:r w:rsidR="004C43BD">
        <w:rPr>
          <w:b/>
          <w:lang w:val="en-US"/>
        </w:rPr>
        <w:t>ed</w:t>
      </w:r>
      <w:r w:rsidR="004C43BD" w:rsidRPr="009356FC">
        <w:rPr>
          <w:b/>
          <w:lang w:val="en-US"/>
        </w:rPr>
        <w:t xml:space="preserve"> and update</w:t>
      </w:r>
      <w:r w:rsidR="004C43BD">
        <w:rPr>
          <w:b/>
          <w:lang w:val="en-US"/>
        </w:rPr>
        <w:t>d</w:t>
      </w:r>
      <w:r w:rsidR="0029652E">
        <w:rPr>
          <w:b/>
          <w:lang w:val="en-US"/>
        </w:rPr>
        <w:t>,</w:t>
      </w:r>
      <w:r w:rsidR="004C43BD">
        <w:rPr>
          <w:b/>
          <w:lang w:val="en-US"/>
        </w:rPr>
        <w:t xml:space="preserve"> supported by </w:t>
      </w:r>
      <w:r w:rsidR="00FA463E" w:rsidRPr="009356FC">
        <w:rPr>
          <w:b/>
          <w:lang w:val="en-US"/>
        </w:rPr>
        <w:t>guidance for newly listed chemicals</w:t>
      </w:r>
    </w:p>
    <w:p w:rsidR="00A24C64" w:rsidRDefault="0025518C" w:rsidP="0025518C">
      <w:pPr>
        <w:keepNext/>
        <w:tabs>
          <w:tab w:val="right" w:pos="993"/>
        </w:tabs>
        <w:snapToGrid w:val="0"/>
        <w:spacing w:after="120"/>
        <w:ind w:left="1276" w:hanging="1276"/>
        <w:rPr>
          <w:b/>
          <w:sz w:val="20"/>
        </w:rPr>
      </w:pPr>
      <w:r>
        <w:rPr>
          <w:b/>
          <w:sz w:val="20"/>
        </w:rPr>
        <w:tab/>
        <w:t>(a)</w:t>
      </w:r>
      <w:r>
        <w:rPr>
          <w:b/>
          <w:sz w:val="20"/>
        </w:rPr>
        <w:tab/>
      </w:r>
      <w:r w:rsidR="00D87101">
        <w:rPr>
          <w:b/>
          <w:sz w:val="20"/>
        </w:rPr>
        <w:t>Outputs</w:t>
      </w:r>
    </w:p>
    <w:p w:rsidR="00FF05F1" w:rsidRPr="009356FC" w:rsidRDefault="00FF05F1" w:rsidP="004C62B6">
      <w:pPr>
        <w:pStyle w:val="NormalNonumber"/>
        <w:numPr>
          <w:ilvl w:val="0"/>
          <w:numId w:val="22"/>
        </w:numPr>
        <w:tabs>
          <w:tab w:val="clear" w:pos="1247"/>
          <w:tab w:val="clear" w:pos="1814"/>
          <w:tab w:val="clear" w:pos="2381"/>
          <w:tab w:val="clear" w:pos="2948"/>
          <w:tab w:val="clear" w:pos="3515"/>
          <w:tab w:val="clear" w:pos="4082"/>
        </w:tabs>
        <w:snapToGrid w:val="0"/>
        <w:ind w:left="1890" w:hanging="630"/>
        <w:rPr>
          <w:lang w:val="en-US"/>
        </w:rPr>
      </w:pPr>
      <w:r w:rsidRPr="009356FC">
        <w:rPr>
          <w:lang w:val="en-GB"/>
        </w:rPr>
        <w:t>Parties have access to user-friendly and updated guidance documents to develop and review their NIPs</w:t>
      </w:r>
      <w:r w:rsidRPr="009356FC">
        <w:rPr>
          <w:lang w:val="en-US"/>
        </w:rPr>
        <w:t>;</w:t>
      </w:r>
    </w:p>
    <w:p w:rsidR="00733A37" w:rsidRDefault="00733A37" w:rsidP="004C62B6">
      <w:pPr>
        <w:pStyle w:val="NormalNonumber"/>
        <w:numPr>
          <w:ilvl w:val="0"/>
          <w:numId w:val="22"/>
        </w:numPr>
        <w:tabs>
          <w:tab w:val="clear" w:pos="1247"/>
          <w:tab w:val="clear" w:pos="1814"/>
          <w:tab w:val="clear" w:pos="2381"/>
          <w:tab w:val="clear" w:pos="2948"/>
          <w:tab w:val="clear" w:pos="3515"/>
          <w:tab w:val="clear" w:pos="4082"/>
        </w:tabs>
        <w:snapToGrid w:val="0"/>
        <w:ind w:left="1890" w:hanging="630"/>
        <w:rPr>
          <w:lang w:val="en-GB"/>
        </w:rPr>
      </w:pPr>
      <w:r>
        <w:rPr>
          <w:lang w:val="en-US"/>
        </w:rPr>
        <w:t>I</w:t>
      </w:r>
      <w:proofErr w:type="spellStart"/>
      <w:r w:rsidR="00A24C64" w:rsidRPr="00A24C64">
        <w:rPr>
          <w:lang w:val="en-GB"/>
        </w:rPr>
        <w:t>nventory</w:t>
      </w:r>
      <w:proofErr w:type="spellEnd"/>
      <w:r w:rsidR="00A24C64" w:rsidRPr="00A24C64">
        <w:rPr>
          <w:lang w:val="en-GB"/>
        </w:rPr>
        <w:t xml:space="preserve"> and management guidance for the newly listed POPs</w:t>
      </w:r>
      <w:r>
        <w:rPr>
          <w:lang w:val="en-GB"/>
        </w:rPr>
        <w:t xml:space="preserve"> is d</w:t>
      </w:r>
      <w:r w:rsidRPr="00733A37">
        <w:rPr>
          <w:lang w:val="en-GB"/>
        </w:rPr>
        <w:t>evelop</w:t>
      </w:r>
      <w:r>
        <w:rPr>
          <w:lang w:val="en-GB"/>
        </w:rPr>
        <w:t>ed</w:t>
      </w:r>
      <w:r w:rsidRPr="00733A37">
        <w:rPr>
          <w:lang w:val="en-GB"/>
        </w:rPr>
        <w:t>, test</w:t>
      </w:r>
      <w:r>
        <w:rPr>
          <w:lang w:val="en-GB"/>
        </w:rPr>
        <w:t>ed</w:t>
      </w:r>
      <w:r w:rsidRPr="00733A37">
        <w:rPr>
          <w:lang w:val="en-GB"/>
        </w:rPr>
        <w:t xml:space="preserve"> and validat</w:t>
      </w:r>
      <w:r>
        <w:rPr>
          <w:lang w:val="en-GB"/>
        </w:rPr>
        <w:t>ed</w:t>
      </w:r>
      <w:r w:rsidR="00A24C64" w:rsidRPr="00A24C64">
        <w:rPr>
          <w:lang w:val="en-GB"/>
        </w:rPr>
        <w:t>;</w:t>
      </w:r>
    </w:p>
    <w:p w:rsidR="00FF05F1" w:rsidRDefault="00733A37" w:rsidP="004C62B6">
      <w:pPr>
        <w:pStyle w:val="NormalNonumber"/>
        <w:numPr>
          <w:ilvl w:val="0"/>
          <w:numId w:val="22"/>
        </w:numPr>
        <w:tabs>
          <w:tab w:val="clear" w:pos="1247"/>
          <w:tab w:val="clear" w:pos="1814"/>
          <w:tab w:val="clear" w:pos="2381"/>
          <w:tab w:val="clear" w:pos="2948"/>
          <w:tab w:val="clear" w:pos="3515"/>
          <w:tab w:val="clear" w:pos="4082"/>
        </w:tabs>
        <w:snapToGrid w:val="0"/>
        <w:ind w:left="1890" w:hanging="630"/>
        <w:rPr>
          <w:lang w:val="en-US"/>
        </w:rPr>
      </w:pPr>
      <w:r>
        <w:rPr>
          <w:lang w:val="en-US"/>
        </w:rPr>
        <w:t xml:space="preserve">Parties are trained on </w:t>
      </w:r>
      <w:r w:rsidR="00A24C64" w:rsidRPr="00A24C64">
        <w:rPr>
          <w:lang w:val="en-GB"/>
        </w:rPr>
        <w:t xml:space="preserve">the review and update of NIPs addressing topics such as the use of relevant guidance, inventories, strategies, priorities, </w:t>
      </w:r>
      <w:r w:rsidR="00B86048">
        <w:rPr>
          <w:lang w:val="en-GB"/>
        </w:rPr>
        <w:t xml:space="preserve">and the </w:t>
      </w:r>
      <w:r w:rsidR="00B86048" w:rsidRPr="00B86048">
        <w:rPr>
          <w:lang w:val="en-GB"/>
        </w:rPr>
        <w:t>formulation of action plans to take relevant measures to address obligations with regard to the newly listed chemicals</w:t>
      </w:r>
      <w:r w:rsidR="0029652E">
        <w:rPr>
          <w:lang w:val="en-GB"/>
        </w:rPr>
        <w:t xml:space="preserve">; </w:t>
      </w:r>
    </w:p>
    <w:p w:rsidR="00265B0A" w:rsidRPr="009356FC" w:rsidRDefault="00F566CE" w:rsidP="004C62B6">
      <w:pPr>
        <w:pStyle w:val="NormalNonumber"/>
        <w:numPr>
          <w:ilvl w:val="0"/>
          <w:numId w:val="22"/>
        </w:numPr>
        <w:tabs>
          <w:tab w:val="clear" w:pos="1247"/>
          <w:tab w:val="clear" w:pos="1814"/>
          <w:tab w:val="clear" w:pos="2381"/>
          <w:tab w:val="clear" w:pos="2948"/>
          <w:tab w:val="clear" w:pos="3515"/>
          <w:tab w:val="clear" w:pos="4082"/>
        </w:tabs>
        <w:snapToGrid w:val="0"/>
        <w:ind w:left="1890" w:hanging="630"/>
        <w:rPr>
          <w:lang w:val="en-US"/>
        </w:rPr>
      </w:pPr>
      <w:r>
        <w:rPr>
          <w:lang w:val="en-US"/>
        </w:rPr>
        <w:t>D</w:t>
      </w:r>
      <w:r w:rsidR="001A1ED3" w:rsidRPr="001A1ED3">
        <w:rPr>
          <w:lang w:val="en-US"/>
        </w:rPr>
        <w:t xml:space="preserve">evelopment of legal and institutional frameworks implementing the </w:t>
      </w:r>
      <w:r w:rsidR="00265B0A">
        <w:rPr>
          <w:lang w:val="en-US"/>
        </w:rPr>
        <w:t>Stockholm Convention,</w:t>
      </w:r>
      <w:r w:rsidR="001A1ED3" w:rsidRPr="001A1ED3">
        <w:rPr>
          <w:lang w:val="en-US"/>
        </w:rPr>
        <w:t xml:space="preserve"> including with respect to </w:t>
      </w:r>
      <w:r w:rsidR="00265B0A">
        <w:rPr>
          <w:lang w:val="en-US"/>
        </w:rPr>
        <w:t xml:space="preserve">the </w:t>
      </w:r>
      <w:r w:rsidR="001A1ED3" w:rsidRPr="001A1ED3">
        <w:rPr>
          <w:rFonts w:eastAsia="SimSun"/>
          <w:lang w:val="en-US"/>
        </w:rPr>
        <w:t xml:space="preserve">elimination and environmentally sound management of polychlorinated biphenyls </w:t>
      </w:r>
      <w:r w:rsidR="00624E17">
        <w:rPr>
          <w:rFonts w:eastAsia="SimSun"/>
          <w:lang w:val="en-US"/>
        </w:rPr>
        <w:t xml:space="preserve">(PCB) </w:t>
      </w:r>
      <w:r w:rsidR="001A1ED3" w:rsidRPr="001A1ED3">
        <w:rPr>
          <w:rFonts w:eastAsia="SimSun"/>
          <w:lang w:val="en-US"/>
        </w:rPr>
        <w:t>throughout their life cycle</w:t>
      </w:r>
      <w:r w:rsidR="00904825">
        <w:rPr>
          <w:rFonts w:eastAsia="SimSun"/>
          <w:lang w:val="en-US"/>
        </w:rPr>
        <w:t>.</w:t>
      </w:r>
    </w:p>
    <w:p w:rsidR="00A24C64" w:rsidRDefault="0025518C" w:rsidP="0025518C">
      <w:pPr>
        <w:keepNext/>
        <w:tabs>
          <w:tab w:val="right" w:pos="993"/>
        </w:tabs>
        <w:snapToGrid w:val="0"/>
        <w:spacing w:after="120"/>
        <w:ind w:left="1276" w:hanging="1276"/>
        <w:rPr>
          <w:b/>
          <w:sz w:val="20"/>
        </w:rPr>
      </w:pPr>
      <w:r>
        <w:rPr>
          <w:b/>
          <w:sz w:val="20"/>
        </w:rPr>
        <w:tab/>
        <w:t>(b)</w:t>
      </w:r>
      <w:r>
        <w:rPr>
          <w:b/>
          <w:sz w:val="20"/>
        </w:rPr>
        <w:tab/>
      </w:r>
      <w:r w:rsidR="00B65E80" w:rsidRPr="009356FC">
        <w:rPr>
          <w:b/>
          <w:sz w:val="20"/>
        </w:rPr>
        <w:t>Indicators</w:t>
      </w:r>
    </w:p>
    <w:p w:rsidR="00B65E80" w:rsidRPr="001B7FF2" w:rsidRDefault="00B65E80" w:rsidP="004C62B6">
      <w:pPr>
        <w:pStyle w:val="ListParagraph"/>
        <w:numPr>
          <w:ilvl w:val="0"/>
          <w:numId w:val="23"/>
        </w:numPr>
        <w:snapToGrid w:val="0"/>
        <w:spacing w:after="120"/>
        <w:ind w:left="1890" w:hanging="630"/>
        <w:contextualSpacing w:val="0"/>
        <w:rPr>
          <w:sz w:val="20"/>
        </w:rPr>
      </w:pPr>
      <w:r w:rsidRPr="001B7FF2">
        <w:rPr>
          <w:sz w:val="20"/>
        </w:rPr>
        <w:t>Inventory guidance developed on new POPs and the existing guidance updated, depending on COP decisions in 2017 and 2019;</w:t>
      </w:r>
    </w:p>
    <w:p w:rsidR="00B65E80" w:rsidRPr="001B7FF2" w:rsidRDefault="007C2436" w:rsidP="004C62B6">
      <w:pPr>
        <w:pStyle w:val="ListParagraph"/>
        <w:numPr>
          <w:ilvl w:val="0"/>
          <w:numId w:val="23"/>
        </w:numPr>
        <w:snapToGrid w:val="0"/>
        <w:spacing w:after="120"/>
        <w:ind w:left="1890" w:hanging="630"/>
        <w:contextualSpacing w:val="0"/>
        <w:rPr>
          <w:sz w:val="20"/>
        </w:rPr>
      </w:pPr>
      <w:r w:rsidRPr="001B7FF2">
        <w:rPr>
          <w:sz w:val="20"/>
        </w:rPr>
        <w:t>N</w:t>
      </w:r>
      <w:r w:rsidR="00B65E80" w:rsidRPr="001B7FF2">
        <w:rPr>
          <w:sz w:val="20"/>
        </w:rPr>
        <w:t>umber of Parties that have transmitted their revised and updated NIP</w:t>
      </w:r>
      <w:r w:rsidR="00273A4F" w:rsidRPr="001B7FF2">
        <w:rPr>
          <w:sz w:val="20"/>
        </w:rPr>
        <w:t>s</w:t>
      </w:r>
      <w:r w:rsidR="00B65E80" w:rsidRPr="001B7FF2">
        <w:rPr>
          <w:sz w:val="20"/>
        </w:rPr>
        <w:t>;</w:t>
      </w:r>
    </w:p>
    <w:p w:rsidR="00273A4F" w:rsidRDefault="00B77A3E" w:rsidP="004C62B6">
      <w:pPr>
        <w:pStyle w:val="ListParagraph"/>
        <w:numPr>
          <w:ilvl w:val="0"/>
          <w:numId w:val="23"/>
        </w:numPr>
        <w:snapToGrid w:val="0"/>
        <w:spacing w:after="120"/>
        <w:ind w:left="1890" w:hanging="630"/>
        <w:contextualSpacing w:val="0"/>
        <w:rPr>
          <w:sz w:val="20"/>
        </w:rPr>
      </w:pPr>
      <w:r w:rsidRPr="001B7FF2">
        <w:rPr>
          <w:sz w:val="20"/>
        </w:rPr>
        <w:t xml:space="preserve">Project proposals on follow-up activities to implement NIPs are developed in </w:t>
      </w:r>
      <w:r w:rsidR="00F566CE">
        <w:rPr>
          <w:sz w:val="20"/>
        </w:rPr>
        <w:t>a n</w:t>
      </w:r>
      <w:r w:rsidR="00F566CE" w:rsidRPr="001B7FF2">
        <w:rPr>
          <w:sz w:val="20"/>
        </w:rPr>
        <w:t xml:space="preserve">umber of </w:t>
      </w:r>
      <w:r w:rsidR="00F1630F" w:rsidRPr="001B7FF2">
        <w:rPr>
          <w:sz w:val="20"/>
        </w:rPr>
        <w:t>Parties</w:t>
      </w:r>
      <w:r w:rsidRPr="001B7FF2">
        <w:rPr>
          <w:sz w:val="20"/>
        </w:rPr>
        <w:t>.</w:t>
      </w:r>
      <w:r w:rsidR="00273A4F" w:rsidRPr="001B7FF2">
        <w:rPr>
          <w:sz w:val="20"/>
        </w:rPr>
        <w:t xml:space="preserve"> </w:t>
      </w:r>
    </w:p>
    <w:p w:rsidR="00265B0A" w:rsidRPr="001B7FF2" w:rsidRDefault="00F566CE" w:rsidP="004C62B6">
      <w:pPr>
        <w:pStyle w:val="ListParagraph"/>
        <w:numPr>
          <w:ilvl w:val="0"/>
          <w:numId w:val="23"/>
        </w:numPr>
        <w:snapToGrid w:val="0"/>
        <w:spacing w:after="120"/>
        <w:ind w:left="1890" w:hanging="630"/>
        <w:contextualSpacing w:val="0"/>
        <w:rPr>
          <w:sz w:val="20"/>
        </w:rPr>
      </w:pPr>
      <w:r w:rsidRPr="001B7FF2">
        <w:rPr>
          <w:sz w:val="20"/>
        </w:rPr>
        <w:t xml:space="preserve">Number of </w:t>
      </w:r>
      <w:r w:rsidR="00265B0A">
        <w:rPr>
          <w:sz w:val="20"/>
        </w:rPr>
        <w:t xml:space="preserve">Parties </w:t>
      </w:r>
      <w:r>
        <w:rPr>
          <w:sz w:val="20"/>
        </w:rPr>
        <w:t xml:space="preserve">that have </w:t>
      </w:r>
      <w:r w:rsidR="00265B0A">
        <w:rPr>
          <w:sz w:val="20"/>
        </w:rPr>
        <w:t>develop</w:t>
      </w:r>
      <w:r w:rsidR="00E707AE">
        <w:rPr>
          <w:sz w:val="20"/>
        </w:rPr>
        <w:t>ed</w:t>
      </w:r>
      <w:r w:rsidR="00265B0A">
        <w:rPr>
          <w:sz w:val="20"/>
        </w:rPr>
        <w:t xml:space="preserve"> or strengthen</w:t>
      </w:r>
      <w:r w:rsidR="00E707AE">
        <w:rPr>
          <w:sz w:val="20"/>
        </w:rPr>
        <w:t>ed</w:t>
      </w:r>
      <w:r w:rsidR="00265B0A">
        <w:rPr>
          <w:sz w:val="20"/>
        </w:rPr>
        <w:t xml:space="preserve"> their l</w:t>
      </w:r>
      <w:r w:rsidR="00265B0A" w:rsidRPr="009356FC">
        <w:rPr>
          <w:sz w:val="20"/>
        </w:rPr>
        <w:t>egal and institutional frameworks</w:t>
      </w:r>
      <w:r w:rsidR="00E707AE">
        <w:rPr>
          <w:sz w:val="20"/>
        </w:rPr>
        <w:t>.</w:t>
      </w:r>
    </w:p>
    <w:p w:rsidR="00A24C6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lang w:val="en-US"/>
        </w:rPr>
        <w:tab/>
        <w:t>2.</w:t>
      </w:r>
      <w:r>
        <w:rPr>
          <w:b/>
          <w:lang w:val="en-US"/>
        </w:rPr>
        <w:tab/>
      </w:r>
      <w:r w:rsidR="00733A37">
        <w:rPr>
          <w:b/>
          <w:lang w:val="en-US"/>
        </w:rPr>
        <w:t xml:space="preserve">Outcome: </w:t>
      </w:r>
      <w:r w:rsidR="00E3245E">
        <w:rPr>
          <w:b/>
          <w:lang w:val="en-US"/>
        </w:rPr>
        <w:t>Strengthened capacities of Parties to address t</w:t>
      </w:r>
      <w:r w:rsidR="00FA463E" w:rsidRPr="009356FC">
        <w:rPr>
          <w:b/>
          <w:lang w:val="en-US"/>
        </w:rPr>
        <w:t xml:space="preserve">echnical issues pertaining to the chemicals listed in the </w:t>
      </w:r>
      <w:r w:rsidR="0087273C">
        <w:rPr>
          <w:b/>
          <w:lang w:val="en-US"/>
        </w:rPr>
        <w:t xml:space="preserve">annexes to the </w:t>
      </w:r>
      <w:r w:rsidR="00911F94" w:rsidRPr="009356FC">
        <w:rPr>
          <w:b/>
          <w:lang w:val="en-US"/>
        </w:rPr>
        <w:t>Stockholm C</w:t>
      </w:r>
      <w:r w:rsidR="00FA463E" w:rsidRPr="009356FC">
        <w:rPr>
          <w:b/>
          <w:lang w:val="en-US"/>
        </w:rPr>
        <w:t>onvention</w:t>
      </w:r>
    </w:p>
    <w:p w:rsidR="00A24C64" w:rsidRDefault="0025518C" w:rsidP="0025518C">
      <w:pPr>
        <w:keepNext/>
        <w:tabs>
          <w:tab w:val="right" w:pos="993"/>
        </w:tabs>
        <w:snapToGrid w:val="0"/>
        <w:spacing w:after="120"/>
        <w:ind w:left="1276" w:hanging="1276"/>
        <w:rPr>
          <w:b/>
          <w:sz w:val="20"/>
        </w:rPr>
      </w:pPr>
      <w:r>
        <w:rPr>
          <w:b/>
          <w:sz w:val="20"/>
        </w:rPr>
        <w:tab/>
        <w:t>(a)</w:t>
      </w:r>
      <w:r>
        <w:rPr>
          <w:b/>
          <w:sz w:val="20"/>
        </w:rPr>
        <w:tab/>
      </w:r>
      <w:r w:rsidR="00D87101">
        <w:rPr>
          <w:b/>
          <w:sz w:val="20"/>
        </w:rPr>
        <w:t>Outputs</w:t>
      </w:r>
    </w:p>
    <w:p w:rsidR="00BA6D08" w:rsidRPr="009356FC" w:rsidRDefault="00F566CE" w:rsidP="004C62B6">
      <w:pPr>
        <w:pStyle w:val="NormalNonumber"/>
        <w:numPr>
          <w:ilvl w:val="0"/>
          <w:numId w:val="26"/>
        </w:numPr>
        <w:tabs>
          <w:tab w:val="clear" w:pos="1247"/>
          <w:tab w:val="clear" w:pos="1814"/>
          <w:tab w:val="clear" w:pos="2381"/>
          <w:tab w:val="clear" w:pos="2948"/>
          <w:tab w:val="clear" w:pos="3515"/>
          <w:tab w:val="clear" w:pos="4082"/>
        </w:tabs>
        <w:snapToGrid w:val="0"/>
        <w:ind w:left="1890" w:hanging="630"/>
        <w:rPr>
          <w:lang w:val="en-GB"/>
        </w:rPr>
      </w:pPr>
      <w:r>
        <w:rPr>
          <w:lang w:val="en-GB"/>
        </w:rPr>
        <w:t>I</w:t>
      </w:r>
      <w:r w:rsidR="00041F65" w:rsidRPr="009356FC">
        <w:rPr>
          <w:lang w:val="en-GB"/>
        </w:rPr>
        <w:t>dentif</w:t>
      </w:r>
      <w:r>
        <w:rPr>
          <w:lang w:val="en-GB"/>
        </w:rPr>
        <w:t>ication</w:t>
      </w:r>
      <w:r w:rsidR="00E3245E">
        <w:rPr>
          <w:lang w:val="en-GB"/>
        </w:rPr>
        <w:t xml:space="preserve">, </w:t>
      </w:r>
      <w:r w:rsidR="00A24C64" w:rsidRPr="00A24C64">
        <w:rPr>
          <w:lang w:val="en-GB"/>
        </w:rPr>
        <w:t>collect</w:t>
      </w:r>
      <w:r>
        <w:rPr>
          <w:lang w:val="en-GB"/>
        </w:rPr>
        <w:t xml:space="preserve">ion </w:t>
      </w:r>
      <w:r w:rsidR="00A24C64" w:rsidRPr="00A24C64">
        <w:rPr>
          <w:lang w:val="en-GB"/>
        </w:rPr>
        <w:t xml:space="preserve"> and </w:t>
      </w:r>
      <w:r w:rsidRPr="00A24C64">
        <w:rPr>
          <w:lang w:val="en-GB"/>
        </w:rPr>
        <w:t>shar</w:t>
      </w:r>
      <w:r>
        <w:rPr>
          <w:lang w:val="en-GB"/>
        </w:rPr>
        <w:t>ing</w:t>
      </w:r>
      <w:r w:rsidRPr="00A24C64">
        <w:rPr>
          <w:lang w:val="en-GB"/>
        </w:rPr>
        <w:t xml:space="preserve"> </w:t>
      </w:r>
      <w:r w:rsidR="00AB1110">
        <w:rPr>
          <w:lang w:val="en-GB"/>
        </w:rPr>
        <w:t xml:space="preserve">of </w:t>
      </w:r>
      <w:r w:rsidR="00A24C64" w:rsidRPr="00A24C64">
        <w:rPr>
          <w:lang w:val="en-GB"/>
        </w:rPr>
        <w:t xml:space="preserve">information on POPs, in particular those still in use and those newly listed </w:t>
      </w:r>
      <w:r w:rsidR="00041F65" w:rsidRPr="009356FC">
        <w:rPr>
          <w:lang w:val="en-GB"/>
        </w:rPr>
        <w:t>and to make informed decisions on newly listed POPs</w:t>
      </w:r>
      <w:r w:rsidR="00BA6D08" w:rsidRPr="009356FC">
        <w:rPr>
          <w:lang w:val="en-GB"/>
        </w:rPr>
        <w:t>;</w:t>
      </w:r>
    </w:p>
    <w:p w:rsidR="00BA6D08" w:rsidRPr="009356FC" w:rsidRDefault="00414C3F" w:rsidP="004C62B6">
      <w:pPr>
        <w:pStyle w:val="NormalNonumber"/>
        <w:numPr>
          <w:ilvl w:val="0"/>
          <w:numId w:val="26"/>
        </w:numPr>
        <w:tabs>
          <w:tab w:val="clear" w:pos="1247"/>
          <w:tab w:val="clear" w:pos="1814"/>
          <w:tab w:val="clear" w:pos="2381"/>
          <w:tab w:val="clear" w:pos="2948"/>
          <w:tab w:val="clear" w:pos="3515"/>
          <w:tab w:val="clear" w:pos="4082"/>
        </w:tabs>
        <w:snapToGrid w:val="0"/>
        <w:ind w:left="1890" w:hanging="630"/>
        <w:rPr>
          <w:lang w:val="en-GB"/>
        </w:rPr>
      </w:pPr>
      <w:r>
        <w:rPr>
          <w:lang w:val="en-GB"/>
        </w:rPr>
        <w:t>A</w:t>
      </w:r>
      <w:r w:rsidR="00A24C64" w:rsidRPr="00A24C64">
        <w:rPr>
          <w:lang w:val="en-GB"/>
        </w:rPr>
        <w:t>lternatives to DDT</w:t>
      </w:r>
      <w:r w:rsidR="00E3245E" w:rsidRPr="009356FC">
        <w:rPr>
          <w:lang w:val="en-GB"/>
        </w:rPr>
        <w:t xml:space="preserve"> </w:t>
      </w:r>
      <w:r w:rsidR="00E3245E">
        <w:rPr>
          <w:lang w:val="en-GB"/>
        </w:rPr>
        <w:t xml:space="preserve">promoted and </w:t>
      </w:r>
      <w:r w:rsidR="00041F65" w:rsidRPr="009356FC">
        <w:rPr>
          <w:lang w:val="en-GB"/>
        </w:rPr>
        <w:t xml:space="preserve">need for the </w:t>
      </w:r>
      <w:r w:rsidR="00BA6D08" w:rsidRPr="009356FC">
        <w:rPr>
          <w:lang w:val="en-GB"/>
        </w:rPr>
        <w:t>use DDT</w:t>
      </w:r>
      <w:r w:rsidR="00E3245E" w:rsidRPr="00E3245E">
        <w:rPr>
          <w:lang w:val="en-GB"/>
        </w:rPr>
        <w:t xml:space="preserve"> </w:t>
      </w:r>
      <w:r w:rsidR="00E3245E">
        <w:rPr>
          <w:lang w:val="en-GB"/>
        </w:rPr>
        <w:t>r</w:t>
      </w:r>
      <w:r w:rsidR="00E3245E" w:rsidRPr="009356FC">
        <w:rPr>
          <w:lang w:val="en-GB"/>
        </w:rPr>
        <w:t>educed</w:t>
      </w:r>
      <w:r w:rsidR="004279B0">
        <w:rPr>
          <w:lang w:val="en-GB"/>
        </w:rPr>
        <w:t>;</w:t>
      </w:r>
    </w:p>
    <w:p w:rsidR="00E3245E" w:rsidRDefault="00E3245E" w:rsidP="004C62B6">
      <w:pPr>
        <w:pStyle w:val="NormalNonumber"/>
        <w:numPr>
          <w:ilvl w:val="0"/>
          <w:numId w:val="26"/>
        </w:numPr>
        <w:tabs>
          <w:tab w:val="clear" w:pos="1247"/>
          <w:tab w:val="clear" w:pos="1814"/>
          <w:tab w:val="clear" w:pos="2381"/>
          <w:tab w:val="clear" w:pos="2948"/>
          <w:tab w:val="clear" w:pos="3515"/>
          <w:tab w:val="clear" w:pos="4082"/>
        </w:tabs>
        <w:snapToGrid w:val="0"/>
        <w:ind w:left="1890" w:hanging="630"/>
        <w:rPr>
          <w:lang w:val="en-GB"/>
        </w:rPr>
      </w:pPr>
      <w:r>
        <w:rPr>
          <w:lang w:val="en-GB"/>
        </w:rPr>
        <w:t>T</w:t>
      </w:r>
      <w:r w:rsidRPr="00E3245E">
        <w:rPr>
          <w:lang w:val="en-GB"/>
        </w:rPr>
        <w:t>echnical guidance related to the elimination of POPs including phasing out of POPs (</w:t>
      </w:r>
      <w:r w:rsidR="00624E17">
        <w:rPr>
          <w:lang w:val="en-GB"/>
        </w:rPr>
        <w:t>e.g. guidance on alternatives</w:t>
      </w:r>
      <w:r w:rsidRPr="00E3245E">
        <w:rPr>
          <w:lang w:val="en-GB"/>
        </w:rPr>
        <w:t xml:space="preserve">), sound management of POPs in waste streams, application of Toolkit </w:t>
      </w:r>
      <w:r>
        <w:rPr>
          <w:lang w:val="en-GB"/>
        </w:rPr>
        <w:t xml:space="preserve">are widely disseminated, </w:t>
      </w:r>
      <w:r w:rsidRPr="00E3245E">
        <w:rPr>
          <w:lang w:val="en-GB"/>
        </w:rPr>
        <w:t>test</w:t>
      </w:r>
      <w:r>
        <w:rPr>
          <w:lang w:val="en-GB"/>
        </w:rPr>
        <w:t>ed and practically applied by Parties;</w:t>
      </w:r>
    </w:p>
    <w:p w:rsidR="000C37C4" w:rsidRPr="009356FC" w:rsidRDefault="00F566CE" w:rsidP="004C62B6">
      <w:pPr>
        <w:pStyle w:val="NormalNonumber"/>
        <w:numPr>
          <w:ilvl w:val="0"/>
          <w:numId w:val="26"/>
        </w:numPr>
        <w:tabs>
          <w:tab w:val="clear" w:pos="1247"/>
          <w:tab w:val="clear" w:pos="1814"/>
          <w:tab w:val="clear" w:pos="2381"/>
          <w:tab w:val="clear" w:pos="2948"/>
          <w:tab w:val="clear" w:pos="3515"/>
          <w:tab w:val="clear" w:pos="4082"/>
        </w:tabs>
        <w:snapToGrid w:val="0"/>
        <w:ind w:left="1890" w:hanging="630"/>
        <w:rPr>
          <w:lang w:val="en-GB"/>
        </w:rPr>
      </w:pPr>
      <w:r>
        <w:rPr>
          <w:lang w:val="en-GB"/>
        </w:rPr>
        <w:t>A</w:t>
      </w:r>
      <w:r w:rsidR="000C37C4" w:rsidRPr="009356FC">
        <w:rPr>
          <w:lang w:val="en-GB"/>
        </w:rPr>
        <w:t>ppl</w:t>
      </w:r>
      <w:r>
        <w:rPr>
          <w:lang w:val="en-GB"/>
        </w:rPr>
        <w:t>ication of</w:t>
      </w:r>
      <w:r w:rsidR="000C37C4" w:rsidRPr="009356FC">
        <w:rPr>
          <w:lang w:val="en-GB"/>
        </w:rPr>
        <w:t xml:space="preserve"> best available techniques and best environment</w:t>
      </w:r>
      <w:r w:rsidR="0087273C">
        <w:rPr>
          <w:lang w:val="en-GB"/>
        </w:rPr>
        <w:t>al</w:t>
      </w:r>
      <w:r w:rsidR="000C37C4" w:rsidRPr="009356FC">
        <w:rPr>
          <w:lang w:val="en-GB"/>
        </w:rPr>
        <w:t xml:space="preserve"> practices;</w:t>
      </w:r>
    </w:p>
    <w:p w:rsidR="000C37C4" w:rsidRPr="009356FC" w:rsidRDefault="000C37C4" w:rsidP="004C62B6">
      <w:pPr>
        <w:pStyle w:val="NormalNonumber"/>
        <w:numPr>
          <w:ilvl w:val="0"/>
          <w:numId w:val="26"/>
        </w:numPr>
        <w:tabs>
          <w:tab w:val="clear" w:pos="1247"/>
          <w:tab w:val="clear" w:pos="1814"/>
          <w:tab w:val="clear" w:pos="2381"/>
          <w:tab w:val="clear" w:pos="2948"/>
          <w:tab w:val="clear" w:pos="3515"/>
          <w:tab w:val="clear" w:pos="4082"/>
        </w:tabs>
        <w:snapToGrid w:val="0"/>
        <w:ind w:left="1890" w:hanging="630"/>
        <w:rPr>
          <w:lang w:val="en-GB"/>
        </w:rPr>
      </w:pPr>
      <w:r w:rsidRPr="009356FC">
        <w:rPr>
          <w:lang w:val="en-US"/>
        </w:rPr>
        <w:t>Parties are able to perform regional monitoring activities and to process and evaluate monitoring data</w:t>
      </w:r>
      <w:r w:rsidR="004279B0">
        <w:rPr>
          <w:lang w:val="en-US"/>
        </w:rPr>
        <w:t>;</w:t>
      </w:r>
    </w:p>
    <w:p w:rsidR="000C37C4" w:rsidRPr="000C5110" w:rsidRDefault="00F566CE" w:rsidP="004C62B6">
      <w:pPr>
        <w:pStyle w:val="ListParagraph"/>
        <w:numPr>
          <w:ilvl w:val="0"/>
          <w:numId w:val="26"/>
        </w:numPr>
        <w:snapToGrid w:val="0"/>
        <w:spacing w:after="120"/>
        <w:ind w:left="1890" w:hanging="630"/>
        <w:contextualSpacing w:val="0"/>
        <w:rPr>
          <w:sz w:val="20"/>
        </w:rPr>
      </w:pPr>
      <w:r>
        <w:rPr>
          <w:sz w:val="20"/>
        </w:rPr>
        <w:t>P</w:t>
      </w:r>
      <w:r w:rsidR="000C37C4" w:rsidRPr="000C5110">
        <w:rPr>
          <w:sz w:val="20"/>
        </w:rPr>
        <w:t>has</w:t>
      </w:r>
      <w:r>
        <w:rPr>
          <w:sz w:val="20"/>
        </w:rPr>
        <w:t>ing</w:t>
      </w:r>
      <w:r w:rsidR="000C37C4" w:rsidRPr="000C5110">
        <w:rPr>
          <w:sz w:val="20"/>
        </w:rPr>
        <w:t xml:space="preserve"> in safer </w:t>
      </w:r>
      <w:r w:rsidR="00E3245E" w:rsidRPr="000C5110">
        <w:rPr>
          <w:sz w:val="20"/>
        </w:rPr>
        <w:t xml:space="preserve">and affordable </w:t>
      </w:r>
      <w:r w:rsidR="000C37C4" w:rsidRPr="000C5110">
        <w:rPr>
          <w:sz w:val="20"/>
        </w:rPr>
        <w:t>alternatives for selected POPs;</w:t>
      </w:r>
    </w:p>
    <w:p w:rsidR="000C37C4" w:rsidRPr="009356FC" w:rsidRDefault="00E3245E" w:rsidP="004C62B6">
      <w:pPr>
        <w:pStyle w:val="NormalNonumber"/>
        <w:numPr>
          <w:ilvl w:val="0"/>
          <w:numId w:val="26"/>
        </w:numPr>
        <w:tabs>
          <w:tab w:val="clear" w:pos="1247"/>
          <w:tab w:val="clear" w:pos="1814"/>
          <w:tab w:val="clear" w:pos="2381"/>
          <w:tab w:val="clear" w:pos="2948"/>
          <w:tab w:val="clear" w:pos="3515"/>
          <w:tab w:val="clear" w:pos="4082"/>
        </w:tabs>
        <w:snapToGrid w:val="0"/>
        <w:ind w:left="1890" w:hanging="630"/>
        <w:rPr>
          <w:lang w:val="en-GB"/>
        </w:rPr>
      </w:pPr>
      <w:r>
        <w:rPr>
          <w:lang w:val="en-GB"/>
        </w:rPr>
        <w:t xml:space="preserve">Data </w:t>
      </w:r>
      <w:r w:rsidR="00414C3F">
        <w:rPr>
          <w:lang w:val="en-GB"/>
        </w:rPr>
        <w:t xml:space="preserve">on </w:t>
      </w:r>
      <w:r w:rsidR="000C37C4" w:rsidRPr="009356FC">
        <w:rPr>
          <w:lang w:val="en-GB"/>
        </w:rPr>
        <w:t xml:space="preserve">stockpiles and contaminated sites </w:t>
      </w:r>
      <w:r w:rsidR="00414C3F">
        <w:rPr>
          <w:lang w:val="en-GB"/>
        </w:rPr>
        <w:t>are</w:t>
      </w:r>
      <w:r w:rsidR="000C37C4" w:rsidRPr="009356FC">
        <w:rPr>
          <w:lang w:val="en-GB"/>
        </w:rPr>
        <w:t xml:space="preserve"> available for specific POPs, i.e. DDT.</w:t>
      </w:r>
    </w:p>
    <w:p w:rsidR="00A24C64" w:rsidRDefault="0025518C" w:rsidP="0025518C">
      <w:pPr>
        <w:keepNext/>
        <w:tabs>
          <w:tab w:val="right" w:pos="993"/>
        </w:tabs>
        <w:snapToGrid w:val="0"/>
        <w:spacing w:after="120"/>
        <w:ind w:left="1276" w:hanging="1276"/>
        <w:rPr>
          <w:b/>
        </w:rPr>
      </w:pPr>
      <w:r>
        <w:rPr>
          <w:b/>
          <w:sz w:val="20"/>
        </w:rPr>
        <w:tab/>
        <w:t>(b)</w:t>
      </w:r>
      <w:r>
        <w:rPr>
          <w:b/>
          <w:sz w:val="20"/>
        </w:rPr>
        <w:tab/>
      </w:r>
      <w:r w:rsidR="00B65E80" w:rsidRPr="0025518C">
        <w:rPr>
          <w:b/>
          <w:sz w:val="20"/>
        </w:rPr>
        <w:t>Indicators</w:t>
      </w:r>
    </w:p>
    <w:p w:rsidR="00A24C64" w:rsidRDefault="00F566CE" w:rsidP="004C62B6">
      <w:pPr>
        <w:pStyle w:val="ListParagraph"/>
        <w:numPr>
          <w:ilvl w:val="0"/>
          <w:numId w:val="27"/>
        </w:numPr>
        <w:snapToGrid w:val="0"/>
        <w:spacing w:after="120"/>
        <w:ind w:left="1890" w:hanging="630"/>
        <w:contextualSpacing w:val="0"/>
        <w:rPr>
          <w:sz w:val="20"/>
        </w:rPr>
      </w:pPr>
      <w:r w:rsidRPr="001B7FF2">
        <w:rPr>
          <w:sz w:val="20"/>
        </w:rPr>
        <w:t xml:space="preserve">Number of </w:t>
      </w:r>
      <w:r w:rsidR="00A40B1D">
        <w:rPr>
          <w:sz w:val="20"/>
        </w:rPr>
        <w:t xml:space="preserve">Parties </w:t>
      </w:r>
      <w:r>
        <w:rPr>
          <w:sz w:val="20"/>
        </w:rPr>
        <w:t xml:space="preserve">that have </w:t>
      </w:r>
      <w:r w:rsidR="00A40B1D">
        <w:rPr>
          <w:sz w:val="20"/>
        </w:rPr>
        <w:t>collected and shared information on newly listed POPs;</w:t>
      </w:r>
    </w:p>
    <w:p w:rsidR="00A24C64" w:rsidRDefault="00A40B1D" w:rsidP="004C62B6">
      <w:pPr>
        <w:pStyle w:val="ListParagraph"/>
        <w:numPr>
          <w:ilvl w:val="0"/>
          <w:numId w:val="27"/>
        </w:numPr>
        <w:snapToGrid w:val="0"/>
        <w:spacing w:after="120"/>
        <w:ind w:left="1890" w:hanging="630"/>
        <w:contextualSpacing w:val="0"/>
        <w:rPr>
          <w:sz w:val="20"/>
        </w:rPr>
      </w:pPr>
      <w:r w:rsidRPr="009356FC">
        <w:rPr>
          <w:sz w:val="20"/>
        </w:rPr>
        <w:lastRenderedPageBreak/>
        <w:t xml:space="preserve">Support provided to </w:t>
      </w:r>
      <w:r w:rsidR="00414C3F">
        <w:rPr>
          <w:sz w:val="20"/>
        </w:rPr>
        <w:t xml:space="preserve">at </w:t>
      </w:r>
      <w:r w:rsidR="00F566CE">
        <w:rPr>
          <w:sz w:val="20"/>
        </w:rPr>
        <w:t xml:space="preserve">a number of </w:t>
      </w:r>
      <w:r w:rsidRPr="009356FC">
        <w:rPr>
          <w:sz w:val="20"/>
        </w:rPr>
        <w:t>Parties to implement projects in the framework of  the roadmap for the development of alternatives to DDT;</w:t>
      </w:r>
    </w:p>
    <w:p w:rsidR="00A24C64" w:rsidRDefault="00F566CE" w:rsidP="004C62B6">
      <w:pPr>
        <w:pStyle w:val="ListParagraph"/>
        <w:numPr>
          <w:ilvl w:val="0"/>
          <w:numId w:val="27"/>
        </w:numPr>
        <w:snapToGrid w:val="0"/>
        <w:spacing w:after="120"/>
        <w:ind w:left="1890" w:hanging="630"/>
        <w:contextualSpacing w:val="0"/>
        <w:rPr>
          <w:sz w:val="20"/>
        </w:rPr>
      </w:pPr>
      <w:r w:rsidRPr="001B7FF2">
        <w:rPr>
          <w:sz w:val="20"/>
        </w:rPr>
        <w:t xml:space="preserve">Number of </w:t>
      </w:r>
      <w:r w:rsidR="00A24C64" w:rsidRPr="00A24C64">
        <w:rPr>
          <w:sz w:val="20"/>
        </w:rPr>
        <w:t xml:space="preserve">Parties </w:t>
      </w:r>
      <w:r>
        <w:rPr>
          <w:sz w:val="20"/>
        </w:rPr>
        <w:t xml:space="preserve">have </w:t>
      </w:r>
      <w:r w:rsidR="00A24C64" w:rsidRPr="00A24C64">
        <w:rPr>
          <w:sz w:val="20"/>
        </w:rPr>
        <w:t>participated in the training on technical guidance related to the elimination of POPs</w:t>
      </w:r>
      <w:r w:rsidR="00B65E80" w:rsidRPr="002A5561">
        <w:rPr>
          <w:sz w:val="20"/>
        </w:rPr>
        <w:t>;</w:t>
      </w:r>
    </w:p>
    <w:p w:rsidR="00A24C64" w:rsidRDefault="00A24C64" w:rsidP="004C62B6">
      <w:pPr>
        <w:pStyle w:val="ListParagraph"/>
        <w:numPr>
          <w:ilvl w:val="0"/>
          <w:numId w:val="27"/>
        </w:numPr>
        <w:snapToGrid w:val="0"/>
        <w:spacing w:after="120"/>
        <w:ind w:left="1890" w:hanging="630"/>
        <w:contextualSpacing w:val="0"/>
        <w:rPr>
          <w:sz w:val="20"/>
        </w:rPr>
      </w:pPr>
      <w:r w:rsidRPr="00A24C64">
        <w:rPr>
          <w:sz w:val="20"/>
        </w:rPr>
        <w:t>Case studies on the application of best available techniques and best environment</w:t>
      </w:r>
      <w:r w:rsidR="0087273C">
        <w:rPr>
          <w:sz w:val="20"/>
        </w:rPr>
        <w:t>al</w:t>
      </w:r>
      <w:r w:rsidRPr="00A24C64">
        <w:rPr>
          <w:sz w:val="20"/>
        </w:rPr>
        <w:t xml:space="preserve"> practices available in</w:t>
      </w:r>
      <w:r w:rsidR="00F566CE">
        <w:rPr>
          <w:sz w:val="20"/>
        </w:rPr>
        <w:t xml:space="preserve"> a n</w:t>
      </w:r>
      <w:r w:rsidR="00F566CE" w:rsidRPr="001B7FF2">
        <w:rPr>
          <w:sz w:val="20"/>
        </w:rPr>
        <w:t xml:space="preserve">umber of </w:t>
      </w:r>
      <w:r w:rsidRPr="00A24C64">
        <w:rPr>
          <w:sz w:val="20"/>
        </w:rPr>
        <w:t>Parties</w:t>
      </w:r>
      <w:r w:rsidR="00A40B1D">
        <w:t xml:space="preserve">; </w:t>
      </w:r>
    </w:p>
    <w:p w:rsidR="00A24C64" w:rsidRPr="00A24C64" w:rsidRDefault="00F566CE" w:rsidP="004C62B6">
      <w:pPr>
        <w:pStyle w:val="NormalNonumber"/>
        <w:numPr>
          <w:ilvl w:val="0"/>
          <w:numId w:val="27"/>
        </w:numPr>
        <w:tabs>
          <w:tab w:val="clear" w:pos="1247"/>
          <w:tab w:val="clear" w:pos="1814"/>
          <w:tab w:val="clear" w:pos="2381"/>
          <w:tab w:val="clear" w:pos="2948"/>
          <w:tab w:val="clear" w:pos="3515"/>
          <w:tab w:val="clear" w:pos="4082"/>
        </w:tabs>
        <w:snapToGrid w:val="0"/>
        <w:ind w:left="1890" w:hanging="630"/>
        <w:rPr>
          <w:lang w:val="en-GB"/>
        </w:rPr>
      </w:pPr>
      <w:r>
        <w:rPr>
          <w:lang w:val="en-GB"/>
        </w:rPr>
        <w:t xml:space="preserve">Number of </w:t>
      </w:r>
      <w:r w:rsidR="00B65E80" w:rsidRPr="009356FC">
        <w:rPr>
          <w:lang w:val="en-GB"/>
        </w:rPr>
        <w:t xml:space="preserve"> r</w:t>
      </w:r>
      <w:proofErr w:type="spellStart"/>
      <w:r w:rsidR="00B65E80" w:rsidRPr="009356FC">
        <w:rPr>
          <w:lang w:val="en-US"/>
        </w:rPr>
        <w:t>egional</w:t>
      </w:r>
      <w:proofErr w:type="spellEnd"/>
      <w:r w:rsidR="00B65E80" w:rsidRPr="009356FC">
        <w:rPr>
          <w:lang w:val="en-US"/>
        </w:rPr>
        <w:t xml:space="preserve"> experts involved in monitoring of POPs in sampling, laboratory analysis, data processing and data evaluation trained</w:t>
      </w:r>
      <w:r w:rsidR="00A40B1D">
        <w:rPr>
          <w:lang w:val="en-US"/>
        </w:rPr>
        <w:t>;</w:t>
      </w:r>
    </w:p>
    <w:p w:rsidR="00A24C64" w:rsidRDefault="00A24C64" w:rsidP="004C62B6">
      <w:pPr>
        <w:pStyle w:val="NormalNonumber"/>
        <w:numPr>
          <w:ilvl w:val="0"/>
          <w:numId w:val="27"/>
        </w:numPr>
        <w:tabs>
          <w:tab w:val="clear" w:pos="1247"/>
          <w:tab w:val="clear" w:pos="1814"/>
          <w:tab w:val="clear" w:pos="2381"/>
          <w:tab w:val="clear" w:pos="2948"/>
          <w:tab w:val="clear" w:pos="3515"/>
          <w:tab w:val="clear" w:pos="4082"/>
        </w:tabs>
        <w:snapToGrid w:val="0"/>
        <w:ind w:left="1890" w:hanging="630"/>
        <w:rPr>
          <w:lang w:val="en-GB"/>
        </w:rPr>
      </w:pPr>
      <w:r w:rsidRPr="00A24C64">
        <w:rPr>
          <w:lang w:val="en-GB"/>
        </w:rPr>
        <w:t>Case studies on phased in safer and affordable alternatives for selected POPs is available in</w:t>
      </w:r>
      <w:r w:rsidR="006137A7">
        <w:rPr>
          <w:lang w:val="en-GB"/>
        </w:rPr>
        <w:t xml:space="preserve"> </w:t>
      </w:r>
      <w:r w:rsidR="00F566CE">
        <w:rPr>
          <w:lang w:val="en-GB"/>
        </w:rPr>
        <w:t>a n</w:t>
      </w:r>
      <w:r w:rsidR="00D004E4" w:rsidRPr="00D004E4">
        <w:rPr>
          <w:lang w:val="en-GB"/>
        </w:rPr>
        <w:t xml:space="preserve">umber of </w:t>
      </w:r>
      <w:r w:rsidRPr="00A24C64">
        <w:rPr>
          <w:lang w:val="en-GB"/>
        </w:rPr>
        <w:t>Parties</w:t>
      </w:r>
      <w:r w:rsidR="006137A7">
        <w:rPr>
          <w:lang w:val="en-GB"/>
        </w:rPr>
        <w:t>;</w:t>
      </w:r>
    </w:p>
    <w:p w:rsidR="00A24C64" w:rsidRPr="00737437" w:rsidRDefault="00F566CE" w:rsidP="004C62B6">
      <w:pPr>
        <w:pStyle w:val="NormalNonumber"/>
        <w:numPr>
          <w:ilvl w:val="0"/>
          <w:numId w:val="27"/>
        </w:numPr>
        <w:tabs>
          <w:tab w:val="clear" w:pos="1247"/>
          <w:tab w:val="clear" w:pos="1814"/>
          <w:tab w:val="clear" w:pos="2381"/>
          <w:tab w:val="clear" w:pos="2948"/>
          <w:tab w:val="clear" w:pos="3515"/>
          <w:tab w:val="clear" w:pos="4082"/>
        </w:tabs>
        <w:snapToGrid w:val="0"/>
        <w:ind w:left="1890" w:hanging="630"/>
        <w:rPr>
          <w:lang w:val="en-GB"/>
        </w:rPr>
      </w:pPr>
      <w:r>
        <w:rPr>
          <w:lang w:val="en-GB"/>
        </w:rPr>
        <w:t xml:space="preserve">Number of </w:t>
      </w:r>
      <w:r w:rsidR="006137A7">
        <w:rPr>
          <w:lang w:val="en-GB"/>
        </w:rPr>
        <w:t xml:space="preserve">regional </w:t>
      </w:r>
      <w:r w:rsidR="00A24C64" w:rsidRPr="00A24C64">
        <w:rPr>
          <w:lang w:val="en-GB"/>
        </w:rPr>
        <w:t>inventor</w:t>
      </w:r>
      <w:r w:rsidR="00414C3F">
        <w:rPr>
          <w:lang w:val="en-GB"/>
        </w:rPr>
        <w:t>ies</w:t>
      </w:r>
      <w:r w:rsidR="00A24C64" w:rsidRPr="00A24C64">
        <w:rPr>
          <w:lang w:val="en-GB"/>
        </w:rPr>
        <w:t xml:space="preserve"> on stockpiles and contaminated sites </w:t>
      </w:r>
      <w:r w:rsidR="006137A7">
        <w:rPr>
          <w:lang w:val="en-GB"/>
        </w:rPr>
        <w:t>of selected POP</w:t>
      </w:r>
      <w:r w:rsidR="00414C3F">
        <w:rPr>
          <w:lang w:val="en-GB"/>
        </w:rPr>
        <w:t>s</w:t>
      </w:r>
      <w:r w:rsidR="006137A7">
        <w:rPr>
          <w:lang w:val="en-GB"/>
        </w:rPr>
        <w:t xml:space="preserve"> </w:t>
      </w:r>
      <w:r w:rsidR="00414C3F">
        <w:rPr>
          <w:lang w:val="en-GB"/>
        </w:rPr>
        <w:t>are</w:t>
      </w:r>
      <w:r w:rsidR="006137A7">
        <w:rPr>
          <w:lang w:val="en-GB"/>
        </w:rPr>
        <w:t xml:space="preserve"> available</w:t>
      </w:r>
      <w:r w:rsidR="00A40B1D">
        <w:rPr>
          <w:lang w:val="en-US"/>
        </w:rPr>
        <w:t>.</w:t>
      </w:r>
    </w:p>
    <w:p w:rsidR="00FE18F8" w:rsidRPr="0095401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color w:val="000000" w:themeColor="text1"/>
          <w:sz w:val="24"/>
          <w:szCs w:val="24"/>
          <w:lang w:val="en-US"/>
        </w:rPr>
      </w:pPr>
      <w:r>
        <w:rPr>
          <w:b/>
          <w:color w:val="000000" w:themeColor="text1"/>
          <w:sz w:val="22"/>
          <w:szCs w:val="22"/>
          <w:lang w:val="en-US"/>
        </w:rPr>
        <w:tab/>
      </w:r>
      <w:r w:rsidR="008B3E4A" w:rsidRPr="00954014">
        <w:rPr>
          <w:b/>
          <w:color w:val="000000" w:themeColor="text1"/>
          <w:sz w:val="24"/>
          <w:szCs w:val="24"/>
          <w:lang w:val="en-US"/>
        </w:rPr>
        <w:t>D.</w:t>
      </w:r>
      <w:r w:rsidR="008B3E4A" w:rsidRPr="00954014">
        <w:rPr>
          <w:b/>
          <w:color w:val="000000" w:themeColor="text1"/>
          <w:sz w:val="24"/>
          <w:szCs w:val="24"/>
          <w:lang w:val="en-US"/>
        </w:rPr>
        <w:tab/>
      </w:r>
      <w:r w:rsidR="00C32B96" w:rsidRPr="00954014">
        <w:rPr>
          <w:b/>
          <w:color w:val="000000" w:themeColor="text1"/>
          <w:sz w:val="24"/>
          <w:szCs w:val="24"/>
          <w:lang w:val="en-US"/>
        </w:rPr>
        <w:t>Cross</w:t>
      </w:r>
      <w:r w:rsidR="0087273C" w:rsidRPr="00954014">
        <w:rPr>
          <w:b/>
          <w:color w:val="000000" w:themeColor="text1"/>
          <w:sz w:val="24"/>
          <w:szCs w:val="24"/>
          <w:lang w:val="en-US"/>
        </w:rPr>
        <w:t>-</w:t>
      </w:r>
      <w:r w:rsidR="00C32B96" w:rsidRPr="00954014">
        <w:rPr>
          <w:b/>
          <w:color w:val="000000" w:themeColor="text1"/>
          <w:sz w:val="24"/>
          <w:szCs w:val="24"/>
          <w:lang w:val="en-US"/>
        </w:rPr>
        <w:t>cutting areas</w:t>
      </w:r>
    </w:p>
    <w:p w:rsidR="00A24C64" w:rsidRDefault="0025518C" w:rsidP="0025518C">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lang w:val="en-US"/>
        </w:rPr>
        <w:tab/>
      </w:r>
      <w:r w:rsidR="000C5110">
        <w:rPr>
          <w:b/>
          <w:lang w:val="en-US"/>
        </w:rPr>
        <w:t>1.</w:t>
      </w:r>
      <w:r w:rsidR="000C5110">
        <w:rPr>
          <w:b/>
          <w:lang w:val="en-US"/>
        </w:rPr>
        <w:tab/>
      </w:r>
      <w:r w:rsidR="006137A7">
        <w:rPr>
          <w:b/>
          <w:lang w:val="en-US"/>
        </w:rPr>
        <w:t>Outcome: Enhanced capacities of Parties to increase national coordination and cooperation for the</w:t>
      </w:r>
      <w:r w:rsidR="006137A7" w:rsidRPr="009356FC">
        <w:rPr>
          <w:b/>
          <w:lang w:val="en-US"/>
        </w:rPr>
        <w:t xml:space="preserve"> </w:t>
      </w:r>
      <w:r w:rsidR="00893922" w:rsidRPr="009356FC">
        <w:rPr>
          <w:b/>
          <w:lang w:val="en-US"/>
        </w:rPr>
        <w:t>implementation of the</w:t>
      </w:r>
      <w:r w:rsidR="00911F94" w:rsidRPr="009356FC">
        <w:rPr>
          <w:b/>
          <w:lang w:val="en-US"/>
        </w:rPr>
        <w:t xml:space="preserve"> </w:t>
      </w:r>
      <w:r w:rsidR="00433876">
        <w:rPr>
          <w:b/>
          <w:lang w:val="en-US"/>
        </w:rPr>
        <w:t xml:space="preserve">Basel, Rotterdam and Stockholm </w:t>
      </w:r>
      <w:r w:rsidR="00911F94" w:rsidRPr="009356FC">
        <w:rPr>
          <w:b/>
          <w:lang w:val="en-US"/>
        </w:rPr>
        <w:t xml:space="preserve">conventions </w:t>
      </w:r>
    </w:p>
    <w:p w:rsidR="00A24C64" w:rsidRDefault="0025518C" w:rsidP="0025518C">
      <w:pPr>
        <w:keepNext/>
        <w:tabs>
          <w:tab w:val="right" w:pos="993"/>
        </w:tabs>
        <w:snapToGrid w:val="0"/>
        <w:spacing w:after="120"/>
        <w:ind w:left="1276" w:hanging="1276"/>
        <w:rPr>
          <w:b/>
          <w:sz w:val="20"/>
        </w:rPr>
      </w:pPr>
      <w:r>
        <w:rPr>
          <w:b/>
          <w:sz w:val="20"/>
          <w:lang w:val="en-US"/>
        </w:rPr>
        <w:tab/>
      </w:r>
      <w:r w:rsidR="001F59CE">
        <w:rPr>
          <w:b/>
          <w:sz w:val="20"/>
          <w:lang w:val="en-US"/>
        </w:rPr>
        <w:t>(a)</w:t>
      </w:r>
      <w:r w:rsidR="001F59CE">
        <w:rPr>
          <w:b/>
          <w:sz w:val="20"/>
          <w:lang w:val="en-US"/>
        </w:rPr>
        <w:tab/>
      </w:r>
      <w:r w:rsidR="00D87101">
        <w:rPr>
          <w:b/>
          <w:sz w:val="20"/>
        </w:rPr>
        <w:t>Outputs</w:t>
      </w:r>
    </w:p>
    <w:p w:rsidR="00A807D2" w:rsidRPr="009356FC" w:rsidRDefault="00A807D2"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Technical assistance needs of developing countries Parties and Parties with economies in transition are identified and analyzed</w:t>
      </w:r>
      <w:r w:rsidR="000339F9" w:rsidRPr="009356FC">
        <w:rPr>
          <w:lang w:val="en-GB"/>
        </w:rPr>
        <w:t xml:space="preserve"> and website updated accordingly</w:t>
      </w:r>
      <w:r w:rsidRPr="009356FC">
        <w:rPr>
          <w:lang w:val="en-GB"/>
        </w:rPr>
        <w:t>;</w:t>
      </w:r>
    </w:p>
    <w:p w:rsidR="00A807D2" w:rsidRPr="009356FC" w:rsidRDefault="003714AD"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 xml:space="preserve">Roles and responsibilities of various government agencies for issues addressed by the </w:t>
      </w:r>
      <w:r w:rsidR="00A84DDF" w:rsidRPr="00A84DDF">
        <w:rPr>
          <w:lang w:val="en-GB"/>
        </w:rPr>
        <w:t xml:space="preserve">Basel, Rotterdam and Stockholm </w:t>
      </w:r>
      <w:r w:rsidR="00A84DDF">
        <w:rPr>
          <w:lang w:val="en-GB"/>
        </w:rPr>
        <w:t>c</w:t>
      </w:r>
      <w:r w:rsidRPr="009356FC">
        <w:rPr>
          <w:lang w:val="en-GB"/>
        </w:rPr>
        <w:t>onventions and  information exchange mechanisms are established in i</w:t>
      </w:r>
      <w:r w:rsidR="004279B0">
        <w:rPr>
          <w:lang w:val="en-GB"/>
        </w:rPr>
        <w:t>nstitutional frameworks;</w:t>
      </w:r>
    </w:p>
    <w:p w:rsidR="003714AD" w:rsidRPr="00F70FDA" w:rsidRDefault="003714AD"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 xml:space="preserve">Legislation and import/export procedures </w:t>
      </w:r>
      <w:r w:rsidR="0071471C" w:rsidRPr="009356FC">
        <w:rPr>
          <w:lang w:val="en-GB"/>
        </w:rPr>
        <w:t xml:space="preserve">are </w:t>
      </w:r>
      <w:r w:rsidR="00F8007E" w:rsidRPr="009356FC">
        <w:rPr>
          <w:lang w:val="en-GB"/>
        </w:rPr>
        <w:t>streng</w:t>
      </w:r>
      <w:r w:rsidR="00F8007E" w:rsidRPr="00F70FDA">
        <w:rPr>
          <w:lang w:val="en-GB"/>
        </w:rPr>
        <w:t>thened</w:t>
      </w:r>
      <w:r w:rsidRPr="00F70FDA">
        <w:rPr>
          <w:lang w:val="en-GB"/>
        </w:rPr>
        <w:t>;</w:t>
      </w:r>
    </w:p>
    <w:p w:rsidR="003714AD" w:rsidRPr="009356FC" w:rsidRDefault="00F566CE"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Pr>
          <w:lang w:val="en-GB"/>
        </w:rPr>
        <w:t>S</w:t>
      </w:r>
      <w:r w:rsidRPr="009356FC">
        <w:rPr>
          <w:lang w:val="en-GB"/>
        </w:rPr>
        <w:t>ubmis</w:t>
      </w:r>
      <w:r>
        <w:rPr>
          <w:lang w:val="en-GB"/>
        </w:rPr>
        <w:t xml:space="preserve">sion of </w:t>
      </w:r>
      <w:r w:rsidR="003714AD" w:rsidRPr="009356FC">
        <w:rPr>
          <w:lang w:val="en-GB"/>
        </w:rPr>
        <w:t xml:space="preserve"> proposals for review of chemicals </w:t>
      </w:r>
      <w:r w:rsidR="006137A7">
        <w:rPr>
          <w:lang w:val="en-GB"/>
        </w:rPr>
        <w:t xml:space="preserve">under the work of </w:t>
      </w:r>
      <w:r w:rsidR="003714AD" w:rsidRPr="009356FC">
        <w:rPr>
          <w:lang w:val="en-GB"/>
        </w:rPr>
        <w:t xml:space="preserve">the </w:t>
      </w:r>
      <w:r w:rsidR="00A24C64" w:rsidRPr="00A24C64">
        <w:rPr>
          <w:lang w:val="en-GB"/>
        </w:rPr>
        <w:t xml:space="preserve">Chemical Review </w:t>
      </w:r>
      <w:r w:rsidR="00872DDB">
        <w:rPr>
          <w:lang w:val="en-GB"/>
        </w:rPr>
        <w:t xml:space="preserve">Committee </w:t>
      </w:r>
      <w:r w:rsidR="00A24C64" w:rsidRPr="00A24C64">
        <w:rPr>
          <w:lang w:val="en-GB"/>
        </w:rPr>
        <w:t xml:space="preserve">and the POPs Review </w:t>
      </w:r>
      <w:r w:rsidR="00E22DBB">
        <w:rPr>
          <w:lang w:val="en-GB"/>
        </w:rPr>
        <w:t>C</w:t>
      </w:r>
      <w:r w:rsidR="00A24C64" w:rsidRPr="00A24C64">
        <w:rPr>
          <w:lang w:val="en-GB"/>
        </w:rPr>
        <w:t>ommittee</w:t>
      </w:r>
      <w:r w:rsidRPr="00F566CE">
        <w:rPr>
          <w:lang w:val="en-GB"/>
        </w:rPr>
        <w:t xml:space="preserve"> </w:t>
      </w:r>
      <w:r>
        <w:rPr>
          <w:lang w:val="en-GB"/>
        </w:rPr>
        <w:t>by P</w:t>
      </w:r>
      <w:r w:rsidRPr="009356FC">
        <w:rPr>
          <w:lang w:val="en-GB"/>
        </w:rPr>
        <w:t xml:space="preserve">arties </w:t>
      </w:r>
      <w:r>
        <w:rPr>
          <w:lang w:val="en-GB"/>
        </w:rPr>
        <w:t>from different regions</w:t>
      </w:r>
      <w:r w:rsidR="003714AD" w:rsidRPr="009356FC">
        <w:rPr>
          <w:lang w:val="en-GB"/>
        </w:rPr>
        <w:t>;</w:t>
      </w:r>
    </w:p>
    <w:p w:rsidR="001B0181" w:rsidRDefault="00E13D4E"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Pr>
          <w:lang w:val="en-GB"/>
        </w:rPr>
        <w:t>National experts are trained on collecting data for the n</w:t>
      </w:r>
      <w:r w:rsidR="001B0181">
        <w:rPr>
          <w:lang w:val="en-GB"/>
        </w:rPr>
        <w:t>ational reporting</w:t>
      </w:r>
      <w:r>
        <w:rPr>
          <w:lang w:val="en-GB"/>
        </w:rPr>
        <w:t xml:space="preserve"> under the Basel and Stockholm conventions;</w:t>
      </w:r>
    </w:p>
    <w:p w:rsidR="003714AD" w:rsidRPr="009356FC" w:rsidRDefault="003714AD"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 xml:space="preserve">Data  </w:t>
      </w:r>
      <w:r w:rsidR="00FC3DF5">
        <w:rPr>
          <w:lang w:val="en-GB"/>
        </w:rPr>
        <w:t xml:space="preserve">transmitted by Parties </w:t>
      </w:r>
      <w:r w:rsidRPr="009356FC">
        <w:rPr>
          <w:lang w:val="en-GB"/>
        </w:rPr>
        <w:t xml:space="preserve">is used for </w:t>
      </w:r>
      <w:r w:rsidR="004A11A0" w:rsidRPr="009356FC">
        <w:rPr>
          <w:lang w:val="en-GB"/>
        </w:rPr>
        <w:t xml:space="preserve">the monitoring of the implementation of the specific targets </w:t>
      </w:r>
      <w:r w:rsidR="006137A7">
        <w:rPr>
          <w:lang w:val="en-GB"/>
        </w:rPr>
        <w:t xml:space="preserve">and indicators </w:t>
      </w:r>
      <w:r w:rsidR="004A11A0" w:rsidRPr="009356FC">
        <w:rPr>
          <w:lang w:val="en-GB"/>
        </w:rPr>
        <w:t xml:space="preserve">under the </w:t>
      </w:r>
      <w:r w:rsidRPr="009356FC">
        <w:rPr>
          <w:lang w:val="en-GB"/>
        </w:rPr>
        <w:t>2030 Agenda for Sustainable Development;</w:t>
      </w:r>
    </w:p>
    <w:p w:rsidR="003714AD" w:rsidRDefault="003714AD"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A pool of skilled government officials from different regions is available for chairing meeti</w:t>
      </w:r>
      <w:r w:rsidR="004279B0">
        <w:rPr>
          <w:lang w:val="en-GB"/>
        </w:rPr>
        <w:t>ngs;</w:t>
      </w:r>
    </w:p>
    <w:p w:rsidR="00FD60EB" w:rsidRPr="009356FC" w:rsidRDefault="005676F5"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GB"/>
        </w:rPr>
      </w:pPr>
      <w:r w:rsidRPr="005676F5">
        <w:rPr>
          <w:lang w:val="en-GB"/>
        </w:rPr>
        <w:t>National and regional capacity to use scientific information in decision-making to implement the Conventions is strengthened</w:t>
      </w:r>
      <w:r w:rsidR="00D5384A">
        <w:rPr>
          <w:lang w:val="en-GB"/>
        </w:rPr>
        <w:t>;</w:t>
      </w:r>
    </w:p>
    <w:p w:rsidR="006137A7" w:rsidRDefault="0071471C"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US"/>
        </w:rPr>
      </w:pPr>
      <w:r w:rsidRPr="009356FC">
        <w:rPr>
          <w:lang w:val="en-GB"/>
        </w:rPr>
        <w:t xml:space="preserve">National strategies and plans on chemicals and wastes </w:t>
      </w:r>
      <w:r w:rsidR="008E058F" w:rsidRPr="009356FC">
        <w:rPr>
          <w:lang w:val="en-GB"/>
        </w:rPr>
        <w:t>management</w:t>
      </w:r>
      <w:r w:rsidRPr="009356FC">
        <w:rPr>
          <w:lang w:val="en-GB"/>
        </w:rPr>
        <w:t xml:space="preserve"> and the </w:t>
      </w:r>
      <w:r w:rsidR="00C179B9" w:rsidRPr="00C179B9">
        <w:rPr>
          <w:lang w:val="en-GB"/>
        </w:rPr>
        <w:t>Basel, Rotterdam and Stockholm</w:t>
      </w:r>
      <w:r w:rsidRPr="009356FC">
        <w:rPr>
          <w:lang w:val="en-GB"/>
        </w:rPr>
        <w:t xml:space="preserve"> </w:t>
      </w:r>
      <w:r w:rsidR="00C179B9">
        <w:rPr>
          <w:lang w:val="en-GB"/>
        </w:rPr>
        <w:t>c</w:t>
      </w:r>
      <w:r w:rsidRPr="009356FC">
        <w:rPr>
          <w:lang w:val="en-GB"/>
        </w:rPr>
        <w:t>onventions include g</w:t>
      </w:r>
      <w:r w:rsidR="003714AD" w:rsidRPr="009356FC">
        <w:rPr>
          <w:lang w:val="en-GB"/>
        </w:rPr>
        <w:t>ender issues</w:t>
      </w:r>
      <w:r w:rsidR="006137A7">
        <w:rPr>
          <w:lang w:val="en-GB"/>
        </w:rPr>
        <w:t xml:space="preserve"> and </w:t>
      </w:r>
      <w:r w:rsidR="00A24C64" w:rsidRPr="00A24C64">
        <w:rPr>
          <w:lang w:val="en-GB"/>
        </w:rPr>
        <w:t xml:space="preserve">gender focus </w:t>
      </w:r>
      <w:r w:rsidR="006137A7">
        <w:rPr>
          <w:lang w:val="en-GB"/>
        </w:rPr>
        <w:t xml:space="preserve">is included in activities tackling </w:t>
      </w:r>
      <w:r w:rsidR="00A24C64" w:rsidRPr="00A24C64">
        <w:rPr>
          <w:lang w:val="en-GB"/>
        </w:rPr>
        <w:t xml:space="preserve"> specific challenges faced by men, women, girls and boys as well as ingenious people and other groups</w:t>
      </w:r>
      <w:r w:rsidR="008E058F" w:rsidRPr="009356FC">
        <w:rPr>
          <w:lang w:val="en-US"/>
        </w:rPr>
        <w:t>;</w:t>
      </w:r>
    </w:p>
    <w:p w:rsidR="00D47BDD" w:rsidRPr="00D47BDD" w:rsidRDefault="00A24C64" w:rsidP="004C62B6">
      <w:pPr>
        <w:pStyle w:val="NormalNonumber"/>
        <w:numPr>
          <w:ilvl w:val="0"/>
          <w:numId w:val="28"/>
        </w:numPr>
        <w:tabs>
          <w:tab w:val="clear" w:pos="1247"/>
          <w:tab w:val="clear" w:pos="1814"/>
          <w:tab w:val="clear" w:pos="2381"/>
          <w:tab w:val="clear" w:pos="2948"/>
          <w:tab w:val="clear" w:pos="3515"/>
          <w:tab w:val="clear" w:pos="4082"/>
        </w:tabs>
        <w:snapToGrid w:val="0"/>
        <w:ind w:left="1890" w:hanging="630"/>
        <w:rPr>
          <w:lang w:val="en-US"/>
        </w:rPr>
      </w:pPr>
      <w:r w:rsidRPr="00A24C64">
        <w:rPr>
          <w:lang w:val="en-GB"/>
        </w:rPr>
        <w:t xml:space="preserve">Parties </w:t>
      </w:r>
      <w:r w:rsidR="006137A7">
        <w:rPr>
          <w:lang w:val="en-GB"/>
        </w:rPr>
        <w:t xml:space="preserve">are trained </w:t>
      </w:r>
      <w:r w:rsidRPr="00A24C64">
        <w:rPr>
          <w:lang w:val="en-GB"/>
        </w:rPr>
        <w:t xml:space="preserve">on prevention, preparedness for hazardous and chemicals emergencies organized by partners, such as </w:t>
      </w:r>
      <w:r w:rsidR="00D47BDD">
        <w:rPr>
          <w:lang w:val="en-GB"/>
        </w:rPr>
        <w:t xml:space="preserve">the </w:t>
      </w:r>
      <w:r w:rsidR="00D47BDD" w:rsidRPr="00D47BDD">
        <w:rPr>
          <w:lang w:val="en-GB"/>
        </w:rPr>
        <w:t>United Nations Office for the Coordination of Humanitarian Affairs</w:t>
      </w:r>
      <w:r w:rsidRPr="00A24C64">
        <w:rPr>
          <w:lang w:val="en-GB"/>
        </w:rPr>
        <w:t>, UNEP Disasters and Conflicts and others</w:t>
      </w:r>
      <w:r w:rsidR="006137A7">
        <w:rPr>
          <w:lang w:val="en-GB"/>
        </w:rPr>
        <w:t>.</w:t>
      </w:r>
    </w:p>
    <w:p w:rsidR="00B65E80" w:rsidRPr="00DE12EC" w:rsidRDefault="0025518C" w:rsidP="0025518C">
      <w:pPr>
        <w:keepNext/>
        <w:tabs>
          <w:tab w:val="right" w:pos="993"/>
        </w:tabs>
        <w:snapToGrid w:val="0"/>
        <w:spacing w:after="120"/>
        <w:ind w:left="1276" w:hanging="1276"/>
        <w:rPr>
          <w:b/>
          <w:sz w:val="20"/>
        </w:rPr>
      </w:pPr>
      <w:r>
        <w:rPr>
          <w:b/>
          <w:sz w:val="20"/>
        </w:rPr>
        <w:tab/>
      </w:r>
      <w:r w:rsidR="00DE12EC" w:rsidRPr="00DE12EC">
        <w:rPr>
          <w:b/>
          <w:sz w:val="20"/>
        </w:rPr>
        <w:t xml:space="preserve">(b) </w:t>
      </w:r>
      <w:r w:rsidR="00DE12EC" w:rsidRPr="00DE12EC">
        <w:rPr>
          <w:b/>
          <w:sz w:val="20"/>
        </w:rPr>
        <w:tab/>
      </w:r>
      <w:r w:rsidR="00B65E80" w:rsidRPr="0025518C">
        <w:rPr>
          <w:b/>
          <w:sz w:val="20"/>
          <w:lang w:val="en-US"/>
        </w:rPr>
        <w:t>Indicators</w:t>
      </w:r>
    </w:p>
    <w:p w:rsidR="00E13D4E" w:rsidRDefault="00B65E80" w:rsidP="004C62B6">
      <w:pPr>
        <w:pStyle w:val="ListParagraph"/>
        <w:numPr>
          <w:ilvl w:val="4"/>
          <w:numId w:val="29"/>
        </w:numPr>
        <w:snapToGrid w:val="0"/>
        <w:spacing w:after="120"/>
        <w:ind w:left="1890" w:hanging="630"/>
        <w:contextualSpacing w:val="0"/>
        <w:rPr>
          <w:sz w:val="20"/>
        </w:rPr>
      </w:pPr>
      <w:r w:rsidRPr="00DE12EC">
        <w:rPr>
          <w:sz w:val="20"/>
        </w:rPr>
        <w:t>Needs assessment database is updated on regular</w:t>
      </w:r>
      <w:r w:rsidRPr="009356FC">
        <w:rPr>
          <w:sz w:val="20"/>
        </w:rPr>
        <w:t xml:space="preserve"> basis and available on the website of the </w:t>
      </w:r>
      <w:r w:rsidR="00887977" w:rsidRPr="00887977">
        <w:rPr>
          <w:sz w:val="20"/>
        </w:rPr>
        <w:t>Basel, Rotterdam and Stockholm</w:t>
      </w:r>
      <w:r w:rsidRPr="009356FC">
        <w:rPr>
          <w:sz w:val="20"/>
        </w:rPr>
        <w:t xml:space="preserve"> conventions</w:t>
      </w:r>
      <w:r w:rsidR="006137A7">
        <w:rPr>
          <w:sz w:val="20"/>
        </w:rPr>
        <w:t>;</w:t>
      </w:r>
    </w:p>
    <w:p w:rsidR="00B65E80" w:rsidRPr="00421660" w:rsidRDefault="00E13D4E" w:rsidP="004C62B6">
      <w:pPr>
        <w:pStyle w:val="ListParagraph"/>
        <w:numPr>
          <w:ilvl w:val="4"/>
          <w:numId w:val="29"/>
        </w:numPr>
        <w:snapToGrid w:val="0"/>
        <w:spacing w:after="120"/>
        <w:ind w:left="1890" w:hanging="630"/>
        <w:contextualSpacing w:val="0"/>
        <w:rPr>
          <w:sz w:val="18"/>
        </w:rPr>
      </w:pPr>
      <w:r w:rsidRPr="00421660">
        <w:rPr>
          <w:sz w:val="20"/>
        </w:rPr>
        <w:t xml:space="preserve">Institutional frameworks and information exchange mechanisms are established in at </w:t>
      </w:r>
      <w:r w:rsidR="00F566CE">
        <w:rPr>
          <w:sz w:val="20"/>
        </w:rPr>
        <w:t xml:space="preserve">a number of </w:t>
      </w:r>
      <w:r w:rsidRPr="00421660">
        <w:rPr>
          <w:sz w:val="20"/>
        </w:rPr>
        <w:t xml:space="preserve"> Parties;</w:t>
      </w:r>
    </w:p>
    <w:p w:rsidR="00B65E80" w:rsidRPr="009356FC" w:rsidRDefault="00F566CE" w:rsidP="004C62B6">
      <w:pPr>
        <w:pStyle w:val="ListParagraph"/>
        <w:numPr>
          <w:ilvl w:val="4"/>
          <w:numId w:val="29"/>
        </w:numPr>
        <w:snapToGrid w:val="0"/>
        <w:spacing w:after="120"/>
        <w:ind w:left="1890" w:hanging="630"/>
        <w:contextualSpacing w:val="0"/>
        <w:rPr>
          <w:sz w:val="20"/>
        </w:rPr>
      </w:pPr>
      <w:r w:rsidRPr="001B7FF2">
        <w:rPr>
          <w:sz w:val="20"/>
        </w:rPr>
        <w:t xml:space="preserve">Number of </w:t>
      </w:r>
      <w:r w:rsidR="00B65E80" w:rsidRPr="009356FC">
        <w:rPr>
          <w:sz w:val="20"/>
        </w:rPr>
        <w:t>Parties that</w:t>
      </w:r>
      <w:r>
        <w:rPr>
          <w:sz w:val="20"/>
        </w:rPr>
        <w:t xml:space="preserve"> have </w:t>
      </w:r>
      <w:r w:rsidR="00B65E80" w:rsidRPr="009356FC">
        <w:rPr>
          <w:sz w:val="20"/>
        </w:rPr>
        <w:t xml:space="preserve"> participated in the technical assistance activities </w:t>
      </w:r>
      <w:r w:rsidR="000F1801">
        <w:rPr>
          <w:sz w:val="20"/>
        </w:rPr>
        <w:t xml:space="preserve">have </w:t>
      </w:r>
      <w:r w:rsidR="00B65E80" w:rsidRPr="009356FC">
        <w:rPr>
          <w:sz w:val="20"/>
        </w:rPr>
        <w:t>address</w:t>
      </w:r>
      <w:r w:rsidR="000F1801">
        <w:rPr>
          <w:sz w:val="20"/>
        </w:rPr>
        <w:t>ed</w:t>
      </w:r>
      <w:r w:rsidR="00B65E80" w:rsidRPr="009356FC">
        <w:rPr>
          <w:sz w:val="20"/>
        </w:rPr>
        <w:t xml:space="preserve"> challenges related to the development of legislation and import/export procedures and/or illegal traffic;</w:t>
      </w:r>
    </w:p>
    <w:p w:rsidR="00B65E80" w:rsidRPr="002A5561" w:rsidRDefault="00B65E80" w:rsidP="004C62B6">
      <w:pPr>
        <w:pStyle w:val="ListParagraph"/>
        <w:numPr>
          <w:ilvl w:val="4"/>
          <w:numId w:val="29"/>
        </w:numPr>
        <w:snapToGrid w:val="0"/>
        <w:spacing w:after="120"/>
        <w:ind w:left="1890" w:hanging="630"/>
        <w:contextualSpacing w:val="0"/>
        <w:rPr>
          <w:sz w:val="20"/>
        </w:rPr>
      </w:pPr>
      <w:r w:rsidRPr="009356FC">
        <w:rPr>
          <w:sz w:val="20"/>
        </w:rPr>
        <w:t xml:space="preserve">Number of information submissions to the Chemicals Review </w:t>
      </w:r>
      <w:r w:rsidR="00385F64" w:rsidRPr="00385F64">
        <w:rPr>
          <w:sz w:val="20"/>
        </w:rPr>
        <w:t xml:space="preserve">Committee </w:t>
      </w:r>
      <w:r w:rsidRPr="009356FC">
        <w:rPr>
          <w:sz w:val="20"/>
        </w:rPr>
        <w:t xml:space="preserve">and the POPs Review </w:t>
      </w:r>
      <w:r w:rsidRPr="002A5561">
        <w:rPr>
          <w:sz w:val="20"/>
        </w:rPr>
        <w:t>Committees by Parties, members and stakeholders in regions</w:t>
      </w:r>
      <w:r w:rsidR="006137A7" w:rsidRPr="002A5561">
        <w:rPr>
          <w:sz w:val="20"/>
        </w:rPr>
        <w:t xml:space="preserve"> trained</w:t>
      </w:r>
      <w:r w:rsidRPr="002A5561">
        <w:rPr>
          <w:sz w:val="20"/>
        </w:rPr>
        <w:t>;</w:t>
      </w:r>
    </w:p>
    <w:p w:rsidR="00B65E80" w:rsidRDefault="000F1801" w:rsidP="004C62B6">
      <w:pPr>
        <w:pStyle w:val="ListParagraph"/>
        <w:numPr>
          <w:ilvl w:val="4"/>
          <w:numId w:val="29"/>
        </w:numPr>
        <w:snapToGrid w:val="0"/>
        <w:spacing w:after="120"/>
        <w:ind w:left="1890" w:hanging="630"/>
        <w:contextualSpacing w:val="0"/>
        <w:rPr>
          <w:sz w:val="20"/>
        </w:rPr>
      </w:pPr>
      <w:r>
        <w:rPr>
          <w:sz w:val="20"/>
        </w:rPr>
        <w:lastRenderedPageBreak/>
        <w:t>N</w:t>
      </w:r>
      <w:r w:rsidR="00A24C64" w:rsidRPr="00A24C64">
        <w:rPr>
          <w:sz w:val="20"/>
        </w:rPr>
        <w:t xml:space="preserve">umber of Parties </w:t>
      </w:r>
      <w:r w:rsidR="002A5561">
        <w:rPr>
          <w:sz w:val="20"/>
        </w:rPr>
        <w:t xml:space="preserve">participating </w:t>
      </w:r>
      <w:r w:rsidR="00A24C64" w:rsidRPr="00A24C64">
        <w:rPr>
          <w:sz w:val="20"/>
        </w:rPr>
        <w:t xml:space="preserve">in the </w:t>
      </w:r>
      <w:r w:rsidR="00FC3DF5" w:rsidRPr="00FC3DF5">
        <w:rPr>
          <w:sz w:val="20"/>
        </w:rPr>
        <w:t>technical assistance activities</w:t>
      </w:r>
      <w:r w:rsidR="00A24C64" w:rsidRPr="00A24C64">
        <w:rPr>
          <w:sz w:val="20"/>
        </w:rPr>
        <w:t xml:space="preserve"> </w:t>
      </w:r>
      <w:r w:rsidR="002A5561">
        <w:rPr>
          <w:sz w:val="20"/>
        </w:rPr>
        <w:t>that</w:t>
      </w:r>
      <w:r w:rsidR="00A24C64" w:rsidRPr="00A24C64">
        <w:rPr>
          <w:sz w:val="20"/>
        </w:rPr>
        <w:t xml:space="preserve"> submit  national reports </w:t>
      </w:r>
      <w:r w:rsidR="00A24C64" w:rsidRPr="00A24C64">
        <w:rPr>
          <w:sz w:val="20"/>
          <w:lang w:eastAsia="en-GB"/>
        </w:rPr>
        <w:t xml:space="preserve">under the Basel and Stockholm </w:t>
      </w:r>
      <w:r w:rsidR="00337B93">
        <w:rPr>
          <w:sz w:val="20"/>
          <w:lang w:eastAsia="en-GB"/>
        </w:rPr>
        <w:t>c</w:t>
      </w:r>
      <w:r w:rsidR="00A24C64" w:rsidRPr="00A24C64">
        <w:rPr>
          <w:sz w:val="20"/>
          <w:lang w:eastAsia="en-GB"/>
        </w:rPr>
        <w:t>onventions</w:t>
      </w:r>
      <w:r w:rsidR="00B65E80" w:rsidRPr="002A5561">
        <w:rPr>
          <w:sz w:val="20"/>
        </w:rPr>
        <w:t>;</w:t>
      </w:r>
    </w:p>
    <w:p w:rsidR="00FC3DF5" w:rsidRPr="002A5561" w:rsidRDefault="006960E8" w:rsidP="004C62B6">
      <w:pPr>
        <w:pStyle w:val="ListParagraph"/>
        <w:numPr>
          <w:ilvl w:val="4"/>
          <w:numId w:val="29"/>
        </w:numPr>
        <w:snapToGrid w:val="0"/>
        <w:spacing w:after="120"/>
        <w:ind w:left="1890" w:hanging="630"/>
        <w:contextualSpacing w:val="0"/>
        <w:rPr>
          <w:sz w:val="20"/>
        </w:rPr>
      </w:pPr>
      <w:r>
        <w:rPr>
          <w:sz w:val="20"/>
        </w:rPr>
        <w:t xml:space="preserve">Cooperation between relevant agencies and statistical offices enhanced in </w:t>
      </w:r>
      <w:r w:rsidR="00F566CE">
        <w:rPr>
          <w:sz w:val="20"/>
        </w:rPr>
        <w:t xml:space="preserve">a number of </w:t>
      </w:r>
      <w:r w:rsidR="000F1801">
        <w:rPr>
          <w:sz w:val="20"/>
        </w:rPr>
        <w:t>Parties</w:t>
      </w:r>
      <w:r>
        <w:rPr>
          <w:sz w:val="20"/>
        </w:rPr>
        <w:t>;</w:t>
      </w:r>
    </w:p>
    <w:p w:rsidR="006137A7" w:rsidRPr="00223DC6" w:rsidRDefault="00F566CE" w:rsidP="004C62B6">
      <w:pPr>
        <w:pStyle w:val="ListParagraph"/>
        <w:numPr>
          <w:ilvl w:val="4"/>
          <w:numId w:val="29"/>
        </w:numPr>
        <w:snapToGrid w:val="0"/>
        <w:spacing w:after="120"/>
        <w:ind w:left="1890" w:hanging="630"/>
        <w:contextualSpacing w:val="0"/>
        <w:rPr>
          <w:sz w:val="20"/>
        </w:rPr>
      </w:pPr>
      <w:r w:rsidRPr="00223DC6">
        <w:rPr>
          <w:sz w:val="20"/>
        </w:rPr>
        <w:t>Number of participants</w:t>
      </w:r>
      <w:r w:rsidR="006137A7" w:rsidRPr="00223DC6">
        <w:rPr>
          <w:sz w:val="20"/>
        </w:rPr>
        <w:t xml:space="preserve"> </w:t>
      </w:r>
      <w:r w:rsidR="00FC3DF5" w:rsidRPr="00223DC6">
        <w:rPr>
          <w:sz w:val="20"/>
        </w:rPr>
        <w:t>trained on</w:t>
      </w:r>
      <w:r w:rsidR="006137A7" w:rsidRPr="00223DC6">
        <w:rPr>
          <w:sz w:val="20"/>
        </w:rPr>
        <w:t xml:space="preserve"> chairing and negotiations;</w:t>
      </w:r>
    </w:p>
    <w:p w:rsidR="00E4229D" w:rsidRPr="00223DC6" w:rsidRDefault="005676F5" w:rsidP="004C62B6">
      <w:pPr>
        <w:pStyle w:val="ListParagraph"/>
        <w:numPr>
          <w:ilvl w:val="4"/>
          <w:numId w:val="29"/>
        </w:numPr>
        <w:snapToGrid w:val="0"/>
        <w:spacing w:after="120"/>
        <w:ind w:left="1890" w:hanging="630"/>
        <w:contextualSpacing w:val="0"/>
        <w:rPr>
          <w:sz w:val="20"/>
        </w:rPr>
      </w:pPr>
      <w:r w:rsidRPr="005676F5">
        <w:rPr>
          <w:sz w:val="20"/>
          <w:lang w:val="en-US"/>
        </w:rPr>
        <w:t>Number of Parties  providing scientific inputs to the various processes under the conventions</w:t>
      </w:r>
      <w:r w:rsidR="00223DC6">
        <w:rPr>
          <w:sz w:val="20"/>
          <w:lang w:val="en-US"/>
        </w:rPr>
        <w:t>;</w:t>
      </w:r>
    </w:p>
    <w:p w:rsidR="00587C29" w:rsidRPr="00587C29" w:rsidRDefault="00F1630F" w:rsidP="004C62B6">
      <w:pPr>
        <w:pStyle w:val="NormalNonumber"/>
        <w:numPr>
          <w:ilvl w:val="4"/>
          <w:numId w:val="29"/>
        </w:numPr>
        <w:tabs>
          <w:tab w:val="clear" w:pos="1247"/>
          <w:tab w:val="clear" w:pos="1814"/>
          <w:tab w:val="clear" w:pos="2381"/>
          <w:tab w:val="clear" w:pos="2948"/>
          <w:tab w:val="clear" w:pos="3515"/>
          <w:tab w:val="clear" w:pos="4082"/>
        </w:tabs>
        <w:snapToGrid w:val="0"/>
        <w:ind w:left="1890" w:hanging="630"/>
        <w:rPr>
          <w:lang w:val="en-US"/>
        </w:rPr>
      </w:pPr>
      <w:r>
        <w:rPr>
          <w:lang w:val="en-US"/>
        </w:rPr>
        <w:t>N</w:t>
      </w:r>
      <w:r w:rsidR="00B65E80" w:rsidRPr="00587C29">
        <w:rPr>
          <w:lang w:val="en-US"/>
        </w:rPr>
        <w:t xml:space="preserve">umber of </w:t>
      </w:r>
      <w:r>
        <w:rPr>
          <w:lang w:val="en-US"/>
        </w:rPr>
        <w:t>Parties that are</w:t>
      </w:r>
      <w:r w:rsidR="00B65E80" w:rsidRPr="00587C29">
        <w:rPr>
          <w:lang w:val="en-US"/>
        </w:rPr>
        <w:t xml:space="preserve"> aware of</w:t>
      </w:r>
      <w:r>
        <w:rPr>
          <w:lang w:val="en-US"/>
        </w:rPr>
        <w:t xml:space="preserve"> the</w:t>
      </w:r>
      <w:r w:rsidR="00B65E80" w:rsidRPr="00587C29">
        <w:rPr>
          <w:lang w:val="en-US"/>
        </w:rPr>
        <w:t xml:space="preserve"> importance of gender issues </w:t>
      </w:r>
      <w:r>
        <w:rPr>
          <w:lang w:val="en-US"/>
        </w:rPr>
        <w:t xml:space="preserve">when  </w:t>
      </w:r>
      <w:r w:rsidR="00B65E80" w:rsidRPr="00587C29">
        <w:rPr>
          <w:lang w:val="en-US"/>
        </w:rPr>
        <w:t xml:space="preserve">mainstreaming chemicals and wastes and </w:t>
      </w:r>
      <w:r w:rsidR="00334838" w:rsidRPr="00334838">
        <w:rPr>
          <w:lang w:val="en-US"/>
        </w:rPr>
        <w:t>Basel, Rotterdam and Stockholm</w:t>
      </w:r>
      <w:r w:rsidR="00B65E80" w:rsidRPr="00587C29">
        <w:rPr>
          <w:lang w:val="en-US"/>
        </w:rPr>
        <w:t xml:space="preserve"> conventions into the national strategies and plans;</w:t>
      </w:r>
    </w:p>
    <w:p w:rsidR="00587C29" w:rsidRPr="009356FC" w:rsidRDefault="00F1630F" w:rsidP="004C62B6">
      <w:pPr>
        <w:pStyle w:val="NormalNonumber"/>
        <w:numPr>
          <w:ilvl w:val="4"/>
          <w:numId w:val="29"/>
        </w:numPr>
        <w:tabs>
          <w:tab w:val="clear" w:pos="1247"/>
          <w:tab w:val="clear" w:pos="1814"/>
          <w:tab w:val="clear" w:pos="2381"/>
          <w:tab w:val="clear" w:pos="2948"/>
          <w:tab w:val="clear" w:pos="3515"/>
          <w:tab w:val="clear" w:pos="4082"/>
        </w:tabs>
        <w:snapToGrid w:val="0"/>
        <w:ind w:left="1890" w:hanging="630"/>
        <w:rPr>
          <w:lang w:val="en-US"/>
        </w:rPr>
      </w:pPr>
      <w:r>
        <w:rPr>
          <w:bCs/>
          <w:lang w:val="en-US"/>
        </w:rPr>
        <w:t>N</w:t>
      </w:r>
      <w:r w:rsidR="00587C29" w:rsidRPr="009356FC">
        <w:rPr>
          <w:bCs/>
          <w:lang w:val="en-US"/>
        </w:rPr>
        <w:t xml:space="preserve">umber of Parties to the </w:t>
      </w:r>
      <w:r w:rsidR="00334838" w:rsidRPr="00C179B9">
        <w:rPr>
          <w:lang w:val="en-GB"/>
        </w:rPr>
        <w:t>Basel, Rotterdam and Stockholm</w:t>
      </w:r>
      <w:r w:rsidR="00587C29" w:rsidRPr="009356FC">
        <w:rPr>
          <w:bCs/>
          <w:lang w:val="en-US"/>
        </w:rPr>
        <w:t xml:space="preserve"> </w:t>
      </w:r>
      <w:r w:rsidR="00334838">
        <w:rPr>
          <w:bCs/>
          <w:lang w:val="en-US"/>
        </w:rPr>
        <w:t>c</w:t>
      </w:r>
      <w:r w:rsidR="00587C29" w:rsidRPr="009356FC">
        <w:rPr>
          <w:bCs/>
          <w:lang w:val="en-US"/>
        </w:rPr>
        <w:t xml:space="preserve">onventions that are aware about prevention and preparedness for waste and chemicals emergencies and coordinate efforts in this regard at the national level. </w:t>
      </w:r>
    </w:p>
    <w:p w:rsidR="0091009C" w:rsidRPr="009356FC" w:rsidRDefault="00954014" w:rsidP="00954014">
      <w:pPr>
        <w:pStyle w:val="NormalNonumber"/>
        <w:keepNext/>
        <w:tabs>
          <w:tab w:val="clear" w:pos="1247"/>
          <w:tab w:val="clear" w:pos="1814"/>
          <w:tab w:val="clear" w:pos="2381"/>
          <w:tab w:val="clear" w:pos="2948"/>
          <w:tab w:val="clear" w:pos="3515"/>
          <w:tab w:val="clear" w:pos="4082"/>
          <w:tab w:val="right" w:pos="993"/>
        </w:tabs>
        <w:snapToGrid w:val="0"/>
        <w:ind w:left="1276" w:hanging="1276"/>
        <w:rPr>
          <w:b/>
          <w:lang w:val="en-US"/>
        </w:rPr>
      </w:pPr>
      <w:r>
        <w:rPr>
          <w:b/>
          <w:bCs/>
          <w:lang w:val="en-US"/>
        </w:rPr>
        <w:tab/>
      </w:r>
      <w:r w:rsidR="00DE12EC">
        <w:rPr>
          <w:b/>
          <w:bCs/>
          <w:lang w:val="en-US"/>
        </w:rPr>
        <w:t>2.</w:t>
      </w:r>
      <w:r w:rsidR="00DE12EC">
        <w:rPr>
          <w:b/>
          <w:bCs/>
          <w:lang w:val="en-US"/>
        </w:rPr>
        <w:tab/>
      </w:r>
      <w:r w:rsidR="008E3028" w:rsidRPr="00954014">
        <w:rPr>
          <w:b/>
          <w:lang w:val="en-US"/>
        </w:rPr>
        <w:t>Outcome</w:t>
      </w:r>
      <w:r w:rsidR="008E3028">
        <w:rPr>
          <w:b/>
          <w:bCs/>
          <w:lang w:val="en-US"/>
        </w:rPr>
        <w:t xml:space="preserve">: </w:t>
      </w:r>
      <w:r w:rsidR="00B1534E" w:rsidRPr="009356FC">
        <w:rPr>
          <w:b/>
          <w:bCs/>
          <w:lang w:val="en-US"/>
        </w:rPr>
        <w:t>Enhance</w:t>
      </w:r>
      <w:r w:rsidR="00D74DC0">
        <w:rPr>
          <w:b/>
          <w:bCs/>
          <w:lang w:val="en-US"/>
        </w:rPr>
        <w:t>d</w:t>
      </w:r>
      <w:r w:rsidR="00B1534E" w:rsidRPr="009356FC">
        <w:rPr>
          <w:b/>
          <w:bCs/>
          <w:lang w:val="en-US"/>
        </w:rPr>
        <w:t xml:space="preserve"> effectiveness of the regional </w:t>
      </w:r>
      <w:proofErr w:type="spellStart"/>
      <w:r w:rsidR="00B1534E" w:rsidRPr="009356FC">
        <w:rPr>
          <w:b/>
          <w:bCs/>
          <w:lang w:val="en-US"/>
        </w:rPr>
        <w:t>centres</w:t>
      </w:r>
      <w:proofErr w:type="spellEnd"/>
    </w:p>
    <w:p w:rsidR="008E058F" w:rsidRPr="009356FC" w:rsidRDefault="0025518C" w:rsidP="0025518C">
      <w:pPr>
        <w:keepNext/>
        <w:tabs>
          <w:tab w:val="right" w:pos="993"/>
        </w:tabs>
        <w:snapToGrid w:val="0"/>
        <w:spacing w:after="120"/>
        <w:ind w:left="1276" w:hanging="1276"/>
        <w:rPr>
          <w:b/>
          <w:sz w:val="20"/>
        </w:rPr>
      </w:pPr>
      <w:r>
        <w:rPr>
          <w:b/>
          <w:sz w:val="20"/>
        </w:rPr>
        <w:tab/>
        <w:t>(a)</w:t>
      </w:r>
      <w:r>
        <w:rPr>
          <w:b/>
          <w:sz w:val="20"/>
        </w:rPr>
        <w:tab/>
      </w:r>
      <w:r w:rsidR="00D87101">
        <w:rPr>
          <w:b/>
          <w:sz w:val="20"/>
        </w:rPr>
        <w:t>Outputs</w:t>
      </w:r>
    </w:p>
    <w:p w:rsidR="008E058F" w:rsidRPr="009356FC" w:rsidRDefault="004A11A0" w:rsidP="004C62B6">
      <w:pPr>
        <w:pStyle w:val="NormalNonumber"/>
        <w:numPr>
          <w:ilvl w:val="0"/>
          <w:numId w:val="31"/>
        </w:numPr>
        <w:tabs>
          <w:tab w:val="clear" w:pos="1247"/>
          <w:tab w:val="clear" w:pos="1814"/>
          <w:tab w:val="clear" w:pos="2381"/>
          <w:tab w:val="clear" w:pos="2948"/>
          <w:tab w:val="clear" w:pos="3515"/>
          <w:tab w:val="clear" w:pos="4082"/>
        </w:tabs>
        <w:snapToGrid w:val="0"/>
        <w:ind w:left="1890" w:hanging="630"/>
        <w:rPr>
          <w:lang w:val="en-GB"/>
        </w:rPr>
      </w:pPr>
      <w:r w:rsidRPr="009356FC">
        <w:rPr>
          <w:lang w:val="en-GB"/>
        </w:rPr>
        <w:t xml:space="preserve">Increased coordination between activities undertaken by regional centres </w:t>
      </w:r>
      <w:r w:rsidR="00D74DC0">
        <w:rPr>
          <w:lang w:val="en-GB"/>
        </w:rPr>
        <w:t xml:space="preserve">through the </w:t>
      </w:r>
      <w:r w:rsidR="00A24C64" w:rsidRPr="00A24C64">
        <w:rPr>
          <w:lang w:val="en-GB"/>
        </w:rPr>
        <w:t>annual meetings of the</w:t>
      </w:r>
      <w:r w:rsidR="00D74DC0">
        <w:rPr>
          <w:lang w:val="en-GB"/>
        </w:rPr>
        <w:t xml:space="preserve">ir </w:t>
      </w:r>
      <w:r w:rsidR="00A24C64" w:rsidRPr="00A24C64">
        <w:rPr>
          <w:lang w:val="en-GB"/>
        </w:rPr>
        <w:t>directors</w:t>
      </w:r>
      <w:r w:rsidR="008E058F" w:rsidRPr="009356FC">
        <w:rPr>
          <w:lang w:val="en-GB"/>
        </w:rPr>
        <w:t>;</w:t>
      </w:r>
    </w:p>
    <w:p w:rsidR="00F064D8" w:rsidRPr="007E6D87" w:rsidRDefault="007E6D87" w:rsidP="004C62B6">
      <w:pPr>
        <w:pStyle w:val="NormalNonumber"/>
        <w:numPr>
          <w:ilvl w:val="0"/>
          <w:numId w:val="31"/>
        </w:numPr>
        <w:tabs>
          <w:tab w:val="clear" w:pos="1247"/>
          <w:tab w:val="clear" w:pos="1814"/>
          <w:tab w:val="clear" w:pos="2381"/>
          <w:tab w:val="clear" w:pos="2948"/>
          <w:tab w:val="clear" w:pos="3515"/>
          <w:tab w:val="clear" w:pos="4082"/>
        </w:tabs>
        <w:snapToGrid w:val="0"/>
        <w:ind w:left="1890" w:hanging="630"/>
        <w:rPr>
          <w:lang w:val="en-US"/>
        </w:rPr>
      </w:pPr>
      <w:r w:rsidRPr="007E6D87">
        <w:rPr>
          <w:color w:val="000000"/>
          <w:lang w:val="en-GB" w:eastAsia="en-GB" w:bidi="ne-NP"/>
        </w:rPr>
        <w:t>S</w:t>
      </w:r>
      <w:r w:rsidR="00A24C64" w:rsidRPr="007E6D87">
        <w:rPr>
          <w:color w:val="000000"/>
          <w:lang w:val="en-GB" w:eastAsia="en-GB" w:bidi="ne-NP"/>
        </w:rPr>
        <w:t xml:space="preserve">kills for preparing project proposals </w:t>
      </w:r>
      <w:r w:rsidR="00D74DC0" w:rsidRPr="007E6D87">
        <w:rPr>
          <w:color w:val="000000"/>
          <w:lang w:val="en-GB" w:eastAsia="en-GB" w:bidi="ne-NP"/>
        </w:rPr>
        <w:t>by the regional centres</w:t>
      </w:r>
      <w:r w:rsidRPr="007E6D87">
        <w:rPr>
          <w:color w:val="000000"/>
          <w:lang w:val="en-GB" w:eastAsia="en-GB" w:bidi="ne-NP"/>
        </w:rPr>
        <w:t xml:space="preserve"> strengthened and </w:t>
      </w:r>
      <w:r>
        <w:rPr>
          <w:color w:val="000000"/>
          <w:lang w:val="en-GB" w:eastAsia="en-GB" w:bidi="ne-NP"/>
        </w:rPr>
        <w:t>c</w:t>
      </w:r>
      <w:r w:rsidR="00F064D8" w:rsidRPr="007E6D87">
        <w:rPr>
          <w:color w:val="000000"/>
          <w:lang w:val="en-GB" w:eastAsia="en-GB" w:bidi="ne-NP"/>
        </w:rPr>
        <w:t>ooperation between regional centres and the donor community</w:t>
      </w:r>
      <w:r w:rsidR="00F064D8" w:rsidRPr="007E6D87">
        <w:rPr>
          <w:lang w:val="en-GB"/>
        </w:rPr>
        <w:t xml:space="preserve"> established or enhanced;</w:t>
      </w:r>
    </w:p>
    <w:p w:rsidR="00D74DC0" w:rsidRPr="00D74DC0" w:rsidRDefault="00A24C64" w:rsidP="004C62B6">
      <w:pPr>
        <w:pStyle w:val="NormalNonumber"/>
        <w:numPr>
          <w:ilvl w:val="0"/>
          <w:numId w:val="31"/>
        </w:numPr>
        <w:tabs>
          <w:tab w:val="clear" w:pos="1247"/>
          <w:tab w:val="clear" w:pos="1814"/>
          <w:tab w:val="clear" w:pos="2381"/>
          <w:tab w:val="clear" w:pos="2948"/>
          <w:tab w:val="clear" w:pos="3515"/>
          <w:tab w:val="clear" w:pos="4082"/>
        </w:tabs>
        <w:snapToGrid w:val="0"/>
        <w:ind w:left="1890" w:hanging="630"/>
        <w:rPr>
          <w:lang w:val="en-US"/>
        </w:rPr>
      </w:pPr>
      <w:r w:rsidRPr="00A24C64">
        <w:rPr>
          <w:color w:val="000000"/>
          <w:lang w:val="en-GB" w:eastAsia="en-GB" w:bidi="ne-NP"/>
        </w:rPr>
        <w:t>Enhanc</w:t>
      </w:r>
      <w:r w:rsidR="00D74DC0">
        <w:rPr>
          <w:color w:val="000000"/>
          <w:lang w:val="en-GB" w:eastAsia="en-GB" w:bidi="ne-NP"/>
        </w:rPr>
        <w:t>ed</w:t>
      </w:r>
      <w:r w:rsidRPr="00A24C64">
        <w:rPr>
          <w:color w:val="000000"/>
          <w:lang w:val="en-GB" w:eastAsia="en-GB" w:bidi="ne-NP"/>
        </w:rPr>
        <w:t xml:space="preserve"> visibility of the regional centres </w:t>
      </w:r>
      <w:r w:rsidR="00D74DC0">
        <w:rPr>
          <w:color w:val="000000"/>
          <w:lang w:val="en-GB" w:eastAsia="en-GB" w:bidi="ne-NP"/>
        </w:rPr>
        <w:t xml:space="preserve">through </w:t>
      </w:r>
      <w:r w:rsidRPr="00A24C64">
        <w:rPr>
          <w:color w:val="000000"/>
          <w:lang w:val="en-GB" w:eastAsia="en-GB" w:bidi="ne-NP"/>
        </w:rPr>
        <w:t>their information exchange platforms, web</w:t>
      </w:r>
      <w:r w:rsidR="00434DAD">
        <w:rPr>
          <w:color w:val="000000"/>
          <w:lang w:val="en-GB" w:eastAsia="en-GB" w:bidi="ne-NP"/>
        </w:rPr>
        <w:t xml:space="preserve"> </w:t>
      </w:r>
      <w:r w:rsidRPr="00A24C64">
        <w:rPr>
          <w:color w:val="000000"/>
          <w:lang w:val="en-GB" w:eastAsia="en-GB" w:bidi="ne-NP"/>
        </w:rPr>
        <w:t>portals</w:t>
      </w:r>
      <w:r w:rsidR="00F064D8">
        <w:rPr>
          <w:color w:val="000000"/>
          <w:lang w:val="en-GB" w:eastAsia="en-GB" w:bidi="ne-NP"/>
        </w:rPr>
        <w:t>.</w:t>
      </w:r>
    </w:p>
    <w:p w:rsidR="00B65E80" w:rsidRPr="0025518C" w:rsidRDefault="0025518C" w:rsidP="0025518C">
      <w:pPr>
        <w:keepNext/>
        <w:tabs>
          <w:tab w:val="right" w:pos="993"/>
        </w:tabs>
        <w:snapToGrid w:val="0"/>
        <w:spacing w:after="120"/>
        <w:ind w:left="1276" w:hanging="1276"/>
        <w:rPr>
          <w:b/>
          <w:sz w:val="20"/>
        </w:rPr>
      </w:pPr>
      <w:r w:rsidRPr="0025518C">
        <w:rPr>
          <w:b/>
          <w:sz w:val="20"/>
        </w:rPr>
        <w:tab/>
      </w:r>
      <w:r w:rsidR="00DE12EC" w:rsidRPr="0025518C">
        <w:rPr>
          <w:b/>
          <w:sz w:val="20"/>
        </w:rPr>
        <w:t xml:space="preserve">(b) </w:t>
      </w:r>
      <w:r w:rsidR="00DE12EC" w:rsidRPr="0025518C">
        <w:rPr>
          <w:b/>
          <w:sz w:val="20"/>
        </w:rPr>
        <w:tab/>
      </w:r>
      <w:r w:rsidR="00B65E80" w:rsidRPr="0025518C">
        <w:rPr>
          <w:b/>
          <w:sz w:val="20"/>
        </w:rPr>
        <w:t>Indicators</w:t>
      </w:r>
    </w:p>
    <w:p w:rsidR="00B65E80" w:rsidRPr="009356FC" w:rsidRDefault="00B65E80" w:rsidP="004C62B6">
      <w:pPr>
        <w:pStyle w:val="NormalNonumber"/>
        <w:numPr>
          <w:ilvl w:val="4"/>
          <w:numId w:val="32"/>
        </w:numPr>
        <w:tabs>
          <w:tab w:val="clear" w:pos="1247"/>
          <w:tab w:val="clear" w:pos="1814"/>
          <w:tab w:val="clear" w:pos="2381"/>
          <w:tab w:val="clear" w:pos="2948"/>
          <w:tab w:val="clear" w:pos="3515"/>
          <w:tab w:val="clear" w:pos="4082"/>
        </w:tabs>
        <w:snapToGrid w:val="0"/>
        <w:ind w:left="1890" w:hanging="630"/>
        <w:rPr>
          <w:lang w:val="en-GB"/>
        </w:rPr>
      </w:pPr>
      <w:r w:rsidRPr="009356FC">
        <w:rPr>
          <w:lang w:val="en-US"/>
        </w:rPr>
        <w:t>Number of join</w:t>
      </w:r>
      <w:r w:rsidR="00E22DBB">
        <w:rPr>
          <w:lang w:val="en-US"/>
        </w:rPr>
        <w:t>t</w:t>
      </w:r>
      <w:r w:rsidRPr="009356FC">
        <w:rPr>
          <w:lang w:val="en-US"/>
        </w:rPr>
        <w:t xml:space="preserve"> </w:t>
      </w:r>
      <w:proofErr w:type="spellStart"/>
      <w:r w:rsidRPr="009356FC">
        <w:rPr>
          <w:lang w:val="en-US"/>
        </w:rPr>
        <w:t>programmes</w:t>
      </w:r>
      <w:proofErr w:type="spellEnd"/>
      <w:r w:rsidRPr="009356FC">
        <w:rPr>
          <w:lang w:val="en-US"/>
        </w:rPr>
        <w:t xml:space="preserve"> of the regional </w:t>
      </w:r>
      <w:proofErr w:type="spellStart"/>
      <w:r w:rsidRPr="009356FC">
        <w:rPr>
          <w:lang w:val="en-US"/>
        </w:rPr>
        <w:t>centres</w:t>
      </w:r>
      <w:proofErr w:type="spellEnd"/>
      <w:r w:rsidRPr="009356FC">
        <w:rPr>
          <w:lang w:val="en-US"/>
        </w:rPr>
        <w:t xml:space="preserve"> develop</w:t>
      </w:r>
      <w:r w:rsidR="00F1630F">
        <w:rPr>
          <w:lang w:val="en-US"/>
        </w:rPr>
        <w:t>ed</w:t>
      </w:r>
      <w:r w:rsidRPr="009356FC">
        <w:rPr>
          <w:lang w:val="en-US"/>
        </w:rPr>
        <w:t xml:space="preserve"> and/or further strengthen</w:t>
      </w:r>
      <w:r w:rsidR="00F1630F">
        <w:rPr>
          <w:lang w:val="en-US"/>
        </w:rPr>
        <w:t>ed</w:t>
      </w:r>
      <w:r w:rsidRPr="009356FC">
        <w:rPr>
          <w:lang w:val="en-US"/>
        </w:rPr>
        <w:t xml:space="preserve"> (e.g. regional coordination and division of specialized work areas, follow-up partnership to PACE) during meetings of the directors of the regional </w:t>
      </w:r>
      <w:proofErr w:type="spellStart"/>
      <w:r w:rsidRPr="009356FC">
        <w:rPr>
          <w:lang w:val="en-US"/>
        </w:rPr>
        <w:t>centres</w:t>
      </w:r>
      <w:proofErr w:type="spellEnd"/>
      <w:r w:rsidRPr="009356FC">
        <w:rPr>
          <w:lang w:val="en-US"/>
        </w:rPr>
        <w:t>;</w:t>
      </w:r>
    </w:p>
    <w:p w:rsidR="00624E17" w:rsidRDefault="00B65E80" w:rsidP="004C62B6">
      <w:pPr>
        <w:pStyle w:val="NormalNonumber"/>
        <w:numPr>
          <w:ilvl w:val="4"/>
          <w:numId w:val="32"/>
        </w:numPr>
        <w:tabs>
          <w:tab w:val="clear" w:pos="1247"/>
          <w:tab w:val="clear" w:pos="1814"/>
          <w:tab w:val="clear" w:pos="2381"/>
          <w:tab w:val="clear" w:pos="2948"/>
          <w:tab w:val="clear" w:pos="3515"/>
          <w:tab w:val="clear" w:pos="4082"/>
        </w:tabs>
        <w:snapToGrid w:val="0"/>
        <w:ind w:left="1890" w:hanging="630"/>
        <w:rPr>
          <w:lang w:val="en-GB"/>
        </w:rPr>
      </w:pPr>
      <w:r w:rsidRPr="009356FC">
        <w:rPr>
          <w:lang w:val="en-US"/>
        </w:rPr>
        <w:t xml:space="preserve">Number of regional </w:t>
      </w:r>
      <w:proofErr w:type="spellStart"/>
      <w:r w:rsidRPr="009356FC">
        <w:rPr>
          <w:lang w:val="en-US"/>
        </w:rPr>
        <w:t>centres</w:t>
      </w:r>
      <w:proofErr w:type="spellEnd"/>
      <w:r w:rsidRPr="009356FC">
        <w:rPr>
          <w:lang w:val="en-US"/>
        </w:rPr>
        <w:t xml:space="preserve"> receiving funds to implement </w:t>
      </w:r>
      <w:r w:rsidR="00F1630F">
        <w:rPr>
          <w:lang w:val="en-US"/>
        </w:rPr>
        <w:t xml:space="preserve">chemicals and waste </w:t>
      </w:r>
      <w:r w:rsidRPr="009356FC">
        <w:rPr>
          <w:lang w:val="en-US"/>
        </w:rPr>
        <w:t>projects in a competitive manner;</w:t>
      </w:r>
    </w:p>
    <w:p w:rsidR="0070545C" w:rsidRPr="00624E17" w:rsidRDefault="00B65E80" w:rsidP="00624E17">
      <w:pPr>
        <w:pStyle w:val="NormalNonumber"/>
        <w:numPr>
          <w:ilvl w:val="4"/>
          <w:numId w:val="32"/>
        </w:numPr>
        <w:tabs>
          <w:tab w:val="clear" w:pos="1247"/>
          <w:tab w:val="clear" w:pos="1814"/>
          <w:tab w:val="clear" w:pos="2381"/>
          <w:tab w:val="clear" w:pos="2948"/>
          <w:tab w:val="clear" w:pos="3515"/>
          <w:tab w:val="clear" w:pos="4082"/>
        </w:tabs>
        <w:snapToGrid w:val="0"/>
        <w:ind w:left="1890" w:hanging="630"/>
        <w:rPr>
          <w:lang w:val="en-GB"/>
        </w:rPr>
      </w:pPr>
      <w:r w:rsidRPr="00624E17">
        <w:rPr>
          <w:lang w:val="en-GB"/>
        </w:rPr>
        <w:t>Web</w:t>
      </w:r>
      <w:r w:rsidR="001502C2" w:rsidRPr="00624E17">
        <w:rPr>
          <w:lang w:val="en-GB"/>
        </w:rPr>
        <w:t xml:space="preserve"> </w:t>
      </w:r>
      <w:r w:rsidRPr="00624E17">
        <w:rPr>
          <w:lang w:val="en-GB"/>
        </w:rPr>
        <w:t>portals of regional centres are updated on regular basis</w:t>
      </w:r>
      <w:r w:rsidR="00A52D8B">
        <w:rPr>
          <w:lang w:val="en-GB"/>
        </w:rPr>
        <w:t xml:space="preserve">. </w:t>
      </w:r>
      <w:r w:rsidRPr="00624E17">
        <w:rPr>
          <w:lang w:val="en-GB"/>
        </w:rPr>
        <w:t xml:space="preserve"> </w:t>
      </w:r>
    </w:p>
    <w:p w:rsidR="008164D9" w:rsidRPr="009356FC" w:rsidRDefault="0025518C" w:rsidP="0025518C">
      <w:pPr>
        <w:pStyle w:val="CH1"/>
      </w:pPr>
      <w:r>
        <w:tab/>
      </w:r>
      <w:r w:rsidR="008164D9" w:rsidRPr="009356FC">
        <w:t>V</w:t>
      </w:r>
      <w:r w:rsidR="001B15A9">
        <w:t>I</w:t>
      </w:r>
      <w:r w:rsidR="008164D9" w:rsidRPr="009356FC">
        <w:t>.</w:t>
      </w:r>
      <w:r w:rsidR="008164D9" w:rsidRPr="009356FC">
        <w:tab/>
        <w:t>Means of implementation</w:t>
      </w:r>
    </w:p>
    <w:p w:rsidR="00AD7649" w:rsidRDefault="008164D9">
      <w:pPr>
        <w:pStyle w:val="NormalNonumber"/>
        <w:numPr>
          <w:ilvl w:val="0"/>
          <w:numId w:val="5"/>
        </w:numPr>
        <w:tabs>
          <w:tab w:val="clear" w:pos="2381"/>
          <w:tab w:val="left" w:pos="2520"/>
        </w:tabs>
        <w:ind w:left="1247" w:firstLine="0"/>
        <w:rPr>
          <w:lang w:val="en-US"/>
        </w:rPr>
      </w:pPr>
      <w:r w:rsidRPr="009356FC">
        <w:rPr>
          <w:lang w:val="en-US"/>
        </w:rPr>
        <w:t xml:space="preserve">The plan identifies desirable interventions based on tangible outcomes, </w:t>
      </w:r>
      <w:r w:rsidR="008E1780">
        <w:rPr>
          <w:lang w:val="en-US"/>
        </w:rPr>
        <w:t xml:space="preserve">outputs </w:t>
      </w:r>
      <w:r w:rsidRPr="009356FC">
        <w:rPr>
          <w:lang w:val="en-US"/>
        </w:rPr>
        <w:t xml:space="preserve">and indicators, in line with the strategic directions set by Parties through their respective decisions and </w:t>
      </w:r>
      <w:proofErr w:type="spellStart"/>
      <w:r>
        <w:rPr>
          <w:lang w:val="en-US"/>
        </w:rPr>
        <w:t>programmes</w:t>
      </w:r>
      <w:proofErr w:type="spellEnd"/>
      <w:r w:rsidRPr="009356FC">
        <w:rPr>
          <w:lang w:val="en-US"/>
        </w:rPr>
        <w:t xml:space="preserve"> </w:t>
      </w:r>
      <w:r>
        <w:rPr>
          <w:lang w:val="en-US"/>
        </w:rPr>
        <w:t xml:space="preserve">of </w:t>
      </w:r>
      <w:r w:rsidRPr="009356FC">
        <w:rPr>
          <w:lang w:val="en-US"/>
        </w:rPr>
        <w:t xml:space="preserve">work.  </w:t>
      </w:r>
    </w:p>
    <w:p w:rsidR="00AD7649" w:rsidRDefault="008164D9">
      <w:pPr>
        <w:pStyle w:val="NormalNonumber"/>
        <w:numPr>
          <w:ilvl w:val="0"/>
          <w:numId w:val="5"/>
        </w:numPr>
        <w:tabs>
          <w:tab w:val="clear" w:pos="2381"/>
          <w:tab w:val="left" w:pos="2520"/>
        </w:tabs>
        <w:ind w:left="1247" w:firstLine="0"/>
        <w:rPr>
          <w:lang w:val="en-US"/>
        </w:rPr>
      </w:pPr>
      <w:r w:rsidRPr="009356FC">
        <w:rPr>
          <w:lang w:val="en-US"/>
        </w:rPr>
        <w:t xml:space="preserve">The plan is based on the following means of implementation: </w:t>
      </w:r>
    </w:p>
    <w:p w:rsidR="008164D9" w:rsidRPr="009356FC" w:rsidRDefault="008164D9" w:rsidP="008164D9">
      <w:pPr>
        <w:pStyle w:val="NormalNonumber"/>
        <w:numPr>
          <w:ilvl w:val="0"/>
          <w:numId w:val="6"/>
        </w:numPr>
        <w:tabs>
          <w:tab w:val="clear" w:pos="1247"/>
          <w:tab w:val="clear" w:pos="1814"/>
          <w:tab w:val="clear" w:pos="2381"/>
          <w:tab w:val="clear" w:pos="2948"/>
          <w:tab w:val="clear" w:pos="3515"/>
          <w:tab w:val="clear" w:pos="4082"/>
        </w:tabs>
        <w:ind w:left="1276" w:firstLine="567"/>
        <w:rPr>
          <w:lang w:val="en-US"/>
        </w:rPr>
      </w:pPr>
      <w:r w:rsidRPr="009356FC">
        <w:rPr>
          <w:lang w:val="en-US"/>
        </w:rPr>
        <w:t>Capacity development serves as one of the main instruments to support developing- country Parties and Parties with economies in transition in the implementation the three conventions. A variety of tools will be employed to serve Parties in effective manner aiming to maximize short, medium and long-term impacts, including</w:t>
      </w:r>
      <w:r>
        <w:rPr>
          <w:lang w:val="en-US"/>
        </w:rPr>
        <w:t xml:space="preserve"> guidance,</w:t>
      </w:r>
      <w:r w:rsidRPr="009356FC">
        <w:rPr>
          <w:lang w:val="en-US"/>
        </w:rPr>
        <w:t xml:space="preserve"> technical guidelines, modules</w:t>
      </w:r>
      <w:r>
        <w:rPr>
          <w:lang w:val="en-US"/>
        </w:rPr>
        <w:t xml:space="preserve"> and</w:t>
      </w:r>
      <w:r w:rsidRPr="009356FC">
        <w:rPr>
          <w:lang w:val="en-US"/>
        </w:rPr>
        <w:t xml:space="preserve"> toolkits as well as face-to-face training activities, projects and study tours</w:t>
      </w:r>
      <w:r>
        <w:rPr>
          <w:lang w:val="en-US"/>
        </w:rPr>
        <w:t xml:space="preserve">, complemented as appropriate by </w:t>
      </w:r>
      <w:r w:rsidRPr="009356FC">
        <w:rPr>
          <w:lang w:val="en-US"/>
        </w:rPr>
        <w:t>e-learning tools such as online courses, online training</w:t>
      </w:r>
      <w:r>
        <w:rPr>
          <w:lang w:val="en-US"/>
        </w:rPr>
        <w:t>s and</w:t>
      </w:r>
      <w:r w:rsidRPr="009356FC">
        <w:rPr>
          <w:lang w:val="en-US"/>
        </w:rPr>
        <w:t xml:space="preserve"> webinars</w:t>
      </w:r>
      <w:r>
        <w:rPr>
          <w:lang w:val="en-US"/>
        </w:rPr>
        <w:t>;</w:t>
      </w:r>
    </w:p>
    <w:p w:rsidR="008164D9" w:rsidRPr="009356FC" w:rsidRDefault="008164D9" w:rsidP="008164D9">
      <w:pPr>
        <w:pStyle w:val="NormalNonumber"/>
        <w:numPr>
          <w:ilvl w:val="0"/>
          <w:numId w:val="6"/>
        </w:numPr>
        <w:tabs>
          <w:tab w:val="clear" w:pos="1247"/>
          <w:tab w:val="clear" w:pos="1814"/>
          <w:tab w:val="clear" w:pos="2381"/>
          <w:tab w:val="clear" w:pos="2948"/>
          <w:tab w:val="clear" w:pos="3515"/>
          <w:tab w:val="clear" w:pos="4082"/>
        </w:tabs>
        <w:ind w:left="1276" w:firstLine="567"/>
        <w:rPr>
          <w:lang w:val="en-US"/>
        </w:rPr>
      </w:pPr>
      <w:r w:rsidRPr="009356FC">
        <w:rPr>
          <w:lang w:val="en-US"/>
        </w:rPr>
        <w:t xml:space="preserve">Regional delivery is based on the work of the Basel and Stockholm conventions regional </w:t>
      </w:r>
      <w:proofErr w:type="spellStart"/>
      <w:r w:rsidRPr="009356FC">
        <w:rPr>
          <w:lang w:val="en-US"/>
        </w:rPr>
        <w:t>centres</w:t>
      </w:r>
      <w:proofErr w:type="spellEnd"/>
      <w:r w:rsidRPr="009356FC">
        <w:rPr>
          <w:lang w:val="en-US"/>
        </w:rPr>
        <w:t xml:space="preserve">, UNEP and FAO regional and </w:t>
      </w:r>
      <w:proofErr w:type="spellStart"/>
      <w:r w:rsidRPr="009356FC">
        <w:rPr>
          <w:lang w:val="en-US"/>
        </w:rPr>
        <w:t>subregional</w:t>
      </w:r>
      <w:proofErr w:type="spellEnd"/>
      <w:r w:rsidRPr="009356FC">
        <w:rPr>
          <w:lang w:val="en-US"/>
        </w:rPr>
        <w:t xml:space="preserve"> offices, FAO country representations, and other relevant organizations that carry out activities in support of the implementation of the Basel, Rotterdam and Stockholm conventions at the regional and national levels.  The Basel and Stockholm conventions regional </w:t>
      </w:r>
      <w:proofErr w:type="spellStart"/>
      <w:r w:rsidRPr="009356FC">
        <w:rPr>
          <w:lang w:val="en-US"/>
        </w:rPr>
        <w:t>centres</w:t>
      </w:r>
      <w:proofErr w:type="spellEnd"/>
      <w:r w:rsidRPr="009356FC">
        <w:rPr>
          <w:lang w:val="en-US"/>
        </w:rPr>
        <w:t xml:space="preserve"> play a key role as one of the main actors in the delivery of technical assistance and technology transfer at the national and regional levels. The role of the UNEP and FAO regional offices is to support Parties on the regional and national levels by integrating issues addressed by the conventions into their projects and training </w:t>
      </w:r>
      <w:proofErr w:type="spellStart"/>
      <w:r w:rsidRPr="009356FC">
        <w:rPr>
          <w:lang w:val="en-US"/>
        </w:rPr>
        <w:t>programmes</w:t>
      </w:r>
      <w:proofErr w:type="spellEnd"/>
      <w:r w:rsidRPr="009356FC">
        <w:rPr>
          <w:lang w:val="en-US"/>
        </w:rPr>
        <w:t>. Within the Secretariat, regional focal points continue to facilitate communication with Parties requesting technical assistance</w:t>
      </w:r>
      <w:r>
        <w:rPr>
          <w:lang w:val="en-US"/>
        </w:rPr>
        <w:t>;</w:t>
      </w:r>
    </w:p>
    <w:p w:rsidR="008164D9" w:rsidRPr="009356FC" w:rsidRDefault="008164D9" w:rsidP="008164D9">
      <w:pPr>
        <w:pStyle w:val="NormalNonumber"/>
        <w:numPr>
          <w:ilvl w:val="0"/>
          <w:numId w:val="6"/>
        </w:numPr>
        <w:tabs>
          <w:tab w:val="clear" w:pos="1247"/>
          <w:tab w:val="clear" w:pos="1814"/>
          <w:tab w:val="clear" w:pos="2381"/>
          <w:tab w:val="clear" w:pos="2948"/>
          <w:tab w:val="clear" w:pos="3515"/>
          <w:tab w:val="clear" w:pos="4082"/>
        </w:tabs>
        <w:ind w:left="1276" w:firstLine="567"/>
        <w:rPr>
          <w:lang w:val="en-US"/>
        </w:rPr>
      </w:pPr>
      <w:r w:rsidRPr="009356FC">
        <w:rPr>
          <w:lang w:val="en-US"/>
        </w:rPr>
        <w:t>Partnerships</w:t>
      </w:r>
      <w:r w:rsidRPr="009356FC">
        <w:rPr>
          <w:b/>
          <w:lang w:val="en-US"/>
        </w:rPr>
        <w:t xml:space="preserve"> </w:t>
      </w:r>
      <w:r w:rsidRPr="009356FC">
        <w:rPr>
          <w:lang w:val="en-US"/>
        </w:rPr>
        <w:t>promote the involvement and cooperation with partners as they</w:t>
      </w:r>
      <w:r>
        <w:rPr>
          <w:lang w:val="en-US"/>
        </w:rPr>
        <w:t xml:space="preserve"> </w:t>
      </w:r>
      <w:r w:rsidRPr="009356FC">
        <w:rPr>
          <w:lang w:val="en-US"/>
        </w:rPr>
        <w:t xml:space="preserve">have a multiplier effect for the implementation of the Basel, Rotterdam and Stockholm conventions. Through partnerships convention-specific issues are addressed within the work </w:t>
      </w:r>
      <w:proofErr w:type="spellStart"/>
      <w:r w:rsidRPr="009356FC">
        <w:rPr>
          <w:lang w:val="en-US"/>
        </w:rPr>
        <w:t>programmes</w:t>
      </w:r>
      <w:proofErr w:type="spellEnd"/>
      <w:r w:rsidRPr="009356FC">
        <w:rPr>
          <w:lang w:val="en-US"/>
        </w:rPr>
        <w:t xml:space="preserve"> of partners or in </w:t>
      </w:r>
      <w:proofErr w:type="spellStart"/>
      <w:r w:rsidRPr="009356FC">
        <w:rPr>
          <w:lang w:val="en-US"/>
        </w:rPr>
        <w:t>programmes</w:t>
      </w:r>
      <w:proofErr w:type="spellEnd"/>
      <w:r w:rsidRPr="009356FC">
        <w:rPr>
          <w:lang w:val="en-US"/>
        </w:rPr>
        <w:t xml:space="preserve"> of mutual interest among several partners. Further</w:t>
      </w:r>
      <w:r>
        <w:rPr>
          <w:lang w:val="en-US"/>
        </w:rPr>
        <w:t>more</w:t>
      </w:r>
      <w:r w:rsidRPr="009356FC">
        <w:rPr>
          <w:lang w:val="en-US"/>
        </w:rPr>
        <w:t>, in partnerships</w:t>
      </w:r>
      <w:r>
        <w:rPr>
          <w:lang w:val="en-US"/>
        </w:rPr>
        <w:t>,</w:t>
      </w:r>
      <w:r w:rsidRPr="009356FC">
        <w:rPr>
          <w:lang w:val="en-US"/>
        </w:rPr>
        <w:t xml:space="preserve"> the cooperating partners bring in in-kind contributions and/or respective budgets. Partnerships have a substantial </w:t>
      </w:r>
      <w:r w:rsidRPr="009356FC">
        <w:rPr>
          <w:lang w:val="en-US"/>
        </w:rPr>
        <w:lastRenderedPageBreak/>
        <w:t xml:space="preserve">resource mobilization effect for technical assistance. The partnerships </w:t>
      </w:r>
      <w:proofErr w:type="spellStart"/>
      <w:r w:rsidRPr="009356FC">
        <w:rPr>
          <w:lang w:val="en-US"/>
        </w:rPr>
        <w:t>programme</w:t>
      </w:r>
      <w:proofErr w:type="spellEnd"/>
      <w:r w:rsidRPr="009356FC">
        <w:rPr>
          <w:lang w:val="en-US"/>
        </w:rPr>
        <w:t xml:space="preserve"> has two main types of cooperation, i.e. partnerships where the Secretariat has a facilitating role as mandated by the conferences of the Parties, e.g. the Partnership for Action on Computing Equipment (PACE); and partnerships and technical cooperation initiatives led by other organizations where the Secretariat participates as one of the partners. In the latter case, priority is given to partnerships and initiatives supporting the work areas that are identified through the needs assessments.</w:t>
      </w:r>
    </w:p>
    <w:p w:rsidR="009E5186" w:rsidRPr="009356FC" w:rsidRDefault="0025518C" w:rsidP="0025518C">
      <w:pPr>
        <w:pStyle w:val="CH1"/>
      </w:pPr>
      <w:r>
        <w:tab/>
      </w:r>
      <w:r w:rsidR="00FE18F8" w:rsidRPr="009356FC">
        <w:t>V</w:t>
      </w:r>
      <w:r w:rsidR="001B15A9">
        <w:t>II</w:t>
      </w:r>
      <w:r w:rsidR="009E5186" w:rsidRPr="009356FC">
        <w:t>.</w:t>
      </w:r>
      <w:r w:rsidR="009E5186" w:rsidRPr="009356FC">
        <w:tab/>
        <w:t>Resources for implementation</w:t>
      </w:r>
    </w:p>
    <w:p w:rsidR="00AD7649" w:rsidRDefault="000B452A">
      <w:pPr>
        <w:pStyle w:val="NormalNonumber"/>
        <w:numPr>
          <w:ilvl w:val="0"/>
          <w:numId w:val="5"/>
        </w:numPr>
        <w:tabs>
          <w:tab w:val="clear" w:pos="2381"/>
          <w:tab w:val="left" w:pos="2520"/>
        </w:tabs>
        <w:ind w:left="1247" w:firstLine="0"/>
        <w:rPr>
          <w:lang w:val="en-US"/>
        </w:rPr>
      </w:pPr>
      <w:r w:rsidRPr="00FE0E8F">
        <w:rPr>
          <w:lang w:val="en-GB"/>
        </w:rPr>
        <w:t>The annexes to document UNEP</w:t>
      </w:r>
      <w:r w:rsidRPr="00FE0E8F">
        <w:rPr>
          <w:bCs/>
          <w:lang w:val="en-GB"/>
        </w:rPr>
        <w:t>/CHW.13/INF/51-</w:t>
      </w:r>
      <w:r w:rsidRPr="00FE0E8F">
        <w:rPr>
          <w:lang w:val="en-GB"/>
        </w:rPr>
        <w:t>UNEP/FAO</w:t>
      </w:r>
      <w:r w:rsidRPr="00FE0E8F">
        <w:rPr>
          <w:bCs/>
          <w:lang w:val="en-GB"/>
        </w:rPr>
        <w:t>/RC/COP.8/INF/36</w:t>
      </w:r>
      <w:r w:rsidR="0070545C" w:rsidRPr="00FE0E8F">
        <w:rPr>
          <w:bCs/>
          <w:lang w:val="en-GB"/>
        </w:rPr>
        <w:t>-</w:t>
      </w:r>
      <w:r w:rsidRPr="00FE0E8F">
        <w:rPr>
          <w:lang w:val="en-GB"/>
        </w:rPr>
        <w:t>UNEP</w:t>
      </w:r>
      <w:r w:rsidRPr="00FE0E8F">
        <w:rPr>
          <w:bCs/>
          <w:lang w:val="en-GB"/>
        </w:rPr>
        <w:t xml:space="preserve">/POPS/COP.8/INF/53 </w:t>
      </w:r>
      <w:r w:rsidRPr="00FE0E8F">
        <w:rPr>
          <w:lang w:val="en-GB"/>
        </w:rPr>
        <w:t>set out proposed operational budgets for the biennium 2018-2019. The programme activity factsheets in document UNEP/CHW.13/INF/52-UNEP/FAO/RC/COP.8/INF/37-UNEP/POPS/COP.8/INF/54 provide further details on the proposed budget of the individual activities.</w:t>
      </w:r>
    </w:p>
    <w:p w:rsidR="00AD7649" w:rsidRDefault="00210228">
      <w:pPr>
        <w:pStyle w:val="NormalNonumber"/>
        <w:numPr>
          <w:ilvl w:val="0"/>
          <w:numId w:val="5"/>
        </w:numPr>
        <w:tabs>
          <w:tab w:val="clear" w:pos="2381"/>
          <w:tab w:val="left" w:pos="2520"/>
        </w:tabs>
        <w:ind w:left="1247" w:firstLine="0"/>
        <w:rPr>
          <w:lang w:val="en-US"/>
        </w:rPr>
      </w:pPr>
      <w:r w:rsidRPr="009356FC">
        <w:rPr>
          <w:lang w:val="en-US"/>
        </w:rPr>
        <w:t xml:space="preserve">The plan also acknowledges and encourages support provided to developing country Parties and Parties with economies in transition through the activities financed by the Global Environment Facility and the special </w:t>
      </w:r>
      <w:proofErr w:type="spellStart"/>
      <w:r w:rsidRPr="009356FC">
        <w:rPr>
          <w:lang w:val="en-US"/>
        </w:rPr>
        <w:t>programme</w:t>
      </w:r>
      <w:proofErr w:type="spellEnd"/>
      <w:r w:rsidRPr="009356FC">
        <w:rPr>
          <w:lang w:val="en-US"/>
        </w:rPr>
        <w:t xml:space="preserve"> to support institutional strengthening at the national level to enhance the implementation of the Basel, Rotterdam and Stockholm conventions, the </w:t>
      </w:r>
      <w:proofErr w:type="spellStart"/>
      <w:r w:rsidRPr="009356FC">
        <w:rPr>
          <w:lang w:val="en-US"/>
        </w:rPr>
        <w:t>Minamata</w:t>
      </w:r>
      <w:proofErr w:type="spellEnd"/>
      <w:r w:rsidRPr="009356FC">
        <w:rPr>
          <w:lang w:val="en-US"/>
        </w:rPr>
        <w:t xml:space="preserve"> Convention on Mercury and the Strategic Approach to International Chemicals Management.</w:t>
      </w:r>
    </w:p>
    <w:p w:rsidR="009E5186" w:rsidRPr="009356FC" w:rsidRDefault="0025518C" w:rsidP="0025518C">
      <w:pPr>
        <w:pStyle w:val="CH1"/>
      </w:pPr>
      <w:r>
        <w:tab/>
      </w:r>
      <w:r w:rsidR="00FE18F8" w:rsidRPr="009356FC">
        <w:t>VI</w:t>
      </w:r>
      <w:r w:rsidR="001B15A9">
        <w:t>II</w:t>
      </w:r>
      <w:r w:rsidR="009E5186" w:rsidRPr="009356FC">
        <w:t>.</w:t>
      </w:r>
      <w:r w:rsidR="009E5186" w:rsidRPr="009356FC">
        <w:tab/>
        <w:t>Monitoring and evaluation</w:t>
      </w:r>
    </w:p>
    <w:p w:rsidR="00AD7649" w:rsidRDefault="00210228">
      <w:pPr>
        <w:pStyle w:val="NormalNonumber"/>
        <w:numPr>
          <w:ilvl w:val="0"/>
          <w:numId w:val="5"/>
        </w:numPr>
        <w:tabs>
          <w:tab w:val="clear" w:pos="2381"/>
          <w:tab w:val="left" w:pos="2520"/>
        </w:tabs>
        <w:ind w:left="1247" w:firstLine="0"/>
        <w:rPr>
          <w:lang w:val="en-US"/>
        </w:rPr>
      </w:pPr>
      <w:r w:rsidRPr="009356FC">
        <w:rPr>
          <w:lang w:val="en-US"/>
        </w:rPr>
        <w:t xml:space="preserve">An analysis of the effectiveness of </w:t>
      </w:r>
      <w:r w:rsidR="002F02C2" w:rsidRPr="009356FC">
        <w:rPr>
          <w:lang w:val="en-US"/>
        </w:rPr>
        <w:t>activities</w:t>
      </w:r>
      <w:r w:rsidRPr="009356FC">
        <w:rPr>
          <w:lang w:val="en-US"/>
        </w:rPr>
        <w:t xml:space="preserve"> employed in the delivery of </w:t>
      </w:r>
      <w:r w:rsidR="002F02C2" w:rsidRPr="009356FC">
        <w:rPr>
          <w:lang w:val="en-US"/>
        </w:rPr>
        <w:t xml:space="preserve">the plan </w:t>
      </w:r>
      <w:r w:rsidRPr="009356FC">
        <w:rPr>
          <w:lang w:val="en-US"/>
        </w:rPr>
        <w:t>will be conducted at regular intervals</w:t>
      </w:r>
      <w:r w:rsidR="002F02C2" w:rsidRPr="009356FC">
        <w:rPr>
          <w:lang w:val="en-US"/>
        </w:rPr>
        <w:t xml:space="preserve"> </w:t>
      </w:r>
      <w:r w:rsidR="00C70395" w:rsidRPr="009356FC">
        <w:rPr>
          <w:lang w:val="en-US"/>
        </w:rPr>
        <w:t>reflecting on</w:t>
      </w:r>
      <w:r w:rsidR="002F02C2" w:rsidRPr="009356FC">
        <w:rPr>
          <w:lang w:val="en-US"/>
        </w:rPr>
        <w:t xml:space="preserve"> </w:t>
      </w:r>
      <w:r w:rsidR="00C70395" w:rsidRPr="009356FC">
        <w:rPr>
          <w:lang w:val="en-US"/>
        </w:rPr>
        <w:t xml:space="preserve">the </w:t>
      </w:r>
      <w:r w:rsidR="00D85F8C" w:rsidRPr="009356FC">
        <w:rPr>
          <w:lang w:val="en-US"/>
        </w:rPr>
        <w:t xml:space="preserve">tangible outcomes, </w:t>
      </w:r>
      <w:r w:rsidR="00790ACF">
        <w:rPr>
          <w:lang w:val="en-US"/>
        </w:rPr>
        <w:t>activities</w:t>
      </w:r>
      <w:r w:rsidR="00D85F8C" w:rsidRPr="009356FC">
        <w:rPr>
          <w:lang w:val="en-US"/>
        </w:rPr>
        <w:t xml:space="preserve"> and indicators, in line with the decisions adopted by the conferences of the Parties</w:t>
      </w:r>
      <w:r w:rsidRPr="009356FC">
        <w:rPr>
          <w:lang w:val="en-US"/>
        </w:rPr>
        <w:t xml:space="preserve">. </w:t>
      </w:r>
      <w:r w:rsidR="000801EC" w:rsidRPr="009356FC">
        <w:rPr>
          <w:lang w:val="en-US"/>
        </w:rPr>
        <w:t xml:space="preserve">Monitoring and evaluation </w:t>
      </w:r>
      <w:r w:rsidRPr="009356FC">
        <w:rPr>
          <w:lang w:val="en-US"/>
        </w:rPr>
        <w:t>also includes an integrated assessment of technical assistance needs based on questionnaires, specific requests and information from other sources as well as impact assessment which will be considered already in the planning phase of the activities and conducted in a systematic way.</w:t>
      </w:r>
    </w:p>
    <w:p w:rsidR="00ED6224" w:rsidRPr="009356FC" w:rsidRDefault="0025518C" w:rsidP="0025518C">
      <w:pPr>
        <w:pStyle w:val="CH1"/>
      </w:pPr>
      <w:r>
        <w:tab/>
      </w:r>
      <w:r w:rsidR="00FE18F8" w:rsidRPr="009356FC">
        <w:t>VI</w:t>
      </w:r>
      <w:r w:rsidR="001B15A9">
        <w:t>X</w:t>
      </w:r>
      <w:r w:rsidR="00ED6224" w:rsidRPr="009356FC">
        <w:t>.</w:t>
      </w:r>
      <w:r w:rsidR="00ED6224" w:rsidRPr="009356FC">
        <w:tab/>
      </w:r>
      <w:r w:rsidR="004110B6" w:rsidRPr="009356FC">
        <w:t xml:space="preserve">Adjustment </w:t>
      </w:r>
      <w:r w:rsidR="00ED6224" w:rsidRPr="009356FC">
        <w:t xml:space="preserve">of the </w:t>
      </w:r>
      <w:r w:rsidR="00E22DBB">
        <w:t>t</w:t>
      </w:r>
      <w:r w:rsidR="00ED6224" w:rsidRPr="009356FC">
        <w:t xml:space="preserve">echnical </w:t>
      </w:r>
      <w:r w:rsidR="00E22DBB">
        <w:t>a</w:t>
      </w:r>
      <w:r w:rsidR="00ED6224" w:rsidRPr="009356FC">
        <w:t xml:space="preserve">ssistance </w:t>
      </w:r>
      <w:r w:rsidR="00E22DBB">
        <w:t>p</w:t>
      </w:r>
      <w:r w:rsidR="00ED6224" w:rsidRPr="009356FC">
        <w:t>lan</w:t>
      </w:r>
    </w:p>
    <w:p w:rsidR="00AD7649" w:rsidRDefault="004110B6">
      <w:pPr>
        <w:pStyle w:val="NormalNonumber"/>
        <w:numPr>
          <w:ilvl w:val="0"/>
          <w:numId w:val="5"/>
        </w:numPr>
        <w:tabs>
          <w:tab w:val="clear" w:pos="2381"/>
          <w:tab w:val="left" w:pos="2520"/>
        </w:tabs>
        <w:ind w:left="1247" w:firstLine="0"/>
        <w:rPr>
          <w:lang w:val="en-US"/>
        </w:rPr>
      </w:pPr>
      <w:r w:rsidRPr="009356FC">
        <w:rPr>
          <w:lang w:val="en-US"/>
        </w:rPr>
        <w:t xml:space="preserve">The </w:t>
      </w:r>
      <w:r w:rsidR="00B860AA" w:rsidRPr="009356FC">
        <w:rPr>
          <w:lang w:val="en-US"/>
        </w:rPr>
        <w:t xml:space="preserve">technical assistance </w:t>
      </w:r>
      <w:r w:rsidRPr="009356FC">
        <w:rPr>
          <w:lang w:val="en-US"/>
        </w:rPr>
        <w:t xml:space="preserve">plan covers a period of four years from 2018 to 2021. The Secretariat plans to continue to collect information on technical assistance and capacity-building needs of developing country Parties and Parties with economies in transition as well as technology that developed country Parties and others can provide, and to </w:t>
      </w:r>
      <w:r w:rsidR="0070545C" w:rsidRPr="009356FC">
        <w:rPr>
          <w:lang w:val="en-US"/>
        </w:rPr>
        <w:t>analyze</w:t>
      </w:r>
      <w:r w:rsidRPr="009356FC">
        <w:rPr>
          <w:lang w:val="en-US"/>
        </w:rPr>
        <w:t xml:space="preserve"> such information and identify gaps and </w:t>
      </w:r>
      <w:r w:rsidRPr="009356FC">
        <w:rPr>
          <w:color w:val="000000" w:themeColor="text1"/>
          <w:lang w:val="en-US"/>
        </w:rPr>
        <w:t>barriers regarding technical assistance and technology transfer on biannual basis. This information will be used to propose adjustments to the plan, as needed, for consideration by the conferences of the Parties.</w:t>
      </w:r>
    </w:p>
    <w:p w:rsidR="00AD7649" w:rsidRDefault="00B860AA">
      <w:pPr>
        <w:pStyle w:val="NormalNonumber"/>
        <w:numPr>
          <w:ilvl w:val="0"/>
          <w:numId w:val="5"/>
        </w:numPr>
        <w:tabs>
          <w:tab w:val="clear" w:pos="2381"/>
          <w:tab w:val="left" w:pos="2520"/>
        </w:tabs>
        <w:ind w:left="1247" w:firstLine="0"/>
        <w:rPr>
          <w:lang w:val="en-US"/>
        </w:rPr>
      </w:pPr>
      <w:r w:rsidRPr="009356FC">
        <w:rPr>
          <w:lang w:val="en-US"/>
        </w:rPr>
        <w:t>The Secretariat will submit a</w:t>
      </w:r>
      <w:r w:rsidR="009E53E6" w:rsidRPr="009356FC">
        <w:rPr>
          <w:lang w:val="en-US"/>
        </w:rPr>
        <w:t xml:space="preserve"> report to the </w:t>
      </w:r>
      <w:r w:rsidR="00AF4E2E">
        <w:rPr>
          <w:lang w:val="en-US"/>
        </w:rPr>
        <w:t>c</w:t>
      </w:r>
      <w:r w:rsidR="009E53E6" w:rsidRPr="009356FC">
        <w:rPr>
          <w:lang w:val="en-US"/>
        </w:rPr>
        <w:t>onference</w:t>
      </w:r>
      <w:r w:rsidR="00AF4E2E">
        <w:rPr>
          <w:lang w:val="en-US"/>
        </w:rPr>
        <w:t>s</w:t>
      </w:r>
      <w:r w:rsidR="009E53E6" w:rsidRPr="009356FC">
        <w:rPr>
          <w:lang w:val="en-US"/>
        </w:rPr>
        <w:t xml:space="preserve"> of the Parties at </w:t>
      </w:r>
      <w:r w:rsidR="00AF4E2E">
        <w:rPr>
          <w:lang w:val="en-US"/>
        </w:rPr>
        <w:t>their</w:t>
      </w:r>
      <w:r w:rsidR="00AF4E2E" w:rsidRPr="009356FC">
        <w:rPr>
          <w:lang w:val="en-US"/>
        </w:rPr>
        <w:t xml:space="preserve"> </w:t>
      </w:r>
      <w:r w:rsidR="009E53E6" w:rsidRPr="009356FC">
        <w:rPr>
          <w:lang w:val="en-US"/>
        </w:rPr>
        <w:t>meeting</w:t>
      </w:r>
      <w:r w:rsidR="00AF4E2E">
        <w:rPr>
          <w:lang w:val="en-US"/>
        </w:rPr>
        <w:t>s</w:t>
      </w:r>
      <w:r w:rsidRPr="009356FC">
        <w:rPr>
          <w:lang w:val="en-US"/>
        </w:rPr>
        <w:t xml:space="preserve"> in 2019</w:t>
      </w:r>
      <w:r w:rsidR="009E53E6" w:rsidRPr="009356FC">
        <w:rPr>
          <w:lang w:val="en-US"/>
        </w:rPr>
        <w:t xml:space="preserve"> on the implementation of the plan, including, as appropriate, proposals to adjust the plan, for consideration and possible adoption by the </w:t>
      </w:r>
      <w:r w:rsidR="00AF4E2E">
        <w:rPr>
          <w:lang w:val="en-US"/>
        </w:rPr>
        <w:t>c</w:t>
      </w:r>
      <w:r w:rsidR="009E53E6" w:rsidRPr="009356FC">
        <w:rPr>
          <w:lang w:val="en-US"/>
        </w:rPr>
        <w:t>onference</w:t>
      </w:r>
      <w:r w:rsidR="00AF4E2E">
        <w:rPr>
          <w:lang w:val="en-US"/>
        </w:rPr>
        <w:t>s</w:t>
      </w:r>
      <w:r w:rsidR="009E53E6" w:rsidRPr="009356FC">
        <w:rPr>
          <w:lang w:val="en-US"/>
        </w:rPr>
        <w:t xml:space="preserve"> of the Parties.</w:t>
      </w:r>
    </w:p>
    <w:p w:rsidR="001B39D3" w:rsidRDefault="001B39D3" w:rsidP="007A04EA">
      <w:pPr>
        <w:spacing w:after="120"/>
        <w:ind w:left="1247"/>
        <w:rPr>
          <w:sz w:val="20"/>
          <w:lang w:val="en-US"/>
        </w:rPr>
      </w:pPr>
    </w:p>
    <w:p w:rsidR="00345A83" w:rsidRPr="009356FC" w:rsidRDefault="00345A83" w:rsidP="007A04EA">
      <w:pPr>
        <w:spacing w:after="120"/>
        <w:ind w:left="1247"/>
        <w:rPr>
          <w:sz w:val="20"/>
          <w:lang w:val="en-US"/>
        </w:rPr>
      </w:pPr>
    </w:p>
    <w:p w:rsidR="004110B6" w:rsidRPr="00B568A3" w:rsidRDefault="001B39D3" w:rsidP="001B39D3">
      <w:pPr>
        <w:spacing w:after="120"/>
        <w:ind w:left="1247"/>
        <w:jc w:val="center"/>
        <w:rPr>
          <w:sz w:val="20"/>
          <w:lang w:val="en-US"/>
        </w:rPr>
      </w:pPr>
      <w:r>
        <w:rPr>
          <w:sz w:val="20"/>
          <w:lang w:val="en-US"/>
        </w:rPr>
        <w:t>_____________________</w:t>
      </w:r>
    </w:p>
    <w:sectPr w:rsidR="004110B6" w:rsidRPr="00B568A3" w:rsidSect="00C10576">
      <w:headerReference w:type="even" r:id="rId16"/>
      <w:headerReference w:type="default" r:id="rId17"/>
      <w:footerReference w:type="even" r:id="rId18"/>
      <w:footerReference w:type="default" r:id="rId19"/>
      <w:footerReference w:type="first" r:id="rId20"/>
      <w:footnotePr>
        <w:numRestart w:val="eachSect"/>
      </w:footnotePr>
      <w:pgSz w:w="11906" w:h="16838" w:code="9"/>
      <w:pgMar w:top="907" w:right="992" w:bottom="1418" w:left="1418" w:header="539" w:footer="97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C622C" w15:done="0"/>
  <w15:commentEx w15:paraId="63581383" w15:done="0"/>
  <w15:commentEx w15:paraId="23346CF0" w15:done="0"/>
  <w15:commentEx w15:paraId="2516F5EA" w15:done="0"/>
  <w15:commentEx w15:paraId="69A497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BF" w:rsidRDefault="000D0CBF">
      <w:r>
        <w:separator/>
      </w:r>
    </w:p>
  </w:endnote>
  <w:endnote w:type="continuationSeparator" w:id="0">
    <w:p w:rsidR="000D0CBF" w:rsidRDefault="000D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GillSans Light">
    <w:altName w:val="Century Gothic"/>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B6" w:rsidRPr="0025518C" w:rsidRDefault="005676F5" w:rsidP="00126A72">
    <w:pPr>
      <w:pStyle w:val="Footer"/>
      <w:spacing w:before="60" w:after="120"/>
      <w:rPr>
        <w:b/>
        <w:bCs/>
        <w:sz w:val="18"/>
        <w:szCs w:val="18"/>
      </w:rPr>
    </w:pPr>
    <w:r w:rsidRPr="0025518C">
      <w:rPr>
        <w:b/>
        <w:bCs/>
        <w:sz w:val="18"/>
        <w:szCs w:val="18"/>
      </w:rPr>
      <w:fldChar w:fldCharType="begin"/>
    </w:r>
    <w:r w:rsidR="004C62B6" w:rsidRPr="0025518C">
      <w:rPr>
        <w:b/>
        <w:bCs/>
        <w:sz w:val="18"/>
        <w:szCs w:val="18"/>
      </w:rPr>
      <w:instrText xml:space="preserve"> PAGE   \* MERGEFORMAT </w:instrText>
    </w:r>
    <w:r w:rsidRPr="0025518C">
      <w:rPr>
        <w:b/>
        <w:bCs/>
        <w:sz w:val="18"/>
        <w:szCs w:val="18"/>
      </w:rPr>
      <w:fldChar w:fldCharType="separate"/>
    </w:r>
    <w:r w:rsidR="00CF1D62">
      <w:rPr>
        <w:b/>
        <w:bCs/>
        <w:noProof/>
        <w:sz w:val="18"/>
        <w:szCs w:val="18"/>
      </w:rPr>
      <w:t>10</w:t>
    </w:r>
    <w:r w:rsidRPr="0025518C">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B6" w:rsidRPr="0025518C" w:rsidRDefault="005676F5" w:rsidP="00126A72">
    <w:pPr>
      <w:pStyle w:val="Footer"/>
      <w:spacing w:before="60" w:after="120"/>
      <w:jc w:val="right"/>
      <w:rPr>
        <w:b/>
        <w:bCs/>
        <w:sz w:val="18"/>
        <w:szCs w:val="18"/>
      </w:rPr>
    </w:pPr>
    <w:r w:rsidRPr="0025518C">
      <w:rPr>
        <w:b/>
        <w:bCs/>
        <w:sz w:val="18"/>
        <w:szCs w:val="18"/>
      </w:rPr>
      <w:fldChar w:fldCharType="begin"/>
    </w:r>
    <w:r w:rsidR="004C62B6" w:rsidRPr="0025518C">
      <w:rPr>
        <w:b/>
        <w:bCs/>
        <w:sz w:val="18"/>
        <w:szCs w:val="18"/>
      </w:rPr>
      <w:instrText xml:space="preserve"> PAGE   \* MERGEFORMAT </w:instrText>
    </w:r>
    <w:r w:rsidRPr="0025518C">
      <w:rPr>
        <w:b/>
        <w:bCs/>
        <w:sz w:val="18"/>
        <w:szCs w:val="18"/>
      </w:rPr>
      <w:fldChar w:fldCharType="separate"/>
    </w:r>
    <w:r w:rsidR="00CF1D62">
      <w:rPr>
        <w:b/>
        <w:bCs/>
        <w:noProof/>
        <w:sz w:val="18"/>
        <w:szCs w:val="18"/>
      </w:rPr>
      <w:t>9</w:t>
    </w:r>
    <w:r w:rsidRPr="0025518C">
      <w:rPr>
        <w:b/>
        <w:b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4" w:rsidRPr="00954014" w:rsidRDefault="00954014" w:rsidP="0066296E">
    <w:pPr>
      <w:pStyle w:val="Footer"/>
      <w:tabs>
        <w:tab w:val="clear" w:pos="4320"/>
        <w:tab w:val="clear" w:pos="8640"/>
      </w:tabs>
      <w:spacing w:before="20" w:after="40"/>
      <w:rPr>
        <w:sz w:val="18"/>
        <w:szCs w:val="18"/>
        <w:lang w:val="fr-CH"/>
      </w:rPr>
    </w:pPr>
    <w:r>
      <w:rPr>
        <w:lang w:val="fr-CH"/>
      </w:rPr>
      <w:tab/>
    </w:r>
    <w:r w:rsidRPr="00954014">
      <w:rPr>
        <w:sz w:val="18"/>
        <w:szCs w:val="18"/>
        <w:lang w:val="fr-CH"/>
      </w:rPr>
      <w:tab/>
    </w:r>
    <w:r w:rsidR="0066296E" w:rsidRPr="0066296E">
      <w:rPr>
        <w:sz w:val="18"/>
        <w:szCs w:val="18"/>
        <w:lang w:val="fr-CH"/>
      </w:rPr>
      <w:t>09</w:t>
    </w:r>
    <w:r w:rsidRPr="0066296E">
      <w:rPr>
        <w:sz w:val="18"/>
        <w:szCs w:val="18"/>
        <w:lang w:val="fr-CH"/>
      </w:rPr>
      <w:t>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BF" w:rsidRDefault="000D0CBF" w:rsidP="001C0F39">
      <w:pPr>
        <w:spacing w:after="60"/>
        <w:ind w:left="624"/>
      </w:pPr>
      <w:r>
        <w:separator/>
      </w:r>
    </w:p>
  </w:footnote>
  <w:footnote w:type="continuationSeparator" w:id="0">
    <w:p w:rsidR="000D0CBF" w:rsidRDefault="000D0CBF">
      <w:r>
        <w:continuationSeparator/>
      </w:r>
    </w:p>
  </w:footnote>
  <w:footnote w:id="1">
    <w:p w:rsidR="004C62B6" w:rsidRPr="00954014" w:rsidRDefault="004C62B6" w:rsidP="004D08D9">
      <w:pPr>
        <w:pStyle w:val="FootnoteText"/>
        <w:spacing w:before="20" w:after="40"/>
        <w:ind w:left="623" w:firstLine="624"/>
        <w:rPr>
          <w:sz w:val="18"/>
          <w:szCs w:val="18"/>
          <w:lang w:val="en-US"/>
        </w:rPr>
      </w:pPr>
      <w:r w:rsidRPr="00954014">
        <w:rPr>
          <w:rStyle w:val="FootnoteReference"/>
          <w:sz w:val="18"/>
          <w:szCs w:val="18"/>
        </w:rPr>
        <w:sym w:font="Symbol" w:char="F02A"/>
      </w:r>
      <w:r w:rsidRPr="00954014">
        <w:rPr>
          <w:sz w:val="18"/>
          <w:szCs w:val="18"/>
        </w:rPr>
        <w:t xml:space="preserve"> UNEP/CHW.13/1.</w:t>
      </w:r>
    </w:p>
  </w:footnote>
  <w:footnote w:id="2">
    <w:p w:rsidR="004C62B6" w:rsidRPr="00954014" w:rsidRDefault="004C62B6" w:rsidP="004D08D9">
      <w:pPr>
        <w:pStyle w:val="FootnoteText"/>
        <w:spacing w:before="20" w:after="40"/>
        <w:ind w:left="623" w:firstLine="624"/>
        <w:rPr>
          <w:sz w:val="18"/>
          <w:szCs w:val="18"/>
          <w:lang w:val="en-US"/>
        </w:rPr>
      </w:pPr>
      <w:r w:rsidRPr="00954014">
        <w:rPr>
          <w:rStyle w:val="FootnoteReference"/>
          <w:sz w:val="18"/>
          <w:szCs w:val="18"/>
        </w:rPr>
        <w:sym w:font="Symbol" w:char="F02A"/>
      </w:r>
      <w:r w:rsidRPr="00954014">
        <w:rPr>
          <w:rStyle w:val="FootnoteReference"/>
          <w:sz w:val="18"/>
          <w:szCs w:val="18"/>
        </w:rPr>
        <w:sym w:font="Symbol" w:char="F02A"/>
      </w:r>
      <w:r w:rsidRPr="00954014">
        <w:rPr>
          <w:rStyle w:val="FootnoteReference"/>
          <w:sz w:val="18"/>
          <w:szCs w:val="18"/>
        </w:rPr>
        <w:t xml:space="preserve"> </w:t>
      </w:r>
      <w:r w:rsidRPr="00954014">
        <w:rPr>
          <w:rStyle w:val="FootnoteReference"/>
          <w:sz w:val="18"/>
          <w:szCs w:val="18"/>
          <w:vertAlign w:val="baseline"/>
        </w:rPr>
        <w:t>UNEP/FAO/RC/COP.</w:t>
      </w:r>
      <w:r w:rsidRPr="00954014">
        <w:rPr>
          <w:sz w:val="18"/>
          <w:szCs w:val="18"/>
        </w:rPr>
        <w:t>8</w:t>
      </w:r>
      <w:r w:rsidRPr="00954014">
        <w:rPr>
          <w:rStyle w:val="FootnoteReference"/>
          <w:sz w:val="18"/>
          <w:szCs w:val="18"/>
          <w:vertAlign w:val="baseline"/>
        </w:rPr>
        <w:t>/1.</w:t>
      </w:r>
      <w:r w:rsidRPr="00954014">
        <w:rPr>
          <w:sz w:val="18"/>
          <w:szCs w:val="18"/>
        </w:rPr>
        <w:t xml:space="preserve"> </w:t>
      </w:r>
    </w:p>
  </w:footnote>
  <w:footnote w:id="3">
    <w:p w:rsidR="004C62B6" w:rsidRPr="008A04BA" w:rsidRDefault="004C62B6" w:rsidP="004D08D9">
      <w:pPr>
        <w:pStyle w:val="FootnoteText"/>
        <w:spacing w:before="20" w:after="40"/>
        <w:ind w:left="623" w:firstLine="624"/>
        <w:rPr>
          <w:sz w:val="18"/>
          <w:szCs w:val="18"/>
          <w:lang w:val="en-US"/>
        </w:rPr>
      </w:pPr>
      <w:r w:rsidRPr="00954014">
        <w:rPr>
          <w:rStyle w:val="FootnoteReference"/>
          <w:sz w:val="18"/>
          <w:szCs w:val="18"/>
        </w:rPr>
        <w:sym w:font="Symbol" w:char="F02A"/>
      </w:r>
      <w:r w:rsidRPr="00954014">
        <w:rPr>
          <w:rStyle w:val="FootnoteReference"/>
          <w:sz w:val="18"/>
          <w:szCs w:val="18"/>
        </w:rPr>
        <w:sym w:font="Symbol" w:char="F02A"/>
      </w:r>
      <w:r w:rsidRPr="00954014">
        <w:rPr>
          <w:rStyle w:val="FootnoteReference"/>
          <w:sz w:val="18"/>
          <w:szCs w:val="18"/>
        </w:rPr>
        <w:sym w:font="Symbol" w:char="F02A"/>
      </w:r>
      <w:r w:rsidRPr="00954014">
        <w:rPr>
          <w:sz w:val="18"/>
          <w:szCs w:val="18"/>
          <w:lang w:val="en-US"/>
        </w:rPr>
        <w:t xml:space="preserve"> UNEP/POPS/COP.8/1.</w:t>
      </w:r>
    </w:p>
  </w:footnote>
  <w:footnote w:id="4">
    <w:p w:rsidR="004C62B6" w:rsidRPr="008A04BA" w:rsidRDefault="004C62B6" w:rsidP="008A04BA">
      <w:pPr>
        <w:pStyle w:val="FootnoteText"/>
        <w:spacing w:before="20" w:after="40"/>
        <w:ind w:left="1253"/>
        <w:rPr>
          <w:sz w:val="18"/>
          <w:szCs w:val="18"/>
        </w:rPr>
      </w:pPr>
      <w:r w:rsidRPr="008A04BA">
        <w:rPr>
          <w:rStyle w:val="FootnoteReference"/>
          <w:sz w:val="18"/>
          <w:szCs w:val="18"/>
        </w:rPr>
        <w:footnoteRef/>
      </w:r>
      <w:r w:rsidRPr="008A04BA">
        <w:rPr>
          <w:sz w:val="18"/>
          <w:szCs w:val="18"/>
        </w:rPr>
        <w:t xml:space="preserve"> UNEP/CHW.13/INF/34-UNEP/FAO/RC/COP.8/INF/24-UNEP/POPS/COP.8/INF/22. </w:t>
      </w:r>
    </w:p>
  </w:footnote>
  <w:footnote w:id="5">
    <w:p w:rsidR="004C62B6" w:rsidRPr="008A04BA" w:rsidRDefault="004C62B6" w:rsidP="003B1F7D">
      <w:pPr>
        <w:spacing w:before="20" w:after="40"/>
        <w:ind w:left="1253"/>
        <w:rPr>
          <w:sz w:val="16"/>
          <w:szCs w:val="16"/>
        </w:rPr>
      </w:pPr>
      <w:r w:rsidRPr="008A04BA">
        <w:rPr>
          <w:rStyle w:val="FootnoteReference"/>
          <w:sz w:val="18"/>
          <w:szCs w:val="18"/>
        </w:rPr>
        <w:footnoteRef/>
      </w:r>
      <w:r w:rsidRPr="008A04BA">
        <w:rPr>
          <w:sz w:val="18"/>
          <w:szCs w:val="18"/>
        </w:rPr>
        <w:t xml:space="preserve"> UNEP/CHW.13/INF/35, UNEP/FAO/RC/COP.8/INF/25 and UNEP/POPS/COP.8/INF/23.</w:t>
      </w:r>
    </w:p>
  </w:footnote>
  <w:footnote w:id="6">
    <w:p w:rsidR="003B1F7D" w:rsidRPr="003B1F7D" w:rsidRDefault="003B1F7D" w:rsidP="00954014">
      <w:pPr>
        <w:pStyle w:val="FootnoteText"/>
        <w:spacing w:before="20" w:after="40"/>
        <w:ind w:left="1253"/>
      </w:pPr>
      <w:r>
        <w:rPr>
          <w:rStyle w:val="FootnoteReference"/>
        </w:rPr>
        <w:footnoteRef/>
      </w:r>
      <w:r w:rsidR="00954014">
        <w:rPr>
          <w:sz w:val="18"/>
          <w:szCs w:val="18"/>
        </w:rPr>
        <w:t xml:space="preserve"> </w:t>
      </w:r>
      <w:r w:rsidRPr="003B1F7D">
        <w:rPr>
          <w:sz w:val="18"/>
          <w:szCs w:val="18"/>
        </w:rPr>
        <w:t xml:space="preserve">The goal agreed at the 2002 Johannesburg World Summit on Sustainable Development </w:t>
      </w:r>
      <w:r>
        <w:rPr>
          <w:sz w:val="18"/>
          <w:szCs w:val="18"/>
        </w:rPr>
        <w:t xml:space="preserve">and </w:t>
      </w:r>
      <w:r w:rsidRPr="003B1F7D">
        <w:rPr>
          <w:sz w:val="18"/>
          <w:szCs w:val="18"/>
        </w:rPr>
        <w:t>then echoed by</w:t>
      </w:r>
      <w:r w:rsidR="00BD52DC">
        <w:rPr>
          <w:sz w:val="18"/>
          <w:szCs w:val="18"/>
        </w:rPr>
        <w:t xml:space="preserve"> the</w:t>
      </w:r>
      <w:r w:rsidRPr="003B1F7D">
        <w:rPr>
          <w:sz w:val="18"/>
          <w:szCs w:val="18"/>
        </w:rPr>
        <w:t xml:space="preserve"> </w:t>
      </w:r>
      <w:r w:rsidR="00BD52DC" w:rsidRPr="00BD52DC">
        <w:rPr>
          <w:sz w:val="18"/>
          <w:szCs w:val="18"/>
        </w:rPr>
        <w:t>Strategic Approach to International Chemicals Management</w:t>
      </w:r>
      <w:r w:rsidRPr="003B1F7D">
        <w:rPr>
          <w:sz w:val="18"/>
          <w:szCs w:val="18"/>
        </w:rPr>
        <w:t xml:space="preserve"> calls to ensure that, by the year 2020, chemicals are produced and used in ways that minimize significant adverse impacts on the environment and human health.</w:t>
      </w:r>
    </w:p>
  </w:footnote>
  <w:footnote w:id="7">
    <w:p w:rsidR="008E1780" w:rsidRPr="00954014" w:rsidRDefault="008E1780" w:rsidP="008E1780">
      <w:pPr>
        <w:ind w:left="1247"/>
        <w:rPr>
          <w:sz w:val="18"/>
          <w:szCs w:val="18"/>
          <w:lang w:val="en-US"/>
        </w:rPr>
      </w:pPr>
      <w:r w:rsidRPr="00954014">
        <w:rPr>
          <w:rStyle w:val="FootnoteReference"/>
          <w:sz w:val="18"/>
          <w:szCs w:val="18"/>
        </w:rPr>
        <w:footnoteRef/>
      </w:r>
      <w:r w:rsidRPr="00954014">
        <w:rPr>
          <w:sz w:val="18"/>
          <w:szCs w:val="18"/>
        </w:rPr>
        <w:t xml:space="preserve"> UNEP</w:t>
      </w:r>
      <w:r w:rsidRPr="00954014">
        <w:rPr>
          <w:bCs/>
          <w:sz w:val="18"/>
          <w:szCs w:val="18"/>
        </w:rPr>
        <w:t>/CHW.13/26</w:t>
      </w:r>
      <w:r w:rsidR="001B784C" w:rsidRPr="00954014">
        <w:rPr>
          <w:bCs/>
          <w:sz w:val="18"/>
          <w:szCs w:val="18"/>
        </w:rPr>
        <w:t>-</w:t>
      </w:r>
      <w:r w:rsidRPr="00954014">
        <w:rPr>
          <w:sz w:val="18"/>
          <w:szCs w:val="18"/>
        </w:rPr>
        <w:t>UNEP/FAO</w:t>
      </w:r>
      <w:r w:rsidRPr="00954014">
        <w:rPr>
          <w:bCs/>
          <w:sz w:val="18"/>
          <w:szCs w:val="18"/>
        </w:rPr>
        <w:t>/RC/COP.8/25</w:t>
      </w:r>
      <w:r w:rsidR="001B784C" w:rsidRPr="00954014">
        <w:rPr>
          <w:bCs/>
          <w:sz w:val="18"/>
          <w:szCs w:val="18"/>
        </w:rPr>
        <w:t>-</w:t>
      </w:r>
      <w:r w:rsidRPr="00954014">
        <w:rPr>
          <w:sz w:val="18"/>
          <w:szCs w:val="18"/>
        </w:rPr>
        <w:t>UNEP</w:t>
      </w:r>
      <w:r w:rsidRPr="00954014">
        <w:rPr>
          <w:bCs/>
          <w:sz w:val="18"/>
          <w:szCs w:val="18"/>
        </w:rPr>
        <w:t>/POPS/COP.8/29.</w:t>
      </w:r>
    </w:p>
  </w:footnote>
  <w:footnote w:id="8">
    <w:p w:rsidR="008E1780" w:rsidRDefault="008E1780" w:rsidP="008E1780">
      <w:pPr>
        <w:pStyle w:val="FootnoteText"/>
        <w:ind w:left="1276"/>
      </w:pPr>
      <w:r w:rsidRPr="00954014">
        <w:rPr>
          <w:rStyle w:val="FootnoteReference"/>
          <w:sz w:val="18"/>
          <w:szCs w:val="18"/>
        </w:rPr>
        <w:footnoteRef/>
      </w:r>
      <w:r w:rsidRPr="00954014">
        <w:rPr>
          <w:sz w:val="18"/>
          <w:szCs w:val="18"/>
        </w:rPr>
        <w:t xml:space="preserve"> </w:t>
      </w:r>
      <w:r w:rsidRPr="00954014">
        <w:rPr>
          <w:bCs/>
          <w:sz w:val="18"/>
          <w:szCs w:val="18"/>
        </w:rPr>
        <w:t>UNEP/CHW.13/INF/52</w:t>
      </w:r>
      <w:r w:rsidR="00A22914" w:rsidRPr="00954014">
        <w:rPr>
          <w:bCs/>
          <w:sz w:val="18"/>
          <w:szCs w:val="18"/>
        </w:rPr>
        <w:t>-</w:t>
      </w:r>
      <w:r w:rsidRPr="00954014">
        <w:rPr>
          <w:bCs/>
          <w:sz w:val="18"/>
          <w:szCs w:val="18"/>
        </w:rPr>
        <w:t>UNEP/FAO/RC/COP.8/INF/37</w:t>
      </w:r>
      <w:r w:rsidR="00A22914" w:rsidRPr="00954014">
        <w:rPr>
          <w:bCs/>
          <w:sz w:val="18"/>
          <w:szCs w:val="18"/>
        </w:rPr>
        <w:t>-</w:t>
      </w:r>
      <w:r w:rsidRPr="00954014">
        <w:rPr>
          <w:bCs/>
          <w:sz w:val="18"/>
          <w:szCs w:val="18"/>
        </w:rPr>
        <w:t>UNEP/POPS/COP.8/INF/54, see activities</w:t>
      </w:r>
      <w:r w:rsidR="003B5E4F" w:rsidRPr="00954014">
        <w:rPr>
          <w:bCs/>
          <w:sz w:val="18"/>
          <w:szCs w:val="18"/>
        </w:rPr>
        <w:t xml:space="preserve"> </w:t>
      </w:r>
      <w:r w:rsidRPr="00954014">
        <w:rPr>
          <w:bCs/>
          <w:sz w:val="18"/>
          <w:szCs w:val="18"/>
        </w:rPr>
        <w:t>13-19.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B6" w:rsidRDefault="004C62B6" w:rsidP="008A04BA">
    <w:pPr>
      <w:pBdr>
        <w:bottom w:val="single" w:sz="4" w:space="1" w:color="auto"/>
      </w:pBdr>
    </w:pPr>
    <w:r w:rsidRPr="004D37D1">
      <w:rPr>
        <w:b/>
        <w:sz w:val="18"/>
        <w:szCs w:val="18"/>
      </w:rPr>
      <w:t>UNEP/</w:t>
    </w:r>
    <w:r>
      <w:rPr>
        <w:b/>
        <w:sz w:val="18"/>
        <w:szCs w:val="18"/>
      </w:rPr>
      <w:t>CHW.13/INF/36-UNEP/</w:t>
    </w:r>
    <w:r w:rsidRPr="004D37D1">
      <w:rPr>
        <w:b/>
        <w:sz w:val="18"/>
        <w:szCs w:val="18"/>
      </w:rPr>
      <w:t>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INF/26-UNEP/POPS/COP.8/INF/25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B6" w:rsidRDefault="004C62B6" w:rsidP="008A04BA">
    <w:pPr>
      <w:pBdr>
        <w:bottom w:val="single" w:sz="4" w:space="1" w:color="auto"/>
      </w:pBdr>
      <w:jc w:val="right"/>
    </w:pPr>
    <w:r w:rsidRPr="004D37D1">
      <w:rPr>
        <w:b/>
        <w:sz w:val="18"/>
        <w:szCs w:val="18"/>
      </w:rPr>
      <w:t>UNEP/</w:t>
    </w:r>
    <w:r>
      <w:rPr>
        <w:b/>
        <w:sz w:val="18"/>
        <w:szCs w:val="18"/>
      </w:rPr>
      <w:t>CHW.13/INF/36-UNEP/</w:t>
    </w:r>
    <w:r w:rsidRPr="004D37D1">
      <w:rPr>
        <w:b/>
        <w:sz w:val="18"/>
        <w:szCs w:val="18"/>
      </w:rPr>
      <w:t>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INF/26-UNEP/POPS/COP.8/INF/25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5CED8F0"/>
    <w:lvl w:ilvl="0">
      <w:start w:val="1"/>
      <w:numFmt w:val="decimal"/>
      <w:pStyle w:val="paralevel1a"/>
      <w:lvlText w:val="%1."/>
      <w:lvlJc w:val="left"/>
      <w:pPr>
        <w:tabs>
          <w:tab w:val="num" w:pos="1967"/>
        </w:tabs>
        <w:ind w:left="1247" w:firstLine="0"/>
      </w:pPr>
      <w:rPr>
        <w:rFonts w:hint="default"/>
      </w:rPr>
    </w:lvl>
  </w:abstractNum>
  <w:abstractNum w:abstractNumId="1">
    <w:nsid w:val="02842CAC"/>
    <w:multiLevelType w:val="hybridMultilevel"/>
    <w:tmpl w:val="03BA70A6"/>
    <w:lvl w:ilvl="0" w:tplc="A47253C8">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73D6935"/>
    <w:multiLevelType w:val="hybridMultilevel"/>
    <w:tmpl w:val="5C9EB456"/>
    <w:lvl w:ilvl="0" w:tplc="37CE3C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615DE"/>
    <w:multiLevelType w:val="hybridMultilevel"/>
    <w:tmpl w:val="334898C0"/>
    <w:lvl w:ilvl="0" w:tplc="E64204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F689C"/>
    <w:multiLevelType w:val="hybridMultilevel"/>
    <w:tmpl w:val="D8BAD568"/>
    <w:lvl w:ilvl="0" w:tplc="533A69D2">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E70"/>
    <w:multiLevelType w:val="hybridMultilevel"/>
    <w:tmpl w:val="E9AC0D16"/>
    <w:lvl w:ilvl="0" w:tplc="A47253C8">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36D7408"/>
    <w:multiLevelType w:val="hybridMultilevel"/>
    <w:tmpl w:val="78F49254"/>
    <w:lvl w:ilvl="0" w:tplc="A4725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A47253C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8">
    <w:nsid w:val="171113A7"/>
    <w:multiLevelType w:val="multilevel"/>
    <w:tmpl w:val="48241D10"/>
    <w:numStyleLink w:val="Normallist"/>
  </w:abstractNum>
  <w:abstractNum w:abstractNumId="9">
    <w:nsid w:val="19D54871"/>
    <w:multiLevelType w:val="hybridMultilevel"/>
    <w:tmpl w:val="06CAD328"/>
    <w:lvl w:ilvl="0" w:tplc="4BC059F2">
      <w:start w:val="1"/>
      <w:numFmt w:val="decimal"/>
      <w:lvlText w:val="%1."/>
      <w:lvlJc w:val="left"/>
      <w:pPr>
        <w:ind w:left="1620" w:hanging="360"/>
      </w:pPr>
      <w:rPr>
        <w:rFonts w:hint="eastAsia"/>
        <w:b w:val="0"/>
        <w:color w:val="auto"/>
        <w:sz w:val="20"/>
        <w:szCs w:val="20"/>
      </w:rPr>
    </w:lvl>
    <w:lvl w:ilvl="1" w:tplc="C72A2870">
      <w:start w:val="1"/>
      <w:numFmt w:val="lowerLetter"/>
      <w:lvlText w:val="(%2)"/>
      <w:lvlJc w:val="left"/>
      <w:pPr>
        <w:ind w:left="990" w:hanging="360"/>
      </w:pPr>
      <w:rPr>
        <w:rFonts w:ascii="Times New Roman" w:eastAsia="Times New Roman" w:hAnsi="Times New Roman" w:cs="Times New Roman" w:hint="default"/>
      </w:rPr>
    </w:lvl>
    <w:lvl w:ilvl="2" w:tplc="A47253C8">
      <w:start w:val="1"/>
      <w:numFmt w:val="lowerRoman"/>
      <w:lvlText w:val="(%3)"/>
      <w:lvlJc w:val="left"/>
      <w:pPr>
        <w:ind w:left="1440" w:hanging="180"/>
      </w:pPr>
      <w:rPr>
        <w:rFonts w:hint="default"/>
      </w:rPr>
    </w:lvl>
    <w:lvl w:ilvl="3" w:tplc="04090015">
      <w:start w:val="1"/>
      <w:numFmt w:val="upperLetter"/>
      <w:lvlText w:val="%4."/>
      <w:lvlJc w:val="left"/>
      <w:pPr>
        <w:ind w:left="4015" w:hanging="360"/>
      </w:pPr>
      <w:rPr>
        <w:lang w:val="en-GB"/>
      </w:rPr>
    </w:lvl>
    <w:lvl w:ilvl="4" w:tplc="DDE4246E">
      <w:start w:val="1"/>
      <w:numFmt w:val="lowerLetter"/>
      <w:lvlText w:val="%5."/>
      <w:lvlJc w:val="left"/>
      <w:pPr>
        <w:ind w:left="4735" w:hanging="360"/>
      </w:pPr>
      <w:rPr>
        <w:rFonts w:hint="default"/>
      </w:r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10">
    <w:nsid w:val="1ABD01BB"/>
    <w:multiLevelType w:val="hybridMultilevel"/>
    <w:tmpl w:val="29725888"/>
    <w:lvl w:ilvl="0" w:tplc="A47253C8">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0E82202"/>
    <w:multiLevelType w:val="hybridMultilevel"/>
    <w:tmpl w:val="C43A9E8A"/>
    <w:lvl w:ilvl="0" w:tplc="6842303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A47253C8">
      <w:start w:val="1"/>
      <w:numFmt w:val="lowerRoman"/>
      <w:lvlText w:val="(%5)"/>
      <w:lvlJc w:val="left"/>
      <w:pPr>
        <w:ind w:left="4950" w:hanging="360"/>
      </w:pPr>
      <w:rPr>
        <w:rFonts w:hint="default"/>
      </w:r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2FEF1974"/>
    <w:multiLevelType w:val="hybridMultilevel"/>
    <w:tmpl w:val="A3848532"/>
    <w:lvl w:ilvl="0" w:tplc="4BC059F2">
      <w:start w:val="1"/>
      <w:numFmt w:val="decimal"/>
      <w:lvlText w:val="%1."/>
      <w:lvlJc w:val="left"/>
      <w:pPr>
        <w:ind w:left="1620" w:hanging="360"/>
      </w:pPr>
      <w:rPr>
        <w:rFonts w:hint="eastAsia"/>
        <w:b w:val="0"/>
        <w:color w:val="auto"/>
        <w:sz w:val="20"/>
        <w:szCs w:val="20"/>
      </w:rPr>
    </w:lvl>
    <w:lvl w:ilvl="1" w:tplc="C72A2870">
      <w:start w:val="1"/>
      <w:numFmt w:val="lowerLetter"/>
      <w:lvlText w:val="(%2)"/>
      <w:lvlJc w:val="left"/>
      <w:pPr>
        <w:ind w:left="990" w:hanging="360"/>
      </w:pPr>
      <w:rPr>
        <w:rFonts w:ascii="Times New Roman" w:eastAsia="Times New Roman" w:hAnsi="Times New Roman" w:cs="Times New Roman" w:hint="default"/>
      </w:rPr>
    </w:lvl>
    <w:lvl w:ilvl="2" w:tplc="A47253C8">
      <w:start w:val="1"/>
      <w:numFmt w:val="lowerRoman"/>
      <w:lvlText w:val="(%3)"/>
      <w:lvlJc w:val="left"/>
      <w:pPr>
        <w:ind w:left="1440" w:hanging="180"/>
      </w:pPr>
      <w:rPr>
        <w:rFonts w:hint="default"/>
      </w:rPr>
    </w:lvl>
    <w:lvl w:ilvl="3" w:tplc="04090015">
      <w:start w:val="1"/>
      <w:numFmt w:val="upperLetter"/>
      <w:lvlText w:val="%4."/>
      <w:lvlJc w:val="left"/>
      <w:pPr>
        <w:ind w:left="4015" w:hanging="360"/>
      </w:pPr>
      <w:rPr>
        <w:lang w:val="en-GB"/>
      </w:rPr>
    </w:lvl>
    <w:lvl w:ilvl="4" w:tplc="DDE4246E">
      <w:start w:val="1"/>
      <w:numFmt w:val="lowerLetter"/>
      <w:lvlText w:val="%5."/>
      <w:lvlJc w:val="left"/>
      <w:pPr>
        <w:ind w:left="4735" w:hanging="360"/>
      </w:pPr>
      <w:rPr>
        <w:rFonts w:hint="default"/>
      </w:r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13">
    <w:nsid w:val="357B7483"/>
    <w:multiLevelType w:val="hybridMultilevel"/>
    <w:tmpl w:val="27C03358"/>
    <w:lvl w:ilvl="0" w:tplc="A47253C8">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D132AD"/>
    <w:multiLevelType w:val="hybridMultilevel"/>
    <w:tmpl w:val="1660BB92"/>
    <w:lvl w:ilvl="0" w:tplc="C72A2870">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B13DE"/>
    <w:multiLevelType w:val="hybridMultilevel"/>
    <w:tmpl w:val="660E9E66"/>
    <w:lvl w:ilvl="0" w:tplc="1F4E5CFA">
      <w:start w:val="1"/>
      <w:numFmt w:val="lowerLetter"/>
      <w:lvlText w:val="(%1)"/>
      <w:lvlJc w:val="left"/>
      <w:pPr>
        <w:ind w:left="6456" w:hanging="360"/>
      </w:pPr>
      <w:rPr>
        <w:rFonts w:ascii="Times New Roman" w:eastAsia="Times New Roman" w:hAnsi="Times New Roman" w:cs="Times New Roman"/>
      </w:rPr>
    </w:lvl>
    <w:lvl w:ilvl="1" w:tplc="08090019" w:tentative="1">
      <w:start w:val="1"/>
      <w:numFmt w:val="lowerLetter"/>
      <w:lvlText w:val="%2."/>
      <w:lvlJc w:val="left"/>
      <w:pPr>
        <w:ind w:left="5551" w:hanging="360"/>
      </w:pPr>
    </w:lvl>
    <w:lvl w:ilvl="2" w:tplc="0809001B" w:tentative="1">
      <w:start w:val="1"/>
      <w:numFmt w:val="lowerRoman"/>
      <w:lvlText w:val="%3."/>
      <w:lvlJc w:val="right"/>
      <w:pPr>
        <w:ind w:left="6271" w:hanging="180"/>
      </w:pPr>
    </w:lvl>
    <w:lvl w:ilvl="3" w:tplc="0809000F" w:tentative="1">
      <w:start w:val="1"/>
      <w:numFmt w:val="decimal"/>
      <w:lvlText w:val="%4."/>
      <w:lvlJc w:val="left"/>
      <w:pPr>
        <w:ind w:left="6991" w:hanging="360"/>
      </w:pPr>
    </w:lvl>
    <w:lvl w:ilvl="4" w:tplc="08090019" w:tentative="1">
      <w:start w:val="1"/>
      <w:numFmt w:val="lowerLetter"/>
      <w:lvlText w:val="%5."/>
      <w:lvlJc w:val="left"/>
      <w:pPr>
        <w:ind w:left="7711" w:hanging="360"/>
      </w:pPr>
    </w:lvl>
    <w:lvl w:ilvl="5" w:tplc="0809001B" w:tentative="1">
      <w:start w:val="1"/>
      <w:numFmt w:val="lowerRoman"/>
      <w:lvlText w:val="%6."/>
      <w:lvlJc w:val="right"/>
      <w:pPr>
        <w:ind w:left="8431" w:hanging="180"/>
      </w:pPr>
    </w:lvl>
    <w:lvl w:ilvl="6" w:tplc="0809000F" w:tentative="1">
      <w:start w:val="1"/>
      <w:numFmt w:val="decimal"/>
      <w:lvlText w:val="%7."/>
      <w:lvlJc w:val="left"/>
      <w:pPr>
        <w:ind w:left="9151" w:hanging="360"/>
      </w:pPr>
    </w:lvl>
    <w:lvl w:ilvl="7" w:tplc="08090019" w:tentative="1">
      <w:start w:val="1"/>
      <w:numFmt w:val="lowerLetter"/>
      <w:lvlText w:val="%8."/>
      <w:lvlJc w:val="left"/>
      <w:pPr>
        <w:ind w:left="9871" w:hanging="360"/>
      </w:pPr>
    </w:lvl>
    <w:lvl w:ilvl="8" w:tplc="0809001B" w:tentative="1">
      <w:start w:val="1"/>
      <w:numFmt w:val="lowerRoman"/>
      <w:lvlText w:val="%9."/>
      <w:lvlJc w:val="right"/>
      <w:pPr>
        <w:ind w:left="10591" w:hanging="180"/>
      </w:pPr>
    </w:lvl>
  </w:abstractNum>
  <w:abstractNum w:abstractNumId="16">
    <w:nsid w:val="39872696"/>
    <w:multiLevelType w:val="hybridMultilevel"/>
    <w:tmpl w:val="B8FAC420"/>
    <w:lvl w:ilvl="0" w:tplc="41468564">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nsid w:val="3AC54E70"/>
    <w:multiLevelType w:val="hybridMultilevel"/>
    <w:tmpl w:val="B9F6944E"/>
    <w:lvl w:ilvl="0" w:tplc="A47253C8">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3DD14CBA"/>
    <w:multiLevelType w:val="hybridMultilevel"/>
    <w:tmpl w:val="79EE1F64"/>
    <w:lvl w:ilvl="0" w:tplc="A47253C8">
      <w:start w:val="1"/>
      <w:numFmt w:val="lowerRoman"/>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9">
    <w:nsid w:val="4143613E"/>
    <w:multiLevelType w:val="hybridMultilevel"/>
    <w:tmpl w:val="AF6C6B34"/>
    <w:lvl w:ilvl="0" w:tplc="E4EA9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0F08B5"/>
    <w:multiLevelType w:val="hybridMultilevel"/>
    <w:tmpl w:val="618A6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930B2"/>
    <w:multiLevelType w:val="hybridMultilevel"/>
    <w:tmpl w:val="98E636C4"/>
    <w:lvl w:ilvl="0" w:tplc="A4725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nsid w:val="59CB1908"/>
    <w:multiLevelType w:val="hybridMultilevel"/>
    <w:tmpl w:val="EBCEC516"/>
    <w:lvl w:ilvl="0" w:tplc="A47253C8">
      <w:start w:val="1"/>
      <w:numFmt w:val="lowerRoman"/>
      <w:lvlText w:val="(%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24">
    <w:nsid w:val="5A9956A5"/>
    <w:multiLevelType w:val="hybridMultilevel"/>
    <w:tmpl w:val="918ABDCC"/>
    <w:lvl w:ilvl="0" w:tplc="6842303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A47253C8">
      <w:start w:val="1"/>
      <w:numFmt w:val="lowerRoman"/>
      <w:lvlText w:val="(%5)"/>
      <w:lvlJc w:val="left"/>
      <w:pPr>
        <w:ind w:left="4950" w:hanging="360"/>
      </w:pPr>
      <w:rPr>
        <w:rFonts w:hint="default"/>
      </w:r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5C1D158C"/>
    <w:multiLevelType w:val="hybridMultilevel"/>
    <w:tmpl w:val="4F783A50"/>
    <w:lvl w:ilvl="0" w:tplc="01705F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3C3C58"/>
    <w:multiLevelType w:val="hybridMultilevel"/>
    <w:tmpl w:val="6F0ED970"/>
    <w:lvl w:ilvl="0" w:tplc="A47253C8">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1902754"/>
    <w:multiLevelType w:val="hybridMultilevel"/>
    <w:tmpl w:val="DC462976"/>
    <w:lvl w:ilvl="0" w:tplc="A47253C8">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nsid w:val="64945C4D"/>
    <w:multiLevelType w:val="hybridMultilevel"/>
    <w:tmpl w:val="6F3843D2"/>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A47253C8">
      <w:start w:val="1"/>
      <w:numFmt w:val="lowerRoman"/>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845662C"/>
    <w:multiLevelType w:val="hybridMultilevel"/>
    <w:tmpl w:val="2478573C"/>
    <w:lvl w:ilvl="0" w:tplc="159C787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695938C2"/>
    <w:multiLevelType w:val="hybridMultilevel"/>
    <w:tmpl w:val="F02C6BFA"/>
    <w:lvl w:ilvl="0" w:tplc="6842303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73C92408"/>
    <w:multiLevelType w:val="hybridMultilevel"/>
    <w:tmpl w:val="D41A6E6C"/>
    <w:lvl w:ilvl="0" w:tplc="4BC059F2">
      <w:start w:val="1"/>
      <w:numFmt w:val="decimal"/>
      <w:lvlText w:val="%1."/>
      <w:lvlJc w:val="left"/>
      <w:pPr>
        <w:ind w:left="1620" w:hanging="360"/>
      </w:pPr>
      <w:rPr>
        <w:rFonts w:hint="eastAsia"/>
        <w:b w:val="0"/>
        <w:color w:val="auto"/>
        <w:sz w:val="20"/>
        <w:szCs w:val="20"/>
      </w:rPr>
    </w:lvl>
    <w:lvl w:ilvl="1" w:tplc="C72A2870">
      <w:start w:val="1"/>
      <w:numFmt w:val="lowerLetter"/>
      <w:lvlText w:val="(%2)"/>
      <w:lvlJc w:val="left"/>
      <w:pPr>
        <w:ind w:left="990" w:hanging="360"/>
      </w:pPr>
      <w:rPr>
        <w:rFonts w:ascii="Times New Roman" w:eastAsia="Times New Roman" w:hAnsi="Times New Roman" w:cs="Times New Roman" w:hint="default"/>
      </w:rPr>
    </w:lvl>
    <w:lvl w:ilvl="2" w:tplc="A47253C8">
      <w:start w:val="1"/>
      <w:numFmt w:val="lowerRoman"/>
      <w:lvlText w:val="(%3)"/>
      <w:lvlJc w:val="left"/>
      <w:pPr>
        <w:ind w:left="1440" w:hanging="180"/>
      </w:pPr>
      <w:rPr>
        <w:rFonts w:hint="default"/>
      </w:rPr>
    </w:lvl>
    <w:lvl w:ilvl="3" w:tplc="04090015">
      <w:start w:val="1"/>
      <w:numFmt w:val="upperLetter"/>
      <w:lvlText w:val="%4."/>
      <w:lvlJc w:val="left"/>
      <w:pPr>
        <w:ind w:left="4015" w:hanging="360"/>
      </w:pPr>
      <w:rPr>
        <w:lang w:val="en-GB"/>
      </w:rPr>
    </w:lvl>
    <w:lvl w:ilvl="4" w:tplc="DDE4246E">
      <w:start w:val="1"/>
      <w:numFmt w:val="lowerLetter"/>
      <w:lvlText w:val="%5."/>
      <w:lvlJc w:val="left"/>
      <w:pPr>
        <w:ind w:left="4735" w:hanging="360"/>
      </w:pPr>
      <w:rPr>
        <w:rFonts w:hint="default"/>
      </w:r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32">
    <w:nsid w:val="73D91C37"/>
    <w:multiLevelType w:val="hybridMultilevel"/>
    <w:tmpl w:val="1BA00EE0"/>
    <w:lvl w:ilvl="0" w:tplc="A4725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7219B"/>
    <w:multiLevelType w:val="hybridMultilevel"/>
    <w:tmpl w:val="F6AA6CCA"/>
    <w:lvl w:ilvl="0" w:tplc="53F07200">
      <w:start w:val="4"/>
      <w:numFmt w:val="upperRoman"/>
      <w:lvlText w:val="%1."/>
      <w:lvlJc w:val="righ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9305A"/>
    <w:multiLevelType w:val="hybridMultilevel"/>
    <w:tmpl w:val="5F1057DC"/>
    <w:lvl w:ilvl="0" w:tplc="A47253C8">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7F7D3B9C"/>
    <w:multiLevelType w:val="hybridMultilevel"/>
    <w:tmpl w:val="CF244E80"/>
    <w:lvl w:ilvl="0" w:tplc="375AF64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7"/>
  </w:num>
  <w:num w:numId="2">
    <w:abstractNumId w:val="22"/>
  </w:num>
  <w:num w:numId="3">
    <w:abstractNumId w:val="8"/>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
    <w:abstractNumId w:val="0"/>
  </w:num>
  <w:num w:numId="5">
    <w:abstractNumId w:val="31"/>
  </w:num>
  <w:num w:numId="6">
    <w:abstractNumId w:val="15"/>
  </w:num>
  <w:num w:numId="7">
    <w:abstractNumId w:val="4"/>
  </w:num>
  <w:num w:numId="8">
    <w:abstractNumId w:val="16"/>
  </w:num>
  <w:num w:numId="9">
    <w:abstractNumId w:val="14"/>
  </w:num>
  <w:num w:numId="10">
    <w:abstractNumId w:val="21"/>
  </w:num>
  <w:num w:numId="11">
    <w:abstractNumId w:val="32"/>
  </w:num>
  <w:num w:numId="12">
    <w:abstractNumId w:val="25"/>
  </w:num>
  <w:num w:numId="13">
    <w:abstractNumId w:val="26"/>
  </w:num>
  <w:num w:numId="14">
    <w:abstractNumId w:val="28"/>
  </w:num>
  <w:num w:numId="15">
    <w:abstractNumId w:val="18"/>
  </w:num>
  <w:num w:numId="16">
    <w:abstractNumId w:val="13"/>
  </w:num>
  <w:num w:numId="17">
    <w:abstractNumId w:val="3"/>
  </w:num>
  <w:num w:numId="18">
    <w:abstractNumId w:val="19"/>
  </w:num>
  <w:num w:numId="19">
    <w:abstractNumId w:val="6"/>
  </w:num>
  <w:num w:numId="20">
    <w:abstractNumId w:val="17"/>
  </w:num>
  <w:num w:numId="21">
    <w:abstractNumId w:val="35"/>
  </w:num>
  <w:num w:numId="22">
    <w:abstractNumId w:val="34"/>
  </w:num>
  <w:num w:numId="23">
    <w:abstractNumId w:val="10"/>
  </w:num>
  <w:num w:numId="24">
    <w:abstractNumId w:val="2"/>
  </w:num>
  <w:num w:numId="25">
    <w:abstractNumId w:val="30"/>
  </w:num>
  <w:num w:numId="26">
    <w:abstractNumId w:val="27"/>
  </w:num>
  <w:num w:numId="27">
    <w:abstractNumId w:val="23"/>
  </w:num>
  <w:num w:numId="28">
    <w:abstractNumId w:val="1"/>
  </w:num>
  <w:num w:numId="29">
    <w:abstractNumId w:val="24"/>
  </w:num>
  <w:num w:numId="30">
    <w:abstractNumId w:val="29"/>
  </w:num>
  <w:num w:numId="31">
    <w:abstractNumId w:val="5"/>
  </w:num>
  <w:num w:numId="32">
    <w:abstractNumId w:val="11"/>
  </w:num>
  <w:num w:numId="33">
    <w:abstractNumId w:val="12"/>
  </w:num>
  <w:num w:numId="34">
    <w:abstractNumId w:val="9"/>
  </w:num>
  <w:num w:numId="35">
    <w:abstractNumId w:val="20"/>
  </w:num>
  <w:num w:numId="36">
    <w:abstractNumId w:val="3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ell, Christine (AGPM)">
    <w15:presenceInfo w15:providerId="AD" w15:userId="S-1-5-21-2107199734-1002509562-578033828-63671"/>
  </w15:person>
  <w15:person w15:author="Murray, William (AGPM)">
    <w15:presenceInfo w15:providerId="AD" w15:userId="S-1-5-21-2107199734-1002509562-578033828-10416"/>
  </w15:person>
  <w15:person w15:author="Wyrwal, Gerold (AGPM)">
    <w15:presenceInfo w15:providerId="AD" w15:userId="S-1-5-21-2107199734-1002509562-578033828-3628"/>
  </w15:person>
  <w15:person w15:author="Mihajlovski, Aleksandar (AGPM)">
    <w15:presenceInfo w15:providerId="AD" w15:userId="S-1-5-21-2107199734-1002509562-578033828-8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19"/>
  <w:hyphenationZone w:val="425"/>
  <w:evenAndOddHeaders/>
  <w:drawingGridHorizontalSpacing w:val="110"/>
  <w:displayHorizont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2"/>
  </w:compat>
  <w:rsids>
    <w:rsidRoot w:val="003E714C"/>
    <w:rsid w:val="00000F0D"/>
    <w:rsid w:val="00001604"/>
    <w:rsid w:val="000021C8"/>
    <w:rsid w:val="00002B5D"/>
    <w:rsid w:val="00004089"/>
    <w:rsid w:val="000049BC"/>
    <w:rsid w:val="000052D9"/>
    <w:rsid w:val="0000652D"/>
    <w:rsid w:val="000103AC"/>
    <w:rsid w:val="00012984"/>
    <w:rsid w:val="00012FFE"/>
    <w:rsid w:val="000143DE"/>
    <w:rsid w:val="000168F6"/>
    <w:rsid w:val="00020A57"/>
    <w:rsid w:val="0002174D"/>
    <w:rsid w:val="000228C9"/>
    <w:rsid w:val="00027229"/>
    <w:rsid w:val="00030872"/>
    <w:rsid w:val="0003140B"/>
    <w:rsid w:val="00033673"/>
    <w:rsid w:val="000339F9"/>
    <w:rsid w:val="00034EAC"/>
    <w:rsid w:val="00041F65"/>
    <w:rsid w:val="000428F9"/>
    <w:rsid w:val="00043764"/>
    <w:rsid w:val="0004637F"/>
    <w:rsid w:val="000474F0"/>
    <w:rsid w:val="00050246"/>
    <w:rsid w:val="0005366B"/>
    <w:rsid w:val="00055209"/>
    <w:rsid w:val="000603EC"/>
    <w:rsid w:val="00061535"/>
    <w:rsid w:val="00064D36"/>
    <w:rsid w:val="00064F6F"/>
    <w:rsid w:val="00072CA2"/>
    <w:rsid w:val="0007686B"/>
    <w:rsid w:val="000801EC"/>
    <w:rsid w:val="00082B64"/>
    <w:rsid w:val="00084B74"/>
    <w:rsid w:val="00085994"/>
    <w:rsid w:val="00085B6B"/>
    <w:rsid w:val="0008627C"/>
    <w:rsid w:val="00091459"/>
    <w:rsid w:val="0009593B"/>
    <w:rsid w:val="00095B9B"/>
    <w:rsid w:val="00096A1C"/>
    <w:rsid w:val="00096ED6"/>
    <w:rsid w:val="00097041"/>
    <w:rsid w:val="000A08D1"/>
    <w:rsid w:val="000A0C43"/>
    <w:rsid w:val="000A25A0"/>
    <w:rsid w:val="000A603D"/>
    <w:rsid w:val="000A6277"/>
    <w:rsid w:val="000A7847"/>
    <w:rsid w:val="000B0358"/>
    <w:rsid w:val="000B452A"/>
    <w:rsid w:val="000B49B0"/>
    <w:rsid w:val="000B5798"/>
    <w:rsid w:val="000B7369"/>
    <w:rsid w:val="000B7B73"/>
    <w:rsid w:val="000C0657"/>
    <w:rsid w:val="000C2184"/>
    <w:rsid w:val="000C37C4"/>
    <w:rsid w:val="000C5110"/>
    <w:rsid w:val="000C5961"/>
    <w:rsid w:val="000D0CBF"/>
    <w:rsid w:val="000D168C"/>
    <w:rsid w:val="000D2A68"/>
    <w:rsid w:val="000D733C"/>
    <w:rsid w:val="000D75AB"/>
    <w:rsid w:val="000E19A5"/>
    <w:rsid w:val="000E526D"/>
    <w:rsid w:val="000E714F"/>
    <w:rsid w:val="000F1801"/>
    <w:rsid w:val="000F416E"/>
    <w:rsid w:val="000F5993"/>
    <w:rsid w:val="000F5F23"/>
    <w:rsid w:val="000F6492"/>
    <w:rsid w:val="001018BA"/>
    <w:rsid w:val="00102AA0"/>
    <w:rsid w:val="00107F12"/>
    <w:rsid w:val="00110EF5"/>
    <w:rsid w:val="00111B40"/>
    <w:rsid w:val="00115A3E"/>
    <w:rsid w:val="00120CD5"/>
    <w:rsid w:val="0012155E"/>
    <w:rsid w:val="00123347"/>
    <w:rsid w:val="00126A72"/>
    <w:rsid w:val="00127B27"/>
    <w:rsid w:val="001303BF"/>
    <w:rsid w:val="00131CF8"/>
    <w:rsid w:val="0013264A"/>
    <w:rsid w:val="0013277B"/>
    <w:rsid w:val="00133556"/>
    <w:rsid w:val="0013449B"/>
    <w:rsid w:val="00134D7C"/>
    <w:rsid w:val="00135FCF"/>
    <w:rsid w:val="0014077B"/>
    <w:rsid w:val="00141FF9"/>
    <w:rsid w:val="00146823"/>
    <w:rsid w:val="001502C2"/>
    <w:rsid w:val="00150896"/>
    <w:rsid w:val="00150D73"/>
    <w:rsid w:val="00150F20"/>
    <w:rsid w:val="00152821"/>
    <w:rsid w:val="00155C71"/>
    <w:rsid w:val="00156928"/>
    <w:rsid w:val="00161150"/>
    <w:rsid w:val="00161345"/>
    <w:rsid w:val="001618CC"/>
    <w:rsid w:val="0016400E"/>
    <w:rsid w:val="00164831"/>
    <w:rsid w:val="00166467"/>
    <w:rsid w:val="00171AB1"/>
    <w:rsid w:val="00171E01"/>
    <w:rsid w:val="00172635"/>
    <w:rsid w:val="00172F88"/>
    <w:rsid w:val="00173468"/>
    <w:rsid w:val="00177582"/>
    <w:rsid w:val="001810C2"/>
    <w:rsid w:val="0018129B"/>
    <w:rsid w:val="00183A3A"/>
    <w:rsid w:val="00186173"/>
    <w:rsid w:val="001864E1"/>
    <w:rsid w:val="0018693F"/>
    <w:rsid w:val="0018758C"/>
    <w:rsid w:val="001900A1"/>
    <w:rsid w:val="0019039F"/>
    <w:rsid w:val="00190F96"/>
    <w:rsid w:val="00194B5A"/>
    <w:rsid w:val="00196B09"/>
    <w:rsid w:val="001A0466"/>
    <w:rsid w:val="001A0897"/>
    <w:rsid w:val="001A0AA9"/>
    <w:rsid w:val="001A1EC2"/>
    <w:rsid w:val="001A1ED3"/>
    <w:rsid w:val="001A3315"/>
    <w:rsid w:val="001A3D3C"/>
    <w:rsid w:val="001A4265"/>
    <w:rsid w:val="001A5295"/>
    <w:rsid w:val="001A6B1A"/>
    <w:rsid w:val="001B0181"/>
    <w:rsid w:val="001B0B33"/>
    <w:rsid w:val="001B15A9"/>
    <w:rsid w:val="001B33E9"/>
    <w:rsid w:val="001B39D3"/>
    <w:rsid w:val="001B3C7C"/>
    <w:rsid w:val="001B784C"/>
    <w:rsid w:val="001B7FF2"/>
    <w:rsid w:val="001C0223"/>
    <w:rsid w:val="001C0F39"/>
    <w:rsid w:val="001C59E9"/>
    <w:rsid w:val="001C719D"/>
    <w:rsid w:val="001C74D4"/>
    <w:rsid w:val="001C7F10"/>
    <w:rsid w:val="001D0D81"/>
    <w:rsid w:val="001D1B55"/>
    <w:rsid w:val="001D1F5A"/>
    <w:rsid w:val="001D26D4"/>
    <w:rsid w:val="001D3030"/>
    <w:rsid w:val="001D62D6"/>
    <w:rsid w:val="001E04A0"/>
    <w:rsid w:val="001E1088"/>
    <w:rsid w:val="001E1799"/>
    <w:rsid w:val="001E1E8B"/>
    <w:rsid w:val="001E33AC"/>
    <w:rsid w:val="001E6A98"/>
    <w:rsid w:val="001F39E6"/>
    <w:rsid w:val="001F4872"/>
    <w:rsid w:val="001F59CE"/>
    <w:rsid w:val="001F5DFC"/>
    <w:rsid w:val="002018A0"/>
    <w:rsid w:val="00202812"/>
    <w:rsid w:val="00203CC8"/>
    <w:rsid w:val="00204EE9"/>
    <w:rsid w:val="002056F1"/>
    <w:rsid w:val="00205B4D"/>
    <w:rsid w:val="00206927"/>
    <w:rsid w:val="00210228"/>
    <w:rsid w:val="002103A8"/>
    <w:rsid w:val="00214AE0"/>
    <w:rsid w:val="0021585D"/>
    <w:rsid w:val="00216A26"/>
    <w:rsid w:val="00221095"/>
    <w:rsid w:val="002233ED"/>
    <w:rsid w:val="002238F8"/>
    <w:rsid w:val="00223DC6"/>
    <w:rsid w:val="00224EFB"/>
    <w:rsid w:val="002254A4"/>
    <w:rsid w:val="002310B4"/>
    <w:rsid w:val="002328B6"/>
    <w:rsid w:val="002343FB"/>
    <w:rsid w:val="00241560"/>
    <w:rsid w:val="00241728"/>
    <w:rsid w:val="00243123"/>
    <w:rsid w:val="00243AFF"/>
    <w:rsid w:val="002444CD"/>
    <w:rsid w:val="00244D38"/>
    <w:rsid w:val="00251525"/>
    <w:rsid w:val="002540F7"/>
    <w:rsid w:val="00254314"/>
    <w:rsid w:val="00254479"/>
    <w:rsid w:val="0025518C"/>
    <w:rsid w:val="00255612"/>
    <w:rsid w:val="002568D9"/>
    <w:rsid w:val="0026050F"/>
    <w:rsid w:val="00261CB0"/>
    <w:rsid w:val="002625B7"/>
    <w:rsid w:val="002639BB"/>
    <w:rsid w:val="00265B0A"/>
    <w:rsid w:val="00265CA3"/>
    <w:rsid w:val="00266635"/>
    <w:rsid w:val="00266D61"/>
    <w:rsid w:val="0027043C"/>
    <w:rsid w:val="00270F06"/>
    <w:rsid w:val="002711B1"/>
    <w:rsid w:val="00271AF6"/>
    <w:rsid w:val="00272835"/>
    <w:rsid w:val="002732D2"/>
    <w:rsid w:val="00273A4F"/>
    <w:rsid w:val="00276559"/>
    <w:rsid w:val="00277985"/>
    <w:rsid w:val="00282F26"/>
    <w:rsid w:val="00286A53"/>
    <w:rsid w:val="00286A80"/>
    <w:rsid w:val="00286D80"/>
    <w:rsid w:val="00293DD7"/>
    <w:rsid w:val="0029652E"/>
    <w:rsid w:val="0029738E"/>
    <w:rsid w:val="002A089B"/>
    <w:rsid w:val="002A20FA"/>
    <w:rsid w:val="002A5561"/>
    <w:rsid w:val="002A6627"/>
    <w:rsid w:val="002A685B"/>
    <w:rsid w:val="002A7068"/>
    <w:rsid w:val="002B13E5"/>
    <w:rsid w:val="002B4094"/>
    <w:rsid w:val="002B520C"/>
    <w:rsid w:val="002B5710"/>
    <w:rsid w:val="002C1134"/>
    <w:rsid w:val="002C2B0C"/>
    <w:rsid w:val="002C2E9A"/>
    <w:rsid w:val="002C3FF4"/>
    <w:rsid w:val="002C6DD0"/>
    <w:rsid w:val="002C780D"/>
    <w:rsid w:val="002D01A6"/>
    <w:rsid w:val="002D0DA0"/>
    <w:rsid w:val="002D2E1D"/>
    <w:rsid w:val="002D2E3F"/>
    <w:rsid w:val="002D5945"/>
    <w:rsid w:val="002E0933"/>
    <w:rsid w:val="002E2B43"/>
    <w:rsid w:val="002F02C2"/>
    <w:rsid w:val="002F133B"/>
    <w:rsid w:val="002F677D"/>
    <w:rsid w:val="002F6D60"/>
    <w:rsid w:val="002F7B39"/>
    <w:rsid w:val="00300125"/>
    <w:rsid w:val="00301F12"/>
    <w:rsid w:val="003023D3"/>
    <w:rsid w:val="0030403F"/>
    <w:rsid w:val="003047A8"/>
    <w:rsid w:val="00306897"/>
    <w:rsid w:val="00321140"/>
    <w:rsid w:val="00321B33"/>
    <w:rsid w:val="00331936"/>
    <w:rsid w:val="00332345"/>
    <w:rsid w:val="00332D65"/>
    <w:rsid w:val="0033388F"/>
    <w:rsid w:val="00334464"/>
    <w:rsid w:val="00334838"/>
    <w:rsid w:val="00334FC2"/>
    <w:rsid w:val="00335E57"/>
    <w:rsid w:val="00336C51"/>
    <w:rsid w:val="0033708E"/>
    <w:rsid w:val="0033789C"/>
    <w:rsid w:val="003379E1"/>
    <w:rsid w:val="00337B93"/>
    <w:rsid w:val="00340AD9"/>
    <w:rsid w:val="00341EC4"/>
    <w:rsid w:val="00342753"/>
    <w:rsid w:val="0034380B"/>
    <w:rsid w:val="00345A83"/>
    <w:rsid w:val="00346279"/>
    <w:rsid w:val="003502FA"/>
    <w:rsid w:val="00352198"/>
    <w:rsid w:val="0035617F"/>
    <w:rsid w:val="0036042D"/>
    <w:rsid w:val="003619F2"/>
    <w:rsid w:val="00361AC4"/>
    <w:rsid w:val="00361F8A"/>
    <w:rsid w:val="00362388"/>
    <w:rsid w:val="00363687"/>
    <w:rsid w:val="00364E3B"/>
    <w:rsid w:val="003656B3"/>
    <w:rsid w:val="0036725F"/>
    <w:rsid w:val="00367F19"/>
    <w:rsid w:val="003704D5"/>
    <w:rsid w:val="003714AD"/>
    <w:rsid w:val="00372D0F"/>
    <w:rsid w:val="00374342"/>
    <w:rsid w:val="00376FF7"/>
    <w:rsid w:val="00381C31"/>
    <w:rsid w:val="00383BB7"/>
    <w:rsid w:val="00385F64"/>
    <w:rsid w:val="0039066F"/>
    <w:rsid w:val="0039180E"/>
    <w:rsid w:val="00393D3C"/>
    <w:rsid w:val="00397C0E"/>
    <w:rsid w:val="003A18A7"/>
    <w:rsid w:val="003A6A16"/>
    <w:rsid w:val="003A6EC4"/>
    <w:rsid w:val="003B0356"/>
    <w:rsid w:val="003B1F7D"/>
    <w:rsid w:val="003B3EE5"/>
    <w:rsid w:val="003B5BA0"/>
    <w:rsid w:val="003B5CC8"/>
    <w:rsid w:val="003B5E4F"/>
    <w:rsid w:val="003B7A2D"/>
    <w:rsid w:val="003C0DFD"/>
    <w:rsid w:val="003C1209"/>
    <w:rsid w:val="003C6389"/>
    <w:rsid w:val="003C655E"/>
    <w:rsid w:val="003C7ECC"/>
    <w:rsid w:val="003D05EE"/>
    <w:rsid w:val="003D2133"/>
    <w:rsid w:val="003D27AA"/>
    <w:rsid w:val="003D4BC1"/>
    <w:rsid w:val="003D5B36"/>
    <w:rsid w:val="003D7E29"/>
    <w:rsid w:val="003E20B2"/>
    <w:rsid w:val="003E2563"/>
    <w:rsid w:val="003E2D61"/>
    <w:rsid w:val="003E621C"/>
    <w:rsid w:val="003E7119"/>
    <w:rsid w:val="003E714C"/>
    <w:rsid w:val="003E7164"/>
    <w:rsid w:val="003F2764"/>
    <w:rsid w:val="003F3564"/>
    <w:rsid w:val="004064DF"/>
    <w:rsid w:val="004110B6"/>
    <w:rsid w:val="00412573"/>
    <w:rsid w:val="004130CE"/>
    <w:rsid w:val="00413C83"/>
    <w:rsid w:val="00414049"/>
    <w:rsid w:val="00414C3F"/>
    <w:rsid w:val="004178E9"/>
    <w:rsid w:val="00421660"/>
    <w:rsid w:val="0042254E"/>
    <w:rsid w:val="004225F3"/>
    <w:rsid w:val="0042439C"/>
    <w:rsid w:val="00424CE3"/>
    <w:rsid w:val="00425248"/>
    <w:rsid w:val="00425386"/>
    <w:rsid w:val="00425A33"/>
    <w:rsid w:val="00425C2E"/>
    <w:rsid w:val="00427749"/>
    <w:rsid w:val="004279B0"/>
    <w:rsid w:val="00431469"/>
    <w:rsid w:val="00431DBC"/>
    <w:rsid w:val="00433876"/>
    <w:rsid w:val="00434DAD"/>
    <w:rsid w:val="00435094"/>
    <w:rsid w:val="0043568A"/>
    <w:rsid w:val="00437F8B"/>
    <w:rsid w:val="00442028"/>
    <w:rsid w:val="004431A4"/>
    <w:rsid w:val="0044359A"/>
    <w:rsid w:val="0045138D"/>
    <w:rsid w:val="00451512"/>
    <w:rsid w:val="004540CD"/>
    <w:rsid w:val="00454185"/>
    <w:rsid w:val="00455AEE"/>
    <w:rsid w:val="00456A09"/>
    <w:rsid w:val="00456F39"/>
    <w:rsid w:val="00457A3F"/>
    <w:rsid w:val="0046084C"/>
    <w:rsid w:val="004619E6"/>
    <w:rsid w:val="00462052"/>
    <w:rsid w:val="00462B6F"/>
    <w:rsid w:val="00467B98"/>
    <w:rsid w:val="004713CC"/>
    <w:rsid w:val="00472BA1"/>
    <w:rsid w:val="00472CB3"/>
    <w:rsid w:val="004744A8"/>
    <w:rsid w:val="00474ADE"/>
    <w:rsid w:val="004769E6"/>
    <w:rsid w:val="0048759C"/>
    <w:rsid w:val="00490D9C"/>
    <w:rsid w:val="0049321E"/>
    <w:rsid w:val="00493515"/>
    <w:rsid w:val="00494F87"/>
    <w:rsid w:val="00495FEB"/>
    <w:rsid w:val="004968A7"/>
    <w:rsid w:val="00497565"/>
    <w:rsid w:val="00497D5B"/>
    <w:rsid w:val="004A11A0"/>
    <w:rsid w:val="004A44E5"/>
    <w:rsid w:val="004A499D"/>
    <w:rsid w:val="004A76CA"/>
    <w:rsid w:val="004A7CF7"/>
    <w:rsid w:val="004B0600"/>
    <w:rsid w:val="004B2DCC"/>
    <w:rsid w:val="004B2F46"/>
    <w:rsid w:val="004B623B"/>
    <w:rsid w:val="004C4321"/>
    <w:rsid w:val="004C43BD"/>
    <w:rsid w:val="004C62B6"/>
    <w:rsid w:val="004C6967"/>
    <w:rsid w:val="004D08D9"/>
    <w:rsid w:val="004D1274"/>
    <w:rsid w:val="004D2048"/>
    <w:rsid w:val="004D37D1"/>
    <w:rsid w:val="004D3F03"/>
    <w:rsid w:val="004D42BD"/>
    <w:rsid w:val="004D78C4"/>
    <w:rsid w:val="004E413C"/>
    <w:rsid w:val="004E6672"/>
    <w:rsid w:val="004F155A"/>
    <w:rsid w:val="004F1ACC"/>
    <w:rsid w:val="004F52E8"/>
    <w:rsid w:val="004F64A0"/>
    <w:rsid w:val="005065C6"/>
    <w:rsid w:val="0050660A"/>
    <w:rsid w:val="00510DCB"/>
    <w:rsid w:val="005130A3"/>
    <w:rsid w:val="0051426E"/>
    <w:rsid w:val="005143D0"/>
    <w:rsid w:val="00514C9A"/>
    <w:rsid w:val="00514D73"/>
    <w:rsid w:val="005151DF"/>
    <w:rsid w:val="00522C3F"/>
    <w:rsid w:val="0053015D"/>
    <w:rsid w:val="0053055D"/>
    <w:rsid w:val="0053164F"/>
    <w:rsid w:val="00531C6B"/>
    <w:rsid w:val="00532CA5"/>
    <w:rsid w:val="0053618B"/>
    <w:rsid w:val="005372B5"/>
    <w:rsid w:val="0054280D"/>
    <w:rsid w:val="0054411D"/>
    <w:rsid w:val="00544562"/>
    <w:rsid w:val="0054589E"/>
    <w:rsid w:val="00550397"/>
    <w:rsid w:val="005524EE"/>
    <w:rsid w:val="005557C0"/>
    <w:rsid w:val="00561A8C"/>
    <w:rsid w:val="00564CF3"/>
    <w:rsid w:val="0056576D"/>
    <w:rsid w:val="005676F5"/>
    <w:rsid w:val="0057007E"/>
    <w:rsid w:val="005733AD"/>
    <w:rsid w:val="005734A7"/>
    <w:rsid w:val="005751C2"/>
    <w:rsid w:val="00575BE1"/>
    <w:rsid w:val="00580776"/>
    <w:rsid w:val="00583B69"/>
    <w:rsid w:val="00583D53"/>
    <w:rsid w:val="00587C29"/>
    <w:rsid w:val="0059061F"/>
    <w:rsid w:val="0059202B"/>
    <w:rsid w:val="00592897"/>
    <w:rsid w:val="00592C25"/>
    <w:rsid w:val="0059421C"/>
    <w:rsid w:val="00597E1A"/>
    <w:rsid w:val="005A0DF1"/>
    <w:rsid w:val="005A18FD"/>
    <w:rsid w:val="005A2866"/>
    <w:rsid w:val="005A3090"/>
    <w:rsid w:val="005A3C6A"/>
    <w:rsid w:val="005A635D"/>
    <w:rsid w:val="005A6D20"/>
    <w:rsid w:val="005B3728"/>
    <w:rsid w:val="005B42FA"/>
    <w:rsid w:val="005B60D1"/>
    <w:rsid w:val="005B61E0"/>
    <w:rsid w:val="005B6725"/>
    <w:rsid w:val="005B7A43"/>
    <w:rsid w:val="005C3D84"/>
    <w:rsid w:val="005C46AC"/>
    <w:rsid w:val="005D260D"/>
    <w:rsid w:val="005D29D5"/>
    <w:rsid w:val="005E0846"/>
    <w:rsid w:val="005E1E7D"/>
    <w:rsid w:val="005E3562"/>
    <w:rsid w:val="005E5B22"/>
    <w:rsid w:val="005E6888"/>
    <w:rsid w:val="005F23AF"/>
    <w:rsid w:val="005F3C7C"/>
    <w:rsid w:val="005F6456"/>
    <w:rsid w:val="005F6F8A"/>
    <w:rsid w:val="005F70F9"/>
    <w:rsid w:val="00602CB0"/>
    <w:rsid w:val="006047CC"/>
    <w:rsid w:val="00607701"/>
    <w:rsid w:val="00607C96"/>
    <w:rsid w:val="00610FB3"/>
    <w:rsid w:val="00611B10"/>
    <w:rsid w:val="006131B7"/>
    <w:rsid w:val="006137A7"/>
    <w:rsid w:val="006224DA"/>
    <w:rsid w:val="00624E17"/>
    <w:rsid w:val="0062584B"/>
    <w:rsid w:val="006302F6"/>
    <w:rsid w:val="006313D5"/>
    <w:rsid w:val="0063177C"/>
    <w:rsid w:val="00631C9E"/>
    <w:rsid w:val="00635C2B"/>
    <w:rsid w:val="00651670"/>
    <w:rsid w:val="00653490"/>
    <w:rsid w:val="00654723"/>
    <w:rsid w:val="00655722"/>
    <w:rsid w:val="00655918"/>
    <w:rsid w:val="006561AD"/>
    <w:rsid w:val="006567F5"/>
    <w:rsid w:val="00660209"/>
    <w:rsid w:val="0066296E"/>
    <w:rsid w:val="00663700"/>
    <w:rsid w:val="00663A0B"/>
    <w:rsid w:val="0066505C"/>
    <w:rsid w:val="00666834"/>
    <w:rsid w:val="006716B0"/>
    <w:rsid w:val="00672B58"/>
    <w:rsid w:val="00672B94"/>
    <w:rsid w:val="00673348"/>
    <w:rsid w:val="0067495C"/>
    <w:rsid w:val="00683C5C"/>
    <w:rsid w:val="00686805"/>
    <w:rsid w:val="00686BA9"/>
    <w:rsid w:val="006926FB"/>
    <w:rsid w:val="00693CE7"/>
    <w:rsid w:val="0069519E"/>
    <w:rsid w:val="006960E8"/>
    <w:rsid w:val="006A3435"/>
    <w:rsid w:val="006A5427"/>
    <w:rsid w:val="006A6005"/>
    <w:rsid w:val="006B0BF0"/>
    <w:rsid w:val="006B150B"/>
    <w:rsid w:val="006B1816"/>
    <w:rsid w:val="006B3F1A"/>
    <w:rsid w:val="006B58B1"/>
    <w:rsid w:val="006B726E"/>
    <w:rsid w:val="006B7769"/>
    <w:rsid w:val="006B7F0A"/>
    <w:rsid w:val="006C1852"/>
    <w:rsid w:val="006C2ECE"/>
    <w:rsid w:val="006C4561"/>
    <w:rsid w:val="006C5C49"/>
    <w:rsid w:val="006D3F64"/>
    <w:rsid w:val="006D76B9"/>
    <w:rsid w:val="006E1A1F"/>
    <w:rsid w:val="006E1A22"/>
    <w:rsid w:val="006E23B3"/>
    <w:rsid w:val="006E244F"/>
    <w:rsid w:val="006E2782"/>
    <w:rsid w:val="006E38EE"/>
    <w:rsid w:val="006E6B9A"/>
    <w:rsid w:val="006F16F4"/>
    <w:rsid w:val="006F7531"/>
    <w:rsid w:val="00703ECB"/>
    <w:rsid w:val="0070434B"/>
    <w:rsid w:val="007049F1"/>
    <w:rsid w:val="00704AB2"/>
    <w:rsid w:val="0070545C"/>
    <w:rsid w:val="00706BC9"/>
    <w:rsid w:val="00711114"/>
    <w:rsid w:val="00711E0F"/>
    <w:rsid w:val="0071214F"/>
    <w:rsid w:val="0071471C"/>
    <w:rsid w:val="0072040F"/>
    <w:rsid w:val="007204C5"/>
    <w:rsid w:val="00721087"/>
    <w:rsid w:val="00723787"/>
    <w:rsid w:val="00723B86"/>
    <w:rsid w:val="00726302"/>
    <w:rsid w:val="00726321"/>
    <w:rsid w:val="00726656"/>
    <w:rsid w:val="00726EBD"/>
    <w:rsid w:val="007336F8"/>
    <w:rsid w:val="00733A37"/>
    <w:rsid w:val="007345AF"/>
    <w:rsid w:val="007347F4"/>
    <w:rsid w:val="00737437"/>
    <w:rsid w:val="00740042"/>
    <w:rsid w:val="00744460"/>
    <w:rsid w:val="00745BC7"/>
    <w:rsid w:val="007509F1"/>
    <w:rsid w:val="0075667C"/>
    <w:rsid w:val="00763C3C"/>
    <w:rsid w:val="00766362"/>
    <w:rsid w:val="00766580"/>
    <w:rsid w:val="007675B6"/>
    <w:rsid w:val="00767DA2"/>
    <w:rsid w:val="007714AD"/>
    <w:rsid w:val="007739A7"/>
    <w:rsid w:val="00773F94"/>
    <w:rsid w:val="007745D0"/>
    <w:rsid w:val="00781A40"/>
    <w:rsid w:val="007835E0"/>
    <w:rsid w:val="00786C9C"/>
    <w:rsid w:val="00787C82"/>
    <w:rsid w:val="00790ACF"/>
    <w:rsid w:val="00790FFF"/>
    <w:rsid w:val="00791CAD"/>
    <w:rsid w:val="00792B6B"/>
    <w:rsid w:val="00793B01"/>
    <w:rsid w:val="00793CA2"/>
    <w:rsid w:val="0079647E"/>
    <w:rsid w:val="00796E5B"/>
    <w:rsid w:val="007A04EA"/>
    <w:rsid w:val="007A08D0"/>
    <w:rsid w:val="007A13D2"/>
    <w:rsid w:val="007A1C29"/>
    <w:rsid w:val="007A2C6F"/>
    <w:rsid w:val="007A3C5D"/>
    <w:rsid w:val="007B0882"/>
    <w:rsid w:val="007B3D33"/>
    <w:rsid w:val="007B5982"/>
    <w:rsid w:val="007B7E39"/>
    <w:rsid w:val="007C0C80"/>
    <w:rsid w:val="007C2436"/>
    <w:rsid w:val="007C779E"/>
    <w:rsid w:val="007C7B30"/>
    <w:rsid w:val="007D0DFF"/>
    <w:rsid w:val="007D5FFB"/>
    <w:rsid w:val="007D6031"/>
    <w:rsid w:val="007E3760"/>
    <w:rsid w:val="007E5549"/>
    <w:rsid w:val="007E64C1"/>
    <w:rsid w:val="007E6D87"/>
    <w:rsid w:val="007F1410"/>
    <w:rsid w:val="007F244F"/>
    <w:rsid w:val="007F5B37"/>
    <w:rsid w:val="007F5C49"/>
    <w:rsid w:val="0080104F"/>
    <w:rsid w:val="00802492"/>
    <w:rsid w:val="0080726C"/>
    <w:rsid w:val="008073A2"/>
    <w:rsid w:val="008077E4"/>
    <w:rsid w:val="00807A0C"/>
    <w:rsid w:val="00807FC1"/>
    <w:rsid w:val="00811B2B"/>
    <w:rsid w:val="00812296"/>
    <w:rsid w:val="008130BA"/>
    <w:rsid w:val="008164D9"/>
    <w:rsid w:val="00820815"/>
    <w:rsid w:val="0082101C"/>
    <w:rsid w:val="008223CF"/>
    <w:rsid w:val="00824E79"/>
    <w:rsid w:val="00827EE7"/>
    <w:rsid w:val="008302D8"/>
    <w:rsid w:val="00833E80"/>
    <w:rsid w:val="00834FA0"/>
    <w:rsid w:val="00835243"/>
    <w:rsid w:val="0083767A"/>
    <w:rsid w:val="00837DFF"/>
    <w:rsid w:val="00840185"/>
    <w:rsid w:val="00841265"/>
    <w:rsid w:val="008416EE"/>
    <w:rsid w:val="008418AA"/>
    <w:rsid w:val="00841A45"/>
    <w:rsid w:val="00842705"/>
    <w:rsid w:val="00847C96"/>
    <w:rsid w:val="00850903"/>
    <w:rsid w:val="00855D76"/>
    <w:rsid w:val="00855FEB"/>
    <w:rsid w:val="00856DB4"/>
    <w:rsid w:val="00857D14"/>
    <w:rsid w:val="00860996"/>
    <w:rsid w:val="00864477"/>
    <w:rsid w:val="008657FE"/>
    <w:rsid w:val="00866DE8"/>
    <w:rsid w:val="00867518"/>
    <w:rsid w:val="00871162"/>
    <w:rsid w:val="00872075"/>
    <w:rsid w:val="0087273C"/>
    <w:rsid w:val="008728F2"/>
    <w:rsid w:val="00872A28"/>
    <w:rsid w:val="00872DDB"/>
    <w:rsid w:val="008758A6"/>
    <w:rsid w:val="008842A6"/>
    <w:rsid w:val="008843A7"/>
    <w:rsid w:val="00885374"/>
    <w:rsid w:val="00885FF7"/>
    <w:rsid w:val="00886E83"/>
    <w:rsid w:val="0088737A"/>
    <w:rsid w:val="00887977"/>
    <w:rsid w:val="00890862"/>
    <w:rsid w:val="00891471"/>
    <w:rsid w:val="00893922"/>
    <w:rsid w:val="0089512B"/>
    <w:rsid w:val="00895734"/>
    <w:rsid w:val="008A04BA"/>
    <w:rsid w:val="008A11C8"/>
    <w:rsid w:val="008A11E3"/>
    <w:rsid w:val="008A342B"/>
    <w:rsid w:val="008A7664"/>
    <w:rsid w:val="008A77A1"/>
    <w:rsid w:val="008B0B0A"/>
    <w:rsid w:val="008B10FB"/>
    <w:rsid w:val="008B120B"/>
    <w:rsid w:val="008B3E4A"/>
    <w:rsid w:val="008B5ECB"/>
    <w:rsid w:val="008C2604"/>
    <w:rsid w:val="008C267E"/>
    <w:rsid w:val="008C4F5D"/>
    <w:rsid w:val="008C75C6"/>
    <w:rsid w:val="008D0135"/>
    <w:rsid w:val="008D0764"/>
    <w:rsid w:val="008D1E6F"/>
    <w:rsid w:val="008D3A7D"/>
    <w:rsid w:val="008D75DD"/>
    <w:rsid w:val="008D793A"/>
    <w:rsid w:val="008E058F"/>
    <w:rsid w:val="008E1780"/>
    <w:rsid w:val="008E3028"/>
    <w:rsid w:val="008E33F5"/>
    <w:rsid w:val="008E38AF"/>
    <w:rsid w:val="008E450F"/>
    <w:rsid w:val="008E6188"/>
    <w:rsid w:val="008F0B07"/>
    <w:rsid w:val="008F11AC"/>
    <w:rsid w:val="008F127B"/>
    <w:rsid w:val="008F20BE"/>
    <w:rsid w:val="008F3651"/>
    <w:rsid w:val="008F5884"/>
    <w:rsid w:val="009012A0"/>
    <w:rsid w:val="00901718"/>
    <w:rsid w:val="00902949"/>
    <w:rsid w:val="00904825"/>
    <w:rsid w:val="0091009C"/>
    <w:rsid w:val="00910126"/>
    <w:rsid w:val="00911F94"/>
    <w:rsid w:val="00913F1B"/>
    <w:rsid w:val="00914296"/>
    <w:rsid w:val="00914453"/>
    <w:rsid w:val="009160D8"/>
    <w:rsid w:val="009200D1"/>
    <w:rsid w:val="00920363"/>
    <w:rsid w:val="00921022"/>
    <w:rsid w:val="009214E3"/>
    <w:rsid w:val="0092584F"/>
    <w:rsid w:val="00927742"/>
    <w:rsid w:val="00930376"/>
    <w:rsid w:val="00930B3C"/>
    <w:rsid w:val="00930B83"/>
    <w:rsid w:val="0093174A"/>
    <w:rsid w:val="00934C00"/>
    <w:rsid w:val="009356FC"/>
    <w:rsid w:val="00937EA4"/>
    <w:rsid w:val="009424BE"/>
    <w:rsid w:val="009443CA"/>
    <w:rsid w:val="0094484B"/>
    <w:rsid w:val="0094488F"/>
    <w:rsid w:val="00944A93"/>
    <w:rsid w:val="00950F88"/>
    <w:rsid w:val="009519A9"/>
    <w:rsid w:val="009534A5"/>
    <w:rsid w:val="00954014"/>
    <w:rsid w:val="00955741"/>
    <w:rsid w:val="009574FC"/>
    <w:rsid w:val="00960FBE"/>
    <w:rsid w:val="009611C5"/>
    <w:rsid w:val="00961F38"/>
    <w:rsid w:val="00962778"/>
    <w:rsid w:val="0096414D"/>
    <w:rsid w:val="00966E4A"/>
    <w:rsid w:val="009675BB"/>
    <w:rsid w:val="00970F2D"/>
    <w:rsid w:val="00972382"/>
    <w:rsid w:val="0097417A"/>
    <w:rsid w:val="00977C0F"/>
    <w:rsid w:val="009813E1"/>
    <w:rsid w:val="00981874"/>
    <w:rsid w:val="00982AF6"/>
    <w:rsid w:val="009845D9"/>
    <w:rsid w:val="009849EA"/>
    <w:rsid w:val="0099165D"/>
    <w:rsid w:val="00993511"/>
    <w:rsid w:val="009940B6"/>
    <w:rsid w:val="00995358"/>
    <w:rsid w:val="00995749"/>
    <w:rsid w:val="009A3AB4"/>
    <w:rsid w:val="009A4945"/>
    <w:rsid w:val="009A4B27"/>
    <w:rsid w:val="009A74F7"/>
    <w:rsid w:val="009A776E"/>
    <w:rsid w:val="009B2B77"/>
    <w:rsid w:val="009B3B4D"/>
    <w:rsid w:val="009B54F2"/>
    <w:rsid w:val="009C0663"/>
    <w:rsid w:val="009C1BE6"/>
    <w:rsid w:val="009C2B76"/>
    <w:rsid w:val="009C35B6"/>
    <w:rsid w:val="009C50E9"/>
    <w:rsid w:val="009D114B"/>
    <w:rsid w:val="009D1734"/>
    <w:rsid w:val="009D4ECB"/>
    <w:rsid w:val="009D6D48"/>
    <w:rsid w:val="009E5186"/>
    <w:rsid w:val="009E53E6"/>
    <w:rsid w:val="009E694C"/>
    <w:rsid w:val="009F4D0E"/>
    <w:rsid w:val="00A02A58"/>
    <w:rsid w:val="00A10A26"/>
    <w:rsid w:val="00A11AC2"/>
    <w:rsid w:val="00A171C9"/>
    <w:rsid w:val="00A17585"/>
    <w:rsid w:val="00A22914"/>
    <w:rsid w:val="00A24C64"/>
    <w:rsid w:val="00A26101"/>
    <w:rsid w:val="00A267C4"/>
    <w:rsid w:val="00A272D8"/>
    <w:rsid w:val="00A34F1C"/>
    <w:rsid w:val="00A40423"/>
    <w:rsid w:val="00A40B1D"/>
    <w:rsid w:val="00A45FD0"/>
    <w:rsid w:val="00A46D8D"/>
    <w:rsid w:val="00A50CDE"/>
    <w:rsid w:val="00A50F16"/>
    <w:rsid w:val="00A5206A"/>
    <w:rsid w:val="00A52398"/>
    <w:rsid w:val="00A52D8B"/>
    <w:rsid w:val="00A53AD9"/>
    <w:rsid w:val="00A548F8"/>
    <w:rsid w:val="00A54A52"/>
    <w:rsid w:val="00A55E57"/>
    <w:rsid w:val="00A56D93"/>
    <w:rsid w:val="00A576B7"/>
    <w:rsid w:val="00A57972"/>
    <w:rsid w:val="00A604C5"/>
    <w:rsid w:val="00A6095A"/>
    <w:rsid w:val="00A60A2E"/>
    <w:rsid w:val="00A62FBA"/>
    <w:rsid w:val="00A63E5E"/>
    <w:rsid w:val="00A7035F"/>
    <w:rsid w:val="00A807D2"/>
    <w:rsid w:val="00A80F86"/>
    <w:rsid w:val="00A84DDF"/>
    <w:rsid w:val="00A86E93"/>
    <w:rsid w:val="00A90D11"/>
    <w:rsid w:val="00A942C8"/>
    <w:rsid w:val="00A94D35"/>
    <w:rsid w:val="00AA35EA"/>
    <w:rsid w:val="00AA6452"/>
    <w:rsid w:val="00AB1110"/>
    <w:rsid w:val="00AB22BD"/>
    <w:rsid w:val="00AB2B9B"/>
    <w:rsid w:val="00AB3D44"/>
    <w:rsid w:val="00AC1CE8"/>
    <w:rsid w:val="00AC2884"/>
    <w:rsid w:val="00AC3397"/>
    <w:rsid w:val="00AC33F5"/>
    <w:rsid w:val="00AC38B1"/>
    <w:rsid w:val="00AC6B4C"/>
    <w:rsid w:val="00AD09FA"/>
    <w:rsid w:val="00AD301D"/>
    <w:rsid w:val="00AD3E8E"/>
    <w:rsid w:val="00AD6576"/>
    <w:rsid w:val="00AD696C"/>
    <w:rsid w:val="00AD7649"/>
    <w:rsid w:val="00AD768E"/>
    <w:rsid w:val="00AE1066"/>
    <w:rsid w:val="00AE336F"/>
    <w:rsid w:val="00AE4134"/>
    <w:rsid w:val="00AE6492"/>
    <w:rsid w:val="00AE7B64"/>
    <w:rsid w:val="00AF0402"/>
    <w:rsid w:val="00AF31C7"/>
    <w:rsid w:val="00AF3F01"/>
    <w:rsid w:val="00AF4E2E"/>
    <w:rsid w:val="00AF5556"/>
    <w:rsid w:val="00B0007D"/>
    <w:rsid w:val="00B00EE8"/>
    <w:rsid w:val="00B0534A"/>
    <w:rsid w:val="00B057CA"/>
    <w:rsid w:val="00B05B38"/>
    <w:rsid w:val="00B0634A"/>
    <w:rsid w:val="00B11CE4"/>
    <w:rsid w:val="00B12D7B"/>
    <w:rsid w:val="00B1534E"/>
    <w:rsid w:val="00B15764"/>
    <w:rsid w:val="00B21E13"/>
    <w:rsid w:val="00B2531B"/>
    <w:rsid w:val="00B25629"/>
    <w:rsid w:val="00B26386"/>
    <w:rsid w:val="00B27430"/>
    <w:rsid w:val="00B301F7"/>
    <w:rsid w:val="00B40D8D"/>
    <w:rsid w:val="00B41643"/>
    <w:rsid w:val="00B42C5F"/>
    <w:rsid w:val="00B430EC"/>
    <w:rsid w:val="00B44296"/>
    <w:rsid w:val="00B468FF"/>
    <w:rsid w:val="00B52E5B"/>
    <w:rsid w:val="00B5475E"/>
    <w:rsid w:val="00B548D8"/>
    <w:rsid w:val="00B55B6A"/>
    <w:rsid w:val="00B568A3"/>
    <w:rsid w:val="00B56D23"/>
    <w:rsid w:val="00B57BA2"/>
    <w:rsid w:val="00B57F3D"/>
    <w:rsid w:val="00B616CB"/>
    <w:rsid w:val="00B656F6"/>
    <w:rsid w:val="00B65E80"/>
    <w:rsid w:val="00B67ED9"/>
    <w:rsid w:val="00B70659"/>
    <w:rsid w:val="00B71197"/>
    <w:rsid w:val="00B74EC3"/>
    <w:rsid w:val="00B77A3E"/>
    <w:rsid w:val="00B77FEE"/>
    <w:rsid w:val="00B80744"/>
    <w:rsid w:val="00B80821"/>
    <w:rsid w:val="00B82276"/>
    <w:rsid w:val="00B82388"/>
    <w:rsid w:val="00B827E7"/>
    <w:rsid w:val="00B82DD7"/>
    <w:rsid w:val="00B84E27"/>
    <w:rsid w:val="00B86048"/>
    <w:rsid w:val="00B860AA"/>
    <w:rsid w:val="00B86D96"/>
    <w:rsid w:val="00B873A3"/>
    <w:rsid w:val="00B90E28"/>
    <w:rsid w:val="00B92264"/>
    <w:rsid w:val="00B9249B"/>
    <w:rsid w:val="00B924C8"/>
    <w:rsid w:val="00B93DA1"/>
    <w:rsid w:val="00B949D8"/>
    <w:rsid w:val="00B96678"/>
    <w:rsid w:val="00B97EBF"/>
    <w:rsid w:val="00BA07C1"/>
    <w:rsid w:val="00BA186B"/>
    <w:rsid w:val="00BA4C4E"/>
    <w:rsid w:val="00BA4EE8"/>
    <w:rsid w:val="00BA5876"/>
    <w:rsid w:val="00BA5B26"/>
    <w:rsid w:val="00BA69EB"/>
    <w:rsid w:val="00BA6D08"/>
    <w:rsid w:val="00BB4CF0"/>
    <w:rsid w:val="00BB4D84"/>
    <w:rsid w:val="00BB618C"/>
    <w:rsid w:val="00BB6683"/>
    <w:rsid w:val="00BB6821"/>
    <w:rsid w:val="00BC01E1"/>
    <w:rsid w:val="00BC06FD"/>
    <w:rsid w:val="00BC0751"/>
    <w:rsid w:val="00BC19FF"/>
    <w:rsid w:val="00BC1EAA"/>
    <w:rsid w:val="00BC4E5A"/>
    <w:rsid w:val="00BC64E1"/>
    <w:rsid w:val="00BC66B9"/>
    <w:rsid w:val="00BC76D9"/>
    <w:rsid w:val="00BD09BE"/>
    <w:rsid w:val="00BD0E39"/>
    <w:rsid w:val="00BD119E"/>
    <w:rsid w:val="00BD52DC"/>
    <w:rsid w:val="00BD78BD"/>
    <w:rsid w:val="00BD7A60"/>
    <w:rsid w:val="00BE07B0"/>
    <w:rsid w:val="00BE0B1D"/>
    <w:rsid w:val="00BE59FC"/>
    <w:rsid w:val="00BE6FF0"/>
    <w:rsid w:val="00BF2BA4"/>
    <w:rsid w:val="00BF2C61"/>
    <w:rsid w:val="00BF3D64"/>
    <w:rsid w:val="00BF550B"/>
    <w:rsid w:val="00BF72C2"/>
    <w:rsid w:val="00BF7F21"/>
    <w:rsid w:val="00BF7F7A"/>
    <w:rsid w:val="00C01CA3"/>
    <w:rsid w:val="00C0221F"/>
    <w:rsid w:val="00C028CF"/>
    <w:rsid w:val="00C02BE7"/>
    <w:rsid w:val="00C04A43"/>
    <w:rsid w:val="00C10576"/>
    <w:rsid w:val="00C10B03"/>
    <w:rsid w:val="00C15D37"/>
    <w:rsid w:val="00C179B9"/>
    <w:rsid w:val="00C20F4A"/>
    <w:rsid w:val="00C227F7"/>
    <w:rsid w:val="00C228D5"/>
    <w:rsid w:val="00C243E6"/>
    <w:rsid w:val="00C319B9"/>
    <w:rsid w:val="00C31ED8"/>
    <w:rsid w:val="00C32B96"/>
    <w:rsid w:val="00C356EB"/>
    <w:rsid w:val="00C41A1A"/>
    <w:rsid w:val="00C47072"/>
    <w:rsid w:val="00C47D4A"/>
    <w:rsid w:val="00C51D1B"/>
    <w:rsid w:val="00C571F5"/>
    <w:rsid w:val="00C57453"/>
    <w:rsid w:val="00C629AE"/>
    <w:rsid w:val="00C64C86"/>
    <w:rsid w:val="00C67702"/>
    <w:rsid w:val="00C67A83"/>
    <w:rsid w:val="00C70395"/>
    <w:rsid w:val="00C713B1"/>
    <w:rsid w:val="00C72666"/>
    <w:rsid w:val="00C7444A"/>
    <w:rsid w:val="00C74DFF"/>
    <w:rsid w:val="00C764B9"/>
    <w:rsid w:val="00C80447"/>
    <w:rsid w:val="00C823E0"/>
    <w:rsid w:val="00C83453"/>
    <w:rsid w:val="00C834F5"/>
    <w:rsid w:val="00C85514"/>
    <w:rsid w:val="00C8634A"/>
    <w:rsid w:val="00C86DD4"/>
    <w:rsid w:val="00C9099C"/>
    <w:rsid w:val="00C91063"/>
    <w:rsid w:val="00C95702"/>
    <w:rsid w:val="00C958ED"/>
    <w:rsid w:val="00C96BB7"/>
    <w:rsid w:val="00C9716B"/>
    <w:rsid w:val="00CA16A1"/>
    <w:rsid w:val="00CA20B8"/>
    <w:rsid w:val="00CB0F53"/>
    <w:rsid w:val="00CB134D"/>
    <w:rsid w:val="00CB16E9"/>
    <w:rsid w:val="00CB1D24"/>
    <w:rsid w:val="00CB2F2D"/>
    <w:rsid w:val="00CB34FD"/>
    <w:rsid w:val="00CB55CE"/>
    <w:rsid w:val="00CB65D7"/>
    <w:rsid w:val="00CC1A6F"/>
    <w:rsid w:val="00CC558B"/>
    <w:rsid w:val="00CC7038"/>
    <w:rsid w:val="00CD1203"/>
    <w:rsid w:val="00CD3133"/>
    <w:rsid w:val="00CD3885"/>
    <w:rsid w:val="00CD6BD3"/>
    <w:rsid w:val="00CD7B7A"/>
    <w:rsid w:val="00CE185D"/>
    <w:rsid w:val="00CE3874"/>
    <w:rsid w:val="00CE4B62"/>
    <w:rsid w:val="00CE7C00"/>
    <w:rsid w:val="00CF1D62"/>
    <w:rsid w:val="00CF2E66"/>
    <w:rsid w:val="00CF3A53"/>
    <w:rsid w:val="00CF5967"/>
    <w:rsid w:val="00D004E4"/>
    <w:rsid w:val="00D00CBF"/>
    <w:rsid w:val="00D00EA3"/>
    <w:rsid w:val="00D01CF3"/>
    <w:rsid w:val="00D0597C"/>
    <w:rsid w:val="00D1050F"/>
    <w:rsid w:val="00D12D66"/>
    <w:rsid w:val="00D1779B"/>
    <w:rsid w:val="00D20B5C"/>
    <w:rsid w:val="00D21E46"/>
    <w:rsid w:val="00D235A3"/>
    <w:rsid w:val="00D31CA3"/>
    <w:rsid w:val="00D33FA8"/>
    <w:rsid w:val="00D36070"/>
    <w:rsid w:val="00D3613B"/>
    <w:rsid w:val="00D366CF"/>
    <w:rsid w:val="00D41926"/>
    <w:rsid w:val="00D47588"/>
    <w:rsid w:val="00D47BDD"/>
    <w:rsid w:val="00D47FE2"/>
    <w:rsid w:val="00D525C9"/>
    <w:rsid w:val="00D5384A"/>
    <w:rsid w:val="00D53AB1"/>
    <w:rsid w:val="00D53CE7"/>
    <w:rsid w:val="00D55B4C"/>
    <w:rsid w:val="00D62CA8"/>
    <w:rsid w:val="00D63A82"/>
    <w:rsid w:val="00D63D73"/>
    <w:rsid w:val="00D666AF"/>
    <w:rsid w:val="00D66993"/>
    <w:rsid w:val="00D672DF"/>
    <w:rsid w:val="00D7246C"/>
    <w:rsid w:val="00D7401E"/>
    <w:rsid w:val="00D74DC0"/>
    <w:rsid w:val="00D75778"/>
    <w:rsid w:val="00D75F08"/>
    <w:rsid w:val="00D76F0F"/>
    <w:rsid w:val="00D7739E"/>
    <w:rsid w:val="00D82C88"/>
    <w:rsid w:val="00D85BE1"/>
    <w:rsid w:val="00D85F8C"/>
    <w:rsid w:val="00D87101"/>
    <w:rsid w:val="00D9135B"/>
    <w:rsid w:val="00D926F9"/>
    <w:rsid w:val="00D93574"/>
    <w:rsid w:val="00D936DD"/>
    <w:rsid w:val="00D93DD3"/>
    <w:rsid w:val="00D940F4"/>
    <w:rsid w:val="00D968B3"/>
    <w:rsid w:val="00DA0D1D"/>
    <w:rsid w:val="00DA355C"/>
    <w:rsid w:val="00DA64D8"/>
    <w:rsid w:val="00DA6957"/>
    <w:rsid w:val="00DA707E"/>
    <w:rsid w:val="00DB4E65"/>
    <w:rsid w:val="00DB576B"/>
    <w:rsid w:val="00DB5D69"/>
    <w:rsid w:val="00DB5F94"/>
    <w:rsid w:val="00DB7585"/>
    <w:rsid w:val="00DB791F"/>
    <w:rsid w:val="00DC1388"/>
    <w:rsid w:val="00DC1D08"/>
    <w:rsid w:val="00DC3A2E"/>
    <w:rsid w:val="00DC4C17"/>
    <w:rsid w:val="00DD525F"/>
    <w:rsid w:val="00DD54F8"/>
    <w:rsid w:val="00DD6303"/>
    <w:rsid w:val="00DD65D2"/>
    <w:rsid w:val="00DE12EC"/>
    <w:rsid w:val="00DE4CFB"/>
    <w:rsid w:val="00DE614D"/>
    <w:rsid w:val="00DE7C1B"/>
    <w:rsid w:val="00DF1309"/>
    <w:rsid w:val="00DF4877"/>
    <w:rsid w:val="00DF5CA9"/>
    <w:rsid w:val="00DF6A54"/>
    <w:rsid w:val="00DF6F69"/>
    <w:rsid w:val="00DF78DA"/>
    <w:rsid w:val="00E000E2"/>
    <w:rsid w:val="00E00B93"/>
    <w:rsid w:val="00E045F5"/>
    <w:rsid w:val="00E04C67"/>
    <w:rsid w:val="00E074A0"/>
    <w:rsid w:val="00E074BB"/>
    <w:rsid w:val="00E07EC8"/>
    <w:rsid w:val="00E10925"/>
    <w:rsid w:val="00E13D4E"/>
    <w:rsid w:val="00E14B03"/>
    <w:rsid w:val="00E17AA1"/>
    <w:rsid w:val="00E17D19"/>
    <w:rsid w:val="00E210D3"/>
    <w:rsid w:val="00E21854"/>
    <w:rsid w:val="00E2281F"/>
    <w:rsid w:val="00E22DBB"/>
    <w:rsid w:val="00E24D87"/>
    <w:rsid w:val="00E25180"/>
    <w:rsid w:val="00E27E29"/>
    <w:rsid w:val="00E30B67"/>
    <w:rsid w:val="00E3245E"/>
    <w:rsid w:val="00E328CD"/>
    <w:rsid w:val="00E33F9E"/>
    <w:rsid w:val="00E363F0"/>
    <w:rsid w:val="00E4229D"/>
    <w:rsid w:val="00E43686"/>
    <w:rsid w:val="00E456E5"/>
    <w:rsid w:val="00E4571C"/>
    <w:rsid w:val="00E45C55"/>
    <w:rsid w:val="00E4739A"/>
    <w:rsid w:val="00E502A9"/>
    <w:rsid w:val="00E51A64"/>
    <w:rsid w:val="00E5297B"/>
    <w:rsid w:val="00E54E71"/>
    <w:rsid w:val="00E554E7"/>
    <w:rsid w:val="00E55AA5"/>
    <w:rsid w:val="00E56379"/>
    <w:rsid w:val="00E6015C"/>
    <w:rsid w:val="00E62EF7"/>
    <w:rsid w:val="00E65F58"/>
    <w:rsid w:val="00E67D25"/>
    <w:rsid w:val="00E7027F"/>
    <w:rsid w:val="00E707AE"/>
    <w:rsid w:val="00E732C9"/>
    <w:rsid w:val="00E7363F"/>
    <w:rsid w:val="00E74C15"/>
    <w:rsid w:val="00E7549A"/>
    <w:rsid w:val="00E757A5"/>
    <w:rsid w:val="00E76F78"/>
    <w:rsid w:val="00E82C49"/>
    <w:rsid w:val="00E83B0F"/>
    <w:rsid w:val="00E84920"/>
    <w:rsid w:val="00E90EEB"/>
    <w:rsid w:val="00E957B6"/>
    <w:rsid w:val="00E97B6A"/>
    <w:rsid w:val="00E97E01"/>
    <w:rsid w:val="00EA4129"/>
    <w:rsid w:val="00EA567E"/>
    <w:rsid w:val="00EA5B20"/>
    <w:rsid w:val="00EA6217"/>
    <w:rsid w:val="00EA6970"/>
    <w:rsid w:val="00EB0ABF"/>
    <w:rsid w:val="00EB0EDA"/>
    <w:rsid w:val="00EB1278"/>
    <w:rsid w:val="00EB1A42"/>
    <w:rsid w:val="00EB2312"/>
    <w:rsid w:val="00EB5A04"/>
    <w:rsid w:val="00EC002D"/>
    <w:rsid w:val="00EC1BF9"/>
    <w:rsid w:val="00EC58DB"/>
    <w:rsid w:val="00ED310B"/>
    <w:rsid w:val="00ED315D"/>
    <w:rsid w:val="00ED3DB1"/>
    <w:rsid w:val="00ED4673"/>
    <w:rsid w:val="00ED4E2A"/>
    <w:rsid w:val="00ED5AA6"/>
    <w:rsid w:val="00ED6224"/>
    <w:rsid w:val="00ED7A27"/>
    <w:rsid w:val="00EE4AAD"/>
    <w:rsid w:val="00EE690A"/>
    <w:rsid w:val="00EE7D14"/>
    <w:rsid w:val="00EF27D3"/>
    <w:rsid w:val="00F020FE"/>
    <w:rsid w:val="00F05F6B"/>
    <w:rsid w:val="00F064D8"/>
    <w:rsid w:val="00F06D88"/>
    <w:rsid w:val="00F075B0"/>
    <w:rsid w:val="00F101A8"/>
    <w:rsid w:val="00F1052B"/>
    <w:rsid w:val="00F105C1"/>
    <w:rsid w:val="00F1277B"/>
    <w:rsid w:val="00F149AE"/>
    <w:rsid w:val="00F14C5B"/>
    <w:rsid w:val="00F15310"/>
    <w:rsid w:val="00F1630F"/>
    <w:rsid w:val="00F208C2"/>
    <w:rsid w:val="00F22042"/>
    <w:rsid w:val="00F26A45"/>
    <w:rsid w:val="00F3099E"/>
    <w:rsid w:val="00F314EC"/>
    <w:rsid w:val="00F3537F"/>
    <w:rsid w:val="00F47FC3"/>
    <w:rsid w:val="00F516B6"/>
    <w:rsid w:val="00F51887"/>
    <w:rsid w:val="00F5222A"/>
    <w:rsid w:val="00F53436"/>
    <w:rsid w:val="00F55F70"/>
    <w:rsid w:val="00F566CE"/>
    <w:rsid w:val="00F6158B"/>
    <w:rsid w:val="00F617AB"/>
    <w:rsid w:val="00F63B15"/>
    <w:rsid w:val="00F65C71"/>
    <w:rsid w:val="00F70FDA"/>
    <w:rsid w:val="00F7340B"/>
    <w:rsid w:val="00F73BA0"/>
    <w:rsid w:val="00F74107"/>
    <w:rsid w:val="00F74CD3"/>
    <w:rsid w:val="00F77F59"/>
    <w:rsid w:val="00F8007E"/>
    <w:rsid w:val="00F81545"/>
    <w:rsid w:val="00F84247"/>
    <w:rsid w:val="00F90FD5"/>
    <w:rsid w:val="00F91042"/>
    <w:rsid w:val="00F91504"/>
    <w:rsid w:val="00F93253"/>
    <w:rsid w:val="00F943AC"/>
    <w:rsid w:val="00F955AC"/>
    <w:rsid w:val="00F97453"/>
    <w:rsid w:val="00FA07D0"/>
    <w:rsid w:val="00FA13B7"/>
    <w:rsid w:val="00FA23A6"/>
    <w:rsid w:val="00FA28E7"/>
    <w:rsid w:val="00FA3CF3"/>
    <w:rsid w:val="00FA463E"/>
    <w:rsid w:val="00FA4B8D"/>
    <w:rsid w:val="00FB1279"/>
    <w:rsid w:val="00FB1B2D"/>
    <w:rsid w:val="00FB3B2D"/>
    <w:rsid w:val="00FB4005"/>
    <w:rsid w:val="00FB4890"/>
    <w:rsid w:val="00FB5AD2"/>
    <w:rsid w:val="00FB6C3A"/>
    <w:rsid w:val="00FB6E1A"/>
    <w:rsid w:val="00FB76AC"/>
    <w:rsid w:val="00FB7A32"/>
    <w:rsid w:val="00FC249D"/>
    <w:rsid w:val="00FC32F7"/>
    <w:rsid w:val="00FC3B6E"/>
    <w:rsid w:val="00FC3DF5"/>
    <w:rsid w:val="00FC5B05"/>
    <w:rsid w:val="00FD07CD"/>
    <w:rsid w:val="00FD17FE"/>
    <w:rsid w:val="00FD4466"/>
    <w:rsid w:val="00FD49E5"/>
    <w:rsid w:val="00FD58A3"/>
    <w:rsid w:val="00FD60EB"/>
    <w:rsid w:val="00FD75DF"/>
    <w:rsid w:val="00FE039D"/>
    <w:rsid w:val="00FE05E1"/>
    <w:rsid w:val="00FE0E8F"/>
    <w:rsid w:val="00FE18F8"/>
    <w:rsid w:val="00FE2BD7"/>
    <w:rsid w:val="00FE3E8C"/>
    <w:rsid w:val="00FE4374"/>
    <w:rsid w:val="00FE5B5A"/>
    <w:rsid w:val="00FE794D"/>
    <w:rsid w:val="00FF05F1"/>
    <w:rsid w:val="00FF1BCE"/>
    <w:rsid w:val="00FF25B5"/>
    <w:rsid w:val="00FF3A43"/>
    <w:rsid w:val="00FF52EE"/>
    <w:rsid w:val="00FF57C5"/>
    <w:rsid w:val="00FF76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4C"/>
    <w:rPr>
      <w:sz w:val="22"/>
      <w:lang w:val="en-GB"/>
    </w:rPr>
  </w:style>
  <w:style w:type="paragraph" w:styleId="Heading2">
    <w:name w:val="heading 2"/>
    <w:basedOn w:val="Normal"/>
    <w:next w:val="Normal"/>
    <w:qFormat/>
    <w:rsid w:val="003E714C"/>
    <w:pPr>
      <w:keepNext/>
      <w:ind w:left="1157"/>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iPriority w:val="99"/>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3E714C"/>
    <w:rPr>
      <w:sz w:val="22"/>
      <w:lang w:val="en-GB" w:eastAsia="en-US" w:bidi="ar-SA"/>
    </w:rPr>
  </w:style>
  <w:style w:type="paragraph" w:styleId="Header">
    <w:name w:val="header"/>
    <w:basedOn w:val="Normal"/>
    <w:rsid w:val="003E714C"/>
    <w:pPr>
      <w:tabs>
        <w:tab w:val="center" w:pos="4320"/>
        <w:tab w:val="right" w:pos="8640"/>
      </w:tabs>
    </w:pPr>
  </w:style>
  <w:style w:type="paragraph" w:styleId="Footer">
    <w:name w:val="footer"/>
    <w:basedOn w:val="Normal"/>
    <w:link w:val="FooterChar"/>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semiHidden/>
    <w:rsid w:val="00513BDD"/>
    <w:rPr>
      <w:rFonts w:ascii="Tahoma" w:hAnsi="Tahoma" w:cs="Tahoma"/>
      <w:sz w:val="16"/>
      <w:szCs w:val="16"/>
    </w:rPr>
  </w:style>
  <w:style w:type="paragraph" w:customStyle="1" w:styleId="CH1">
    <w:name w:val="CH1"/>
    <w:basedOn w:val="Heading2"/>
    <w:autoRedefine/>
    <w:rsid w:val="0025518C"/>
    <w:pPr>
      <w:keepLines/>
      <w:tabs>
        <w:tab w:val="right" w:pos="993"/>
      </w:tabs>
      <w:spacing w:before="240" w:after="120"/>
      <w:ind w:left="1276" w:hanging="1276"/>
    </w:pPr>
    <w:rPr>
      <w:sz w:val="28"/>
      <w:szCs w:val="28"/>
      <w:lang w:val="en-US"/>
    </w:rPr>
  </w:style>
  <w:style w:type="paragraph" w:customStyle="1" w:styleId="CH2">
    <w:name w:val="CH2"/>
    <w:basedOn w:val="Normal"/>
    <w:autoRedefine/>
    <w:rsid w:val="00F90FD5"/>
    <w:pPr>
      <w:keepNext/>
      <w:spacing w:before="240" w:after="120"/>
      <w:ind w:left="1875" w:right="567" w:hanging="1155"/>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szCs w:val="24"/>
    </w:rPr>
  </w:style>
  <w:style w:type="paragraph" w:styleId="CommentSubject">
    <w:name w:val="annotation subject"/>
    <w:basedOn w:val="CommentText"/>
    <w:next w:val="CommentText"/>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rsid w:val="00126A72"/>
    <w:rPr>
      <w:sz w:val="22"/>
      <w:lang w:val="en-GB" w:eastAsia="en-US"/>
    </w:rPr>
  </w:style>
  <w:style w:type="character" w:customStyle="1" w:styleId="NormalnumberChar">
    <w:name w:val="Normal_number Char"/>
    <w:link w:val="Normalnumber"/>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szCs w:val="24"/>
      <w:lang w:val="en-US"/>
    </w:rPr>
  </w:style>
  <w:style w:type="character" w:styleId="Hyperlink">
    <w:name w:val="Hyperlink"/>
    <w:basedOn w:val="DefaultParagraphFont"/>
    <w:rsid w:val="000C0657"/>
    <w:rPr>
      <w:color w:val="0000FF" w:themeColor="hyperlink"/>
      <w:u w:val="single"/>
    </w:rPr>
  </w:style>
  <w:style w:type="character" w:customStyle="1" w:styleId="Normal-poolChar">
    <w:name w:val="Normal-pool Char"/>
    <w:link w:val="Normal-pool"/>
    <w:locked/>
    <w:rsid w:val="00152821"/>
    <w:rPr>
      <w:lang w:val="en-GB"/>
    </w:rPr>
  </w:style>
  <w:style w:type="table" w:styleId="TableGrid">
    <w:name w:val="Table Grid"/>
    <w:basedOn w:val="TableNormal"/>
    <w:rsid w:val="00AD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FF52EE"/>
    <w:pPr>
      <w:spacing w:after="240"/>
      <w:ind w:left="480"/>
      <w:jc w:val="both"/>
    </w:pPr>
    <w:rPr>
      <w:sz w:val="24"/>
      <w:szCs w:val="24"/>
      <w:lang w:eastAsia="zh-CN"/>
    </w:rPr>
  </w:style>
  <w:style w:type="paragraph" w:styleId="Revision">
    <w:name w:val="Revision"/>
    <w:hidden/>
    <w:uiPriority w:val="99"/>
    <w:semiHidden/>
    <w:rsid w:val="009940B6"/>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4C"/>
    <w:rPr>
      <w:sz w:val="22"/>
      <w:lang w:val="en-GB"/>
    </w:rPr>
  </w:style>
  <w:style w:type="paragraph" w:styleId="Heading2">
    <w:name w:val="heading 2"/>
    <w:basedOn w:val="Normal"/>
    <w:next w:val="Normal"/>
    <w:qFormat/>
    <w:rsid w:val="003E714C"/>
    <w:pPr>
      <w:keepNext/>
      <w:ind w:left="1157"/>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iPriority w:val="99"/>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3E714C"/>
    <w:rPr>
      <w:sz w:val="22"/>
      <w:lang w:val="en-GB" w:eastAsia="en-US" w:bidi="ar-SA"/>
    </w:rPr>
  </w:style>
  <w:style w:type="paragraph" w:styleId="Header">
    <w:name w:val="header"/>
    <w:basedOn w:val="Normal"/>
    <w:rsid w:val="003E714C"/>
    <w:pPr>
      <w:tabs>
        <w:tab w:val="center" w:pos="4320"/>
        <w:tab w:val="right" w:pos="8640"/>
      </w:tabs>
    </w:pPr>
  </w:style>
  <w:style w:type="paragraph" w:styleId="Footer">
    <w:name w:val="footer"/>
    <w:basedOn w:val="Normal"/>
    <w:link w:val="FooterChar"/>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semiHidden/>
    <w:rsid w:val="00513BDD"/>
    <w:rPr>
      <w:rFonts w:ascii="Tahoma" w:hAnsi="Tahoma" w:cs="Tahoma"/>
      <w:sz w:val="16"/>
      <w:szCs w:val="16"/>
    </w:rPr>
  </w:style>
  <w:style w:type="paragraph" w:customStyle="1" w:styleId="CH1">
    <w:name w:val="CH1"/>
    <w:basedOn w:val="Heading2"/>
    <w:autoRedefine/>
    <w:rsid w:val="00C228D5"/>
    <w:pPr>
      <w:keepLines/>
      <w:spacing w:before="120" w:after="120"/>
      <w:ind w:left="567"/>
      <w:pPrChange w:id="0" w:author="awittig" w:date="2017-03-02T10:56:00Z">
        <w:pPr>
          <w:keepNext/>
          <w:keepLines/>
          <w:spacing w:before="120" w:after="120"/>
          <w:ind w:left="624"/>
          <w:outlineLvl w:val="1"/>
        </w:pPr>
      </w:pPrChange>
    </w:pPr>
    <w:rPr>
      <w:sz w:val="28"/>
      <w:szCs w:val="28"/>
      <w:lang w:val="en-US"/>
      <w:rPrChange w:id="0" w:author="awittig" w:date="2017-03-02T10:56:00Z">
        <w:rPr>
          <w:b/>
          <w:sz w:val="24"/>
          <w:szCs w:val="24"/>
          <w:lang w:val="en-US" w:eastAsia="en-US" w:bidi="ar-SA"/>
        </w:rPr>
      </w:rPrChange>
    </w:rPr>
  </w:style>
  <w:style w:type="paragraph" w:customStyle="1" w:styleId="CH2">
    <w:name w:val="CH2"/>
    <w:basedOn w:val="Normal"/>
    <w:autoRedefine/>
    <w:rsid w:val="00F90FD5"/>
    <w:pPr>
      <w:keepNext/>
      <w:spacing w:before="240" w:after="120"/>
      <w:ind w:left="1875" w:right="567" w:hanging="1155"/>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szCs w:val="24"/>
    </w:rPr>
  </w:style>
  <w:style w:type="paragraph" w:styleId="CommentSubject">
    <w:name w:val="annotation subject"/>
    <w:basedOn w:val="CommentText"/>
    <w:next w:val="CommentText"/>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rsid w:val="00126A72"/>
    <w:rPr>
      <w:sz w:val="22"/>
      <w:lang w:val="en-GB" w:eastAsia="en-US"/>
    </w:rPr>
  </w:style>
  <w:style w:type="character" w:customStyle="1" w:styleId="NormalnumberChar">
    <w:name w:val="Normal_number Char"/>
    <w:link w:val="Normalnumber"/>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szCs w:val="24"/>
      <w:lang w:val="en-US"/>
    </w:rPr>
  </w:style>
  <w:style w:type="character" w:styleId="Hyperlink">
    <w:name w:val="Hyperlink"/>
    <w:basedOn w:val="DefaultParagraphFont"/>
    <w:rsid w:val="000C0657"/>
    <w:rPr>
      <w:color w:val="0000FF" w:themeColor="hyperlink"/>
      <w:u w:val="single"/>
    </w:rPr>
  </w:style>
  <w:style w:type="character" w:customStyle="1" w:styleId="Normal-poolChar">
    <w:name w:val="Normal-pool Char"/>
    <w:link w:val="Normal-pool"/>
    <w:locked/>
    <w:rsid w:val="00152821"/>
    <w:rPr>
      <w:lang w:val="en-GB"/>
    </w:rPr>
  </w:style>
  <w:style w:type="table" w:styleId="TableGrid">
    <w:name w:val="Table Grid"/>
    <w:basedOn w:val="TableNormal"/>
    <w:rsid w:val="00AD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FF52EE"/>
    <w:pPr>
      <w:spacing w:after="240"/>
      <w:ind w:left="480"/>
      <w:jc w:val="both"/>
    </w:pPr>
    <w:rPr>
      <w:sz w:val="24"/>
      <w:szCs w:val="24"/>
      <w:lang w:eastAsia="zh-CN"/>
    </w:rPr>
  </w:style>
  <w:style w:type="paragraph" w:styleId="Revision">
    <w:name w:val="Revision"/>
    <w:hidden/>
    <w:uiPriority w:val="99"/>
    <w:semiHidden/>
    <w:rsid w:val="009940B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9521">
      <w:bodyDiv w:val="1"/>
      <w:marLeft w:val="0"/>
      <w:marRight w:val="0"/>
      <w:marTop w:val="0"/>
      <w:marBottom w:val="0"/>
      <w:divBdr>
        <w:top w:val="none" w:sz="0" w:space="0" w:color="auto"/>
        <w:left w:val="none" w:sz="0" w:space="0" w:color="auto"/>
        <w:bottom w:val="none" w:sz="0" w:space="0" w:color="auto"/>
        <w:right w:val="none" w:sz="0" w:space="0" w:color="auto"/>
      </w:divBdr>
    </w:div>
    <w:div w:id="296566525">
      <w:bodyDiv w:val="1"/>
      <w:marLeft w:val="0"/>
      <w:marRight w:val="0"/>
      <w:marTop w:val="0"/>
      <w:marBottom w:val="0"/>
      <w:divBdr>
        <w:top w:val="none" w:sz="0" w:space="0" w:color="auto"/>
        <w:left w:val="none" w:sz="0" w:space="0" w:color="auto"/>
        <w:bottom w:val="none" w:sz="0" w:space="0" w:color="auto"/>
        <w:right w:val="none" w:sz="0" w:space="0" w:color="auto"/>
      </w:divBdr>
    </w:div>
    <w:div w:id="535117827">
      <w:bodyDiv w:val="1"/>
      <w:marLeft w:val="0"/>
      <w:marRight w:val="0"/>
      <w:marTop w:val="0"/>
      <w:marBottom w:val="0"/>
      <w:divBdr>
        <w:top w:val="none" w:sz="0" w:space="0" w:color="auto"/>
        <w:left w:val="none" w:sz="0" w:space="0" w:color="auto"/>
        <w:bottom w:val="none" w:sz="0" w:space="0" w:color="auto"/>
        <w:right w:val="none" w:sz="0" w:space="0" w:color="auto"/>
      </w:divBdr>
    </w:div>
    <w:div w:id="1000961102">
      <w:bodyDiv w:val="1"/>
      <w:marLeft w:val="0"/>
      <w:marRight w:val="0"/>
      <w:marTop w:val="0"/>
      <w:marBottom w:val="0"/>
      <w:divBdr>
        <w:top w:val="none" w:sz="0" w:space="0" w:color="auto"/>
        <w:left w:val="none" w:sz="0" w:space="0" w:color="auto"/>
        <w:bottom w:val="none" w:sz="0" w:space="0" w:color="auto"/>
        <w:right w:val="none" w:sz="0" w:space="0" w:color="auto"/>
      </w:divBdr>
    </w:div>
    <w:div w:id="1156915426">
      <w:bodyDiv w:val="1"/>
      <w:marLeft w:val="0"/>
      <w:marRight w:val="0"/>
      <w:marTop w:val="0"/>
      <w:marBottom w:val="0"/>
      <w:divBdr>
        <w:top w:val="none" w:sz="0" w:space="0" w:color="auto"/>
        <w:left w:val="none" w:sz="0" w:space="0" w:color="auto"/>
        <w:bottom w:val="none" w:sz="0" w:space="0" w:color="auto"/>
        <w:right w:val="none" w:sz="0" w:space="0" w:color="auto"/>
      </w:divBdr>
    </w:div>
    <w:div w:id="1167592338">
      <w:bodyDiv w:val="1"/>
      <w:marLeft w:val="0"/>
      <w:marRight w:val="0"/>
      <w:marTop w:val="0"/>
      <w:marBottom w:val="0"/>
      <w:divBdr>
        <w:top w:val="none" w:sz="0" w:space="0" w:color="auto"/>
        <w:left w:val="none" w:sz="0" w:space="0" w:color="auto"/>
        <w:bottom w:val="none" w:sz="0" w:space="0" w:color="auto"/>
        <w:right w:val="none" w:sz="0" w:space="0" w:color="auto"/>
      </w:divBdr>
    </w:div>
    <w:div w:id="1428577688">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6.jpeg"/><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60519-43C3-4217-94FF-FF24E029F6C2}">
  <ds:schemaRefs>
    <ds:schemaRef ds:uri="http://schemas.openxmlformats.org/officeDocument/2006/bibliography"/>
  </ds:schemaRefs>
</ds:datastoreItem>
</file>

<file path=customXml/itemProps2.xml><?xml version="1.0" encoding="utf-8"?>
<ds:datastoreItem xmlns:ds="http://schemas.openxmlformats.org/officeDocument/2006/customXml" ds:itemID="{E7A7753D-55F8-4103-BCD5-09E55A6E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34117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Lechner</dc:creator>
  <cp:lastModifiedBy>Ariel Dayao</cp:lastModifiedBy>
  <cp:revision>10</cp:revision>
  <cp:lastPrinted>2017-03-09T14:43:00Z</cp:lastPrinted>
  <dcterms:created xsi:type="dcterms:W3CDTF">2017-03-07T21:37:00Z</dcterms:created>
  <dcterms:modified xsi:type="dcterms:W3CDTF">2017-03-09T14:43:00Z</dcterms:modified>
</cp:coreProperties>
</file>