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5233"/>
        <w:gridCol w:w="3457"/>
      </w:tblGrid>
      <w:tr w:rsidR="00BF5DB9" w:rsidRPr="00102CE6" w14:paraId="53762FFB" w14:textId="77777777">
        <w:trPr>
          <w:trHeight w:val="414"/>
        </w:trPr>
        <w:tc>
          <w:tcPr>
            <w:tcW w:w="1538" w:type="dxa"/>
            <w:vMerge w:val="restart"/>
            <w:tcBorders>
              <w:top w:val="nil"/>
              <w:left w:val="nil"/>
              <w:bottom w:val="single" w:sz="4" w:space="0" w:color="auto"/>
              <w:right w:val="nil"/>
            </w:tcBorders>
          </w:tcPr>
          <w:p w14:paraId="679F478E" w14:textId="77777777" w:rsidR="00BF5DB9" w:rsidRPr="00C972F2" w:rsidRDefault="002171C8" w:rsidP="00962479">
            <w:pPr>
              <w:spacing w:after="0" w:line="240" w:lineRule="auto"/>
              <w:outlineLvl w:val="0"/>
              <w:rPr>
                <w:b/>
                <w:sz w:val="32"/>
                <w:szCs w:val="32"/>
              </w:rPr>
            </w:pPr>
            <w:r>
              <w:rPr>
                <w:b/>
                <w:noProof/>
                <w:sz w:val="32"/>
                <w:szCs w:val="32"/>
                <w:lang w:val="fr-CH" w:eastAsia="fr-CH"/>
              </w:rPr>
              <w:drawing>
                <wp:inline distT="0" distB="0" distL="0" distR="0" wp14:anchorId="1DDDF674" wp14:editId="674481B3">
                  <wp:extent cx="654050" cy="1003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4050" cy="1003300"/>
                          </a:xfrm>
                          <a:prstGeom prst="rect">
                            <a:avLst/>
                          </a:prstGeom>
                          <a:noFill/>
                          <a:ln w="9525">
                            <a:noFill/>
                            <a:miter lim="800000"/>
                            <a:headEnd/>
                            <a:tailEnd/>
                          </a:ln>
                        </pic:spPr>
                      </pic:pic>
                    </a:graphicData>
                  </a:graphic>
                </wp:inline>
              </w:drawing>
            </w:r>
          </w:p>
        </w:tc>
        <w:tc>
          <w:tcPr>
            <w:tcW w:w="5233" w:type="dxa"/>
            <w:vMerge w:val="restart"/>
            <w:tcBorders>
              <w:top w:val="nil"/>
              <w:left w:val="nil"/>
              <w:bottom w:val="single" w:sz="4" w:space="0" w:color="auto"/>
              <w:right w:val="dotted" w:sz="4" w:space="0" w:color="auto"/>
            </w:tcBorders>
            <w:vAlign w:val="center"/>
          </w:tcPr>
          <w:p w14:paraId="6488F6B0" w14:textId="77777777" w:rsidR="00BF5DB9" w:rsidRDefault="00BF5DB9" w:rsidP="00962479">
            <w:pPr>
              <w:spacing w:after="0" w:line="240" w:lineRule="auto"/>
              <w:outlineLvl w:val="0"/>
              <w:rPr>
                <w:b/>
                <w:sz w:val="32"/>
                <w:szCs w:val="32"/>
              </w:rPr>
            </w:pPr>
            <w:r w:rsidRPr="00C972F2">
              <w:rPr>
                <w:b/>
                <w:sz w:val="32"/>
                <w:szCs w:val="32"/>
              </w:rPr>
              <w:t>Standard Operating Procedure</w:t>
            </w:r>
          </w:p>
          <w:p w14:paraId="756CB18D" w14:textId="77777777" w:rsidR="00BF5DB9" w:rsidRDefault="00BF5DB9" w:rsidP="00962479">
            <w:pPr>
              <w:spacing w:after="0" w:line="240" w:lineRule="auto"/>
              <w:outlineLvl w:val="0"/>
              <w:rPr>
                <w:b/>
                <w:sz w:val="32"/>
                <w:szCs w:val="32"/>
              </w:rPr>
            </w:pPr>
            <w:r>
              <w:rPr>
                <w:b/>
                <w:sz w:val="32"/>
                <w:szCs w:val="32"/>
              </w:rPr>
              <w:t>(SOP)</w:t>
            </w:r>
          </w:p>
          <w:p w14:paraId="65E4527A" w14:textId="77777777" w:rsidR="00BF5DB9" w:rsidRPr="00C972F2" w:rsidRDefault="00BF5DB9" w:rsidP="00962479">
            <w:pPr>
              <w:spacing w:after="0" w:line="240" w:lineRule="auto"/>
              <w:outlineLvl w:val="0"/>
              <w:rPr>
                <w:b/>
                <w:sz w:val="20"/>
                <w:szCs w:val="20"/>
              </w:rPr>
            </w:pPr>
          </w:p>
        </w:tc>
        <w:tc>
          <w:tcPr>
            <w:tcW w:w="3457" w:type="dxa"/>
            <w:tcBorders>
              <w:top w:val="dotted" w:sz="4" w:space="0" w:color="auto"/>
              <w:left w:val="dotted" w:sz="4" w:space="0" w:color="auto"/>
              <w:bottom w:val="dotted" w:sz="4" w:space="0" w:color="auto"/>
              <w:right w:val="dotted" w:sz="4" w:space="0" w:color="auto"/>
            </w:tcBorders>
            <w:vAlign w:val="center"/>
          </w:tcPr>
          <w:p w14:paraId="033CEDA9" w14:textId="77777777" w:rsidR="00BF5DB9" w:rsidRPr="00D27883" w:rsidRDefault="00BF5DB9" w:rsidP="00962479">
            <w:pPr>
              <w:spacing w:after="0" w:line="240" w:lineRule="auto"/>
              <w:outlineLvl w:val="0"/>
              <w:rPr>
                <w:b/>
                <w:sz w:val="18"/>
                <w:szCs w:val="18"/>
              </w:rPr>
            </w:pPr>
            <w:r w:rsidRPr="00D27883">
              <w:rPr>
                <w:b/>
                <w:sz w:val="18"/>
                <w:szCs w:val="18"/>
              </w:rPr>
              <w:t xml:space="preserve">SOP number: </w:t>
            </w:r>
            <w:r w:rsidR="005A7244">
              <w:rPr>
                <w:b/>
                <w:sz w:val="18"/>
                <w:szCs w:val="18"/>
              </w:rPr>
              <w:t>2</w:t>
            </w:r>
            <w:r w:rsidR="00B35A64">
              <w:rPr>
                <w:b/>
                <w:sz w:val="18"/>
                <w:szCs w:val="18"/>
              </w:rPr>
              <w:t>8</w:t>
            </w:r>
          </w:p>
        </w:tc>
      </w:tr>
      <w:tr w:rsidR="00BF5DB9" w:rsidRPr="00102CE6" w14:paraId="6D7FC964" w14:textId="77777777">
        <w:trPr>
          <w:trHeight w:val="566"/>
        </w:trPr>
        <w:tc>
          <w:tcPr>
            <w:tcW w:w="1538" w:type="dxa"/>
            <w:vMerge/>
            <w:tcBorders>
              <w:top w:val="single" w:sz="4" w:space="0" w:color="auto"/>
              <w:left w:val="nil"/>
              <w:bottom w:val="single" w:sz="4" w:space="0" w:color="auto"/>
              <w:right w:val="nil"/>
            </w:tcBorders>
          </w:tcPr>
          <w:p w14:paraId="781B83E1" w14:textId="77777777" w:rsidR="00BF5DB9" w:rsidRPr="00C972F2" w:rsidRDefault="00BF5DB9" w:rsidP="00962479">
            <w:pPr>
              <w:spacing w:after="0" w:line="240" w:lineRule="auto"/>
              <w:outlineLvl w:val="0"/>
              <w:rPr>
                <w:b/>
                <w:sz w:val="32"/>
                <w:szCs w:val="32"/>
              </w:rPr>
            </w:pPr>
          </w:p>
        </w:tc>
        <w:tc>
          <w:tcPr>
            <w:tcW w:w="5233" w:type="dxa"/>
            <w:vMerge/>
            <w:tcBorders>
              <w:top w:val="single" w:sz="4" w:space="0" w:color="auto"/>
              <w:left w:val="nil"/>
              <w:bottom w:val="single" w:sz="4" w:space="0" w:color="auto"/>
              <w:right w:val="dotted" w:sz="4" w:space="0" w:color="auto"/>
            </w:tcBorders>
            <w:vAlign w:val="center"/>
          </w:tcPr>
          <w:p w14:paraId="529F3B75" w14:textId="77777777" w:rsidR="00BF5DB9" w:rsidRPr="00C972F2" w:rsidRDefault="00BF5DB9" w:rsidP="00962479">
            <w:pPr>
              <w:spacing w:after="0" w:line="240" w:lineRule="auto"/>
              <w:outlineLvl w:val="0"/>
              <w:rPr>
                <w:b/>
                <w:sz w:val="32"/>
                <w:szCs w:val="32"/>
              </w:rPr>
            </w:pPr>
          </w:p>
        </w:tc>
        <w:tc>
          <w:tcPr>
            <w:tcW w:w="3457" w:type="dxa"/>
            <w:tcBorders>
              <w:top w:val="dotted" w:sz="4" w:space="0" w:color="auto"/>
              <w:left w:val="dotted" w:sz="4" w:space="0" w:color="auto"/>
              <w:bottom w:val="dotted" w:sz="4" w:space="0" w:color="auto"/>
              <w:right w:val="dotted" w:sz="4" w:space="0" w:color="auto"/>
            </w:tcBorders>
            <w:vAlign w:val="center"/>
          </w:tcPr>
          <w:p w14:paraId="41B8E6EC" w14:textId="2B89F720" w:rsidR="00BF5DB9" w:rsidRPr="00D45B4C" w:rsidRDefault="00BF5DB9" w:rsidP="003C2F81">
            <w:pPr>
              <w:spacing w:after="0" w:line="240" w:lineRule="auto"/>
              <w:outlineLvl w:val="0"/>
              <w:rPr>
                <w:b/>
                <w:sz w:val="18"/>
                <w:szCs w:val="18"/>
              </w:rPr>
            </w:pPr>
            <w:r w:rsidRPr="00D27883">
              <w:rPr>
                <w:b/>
                <w:sz w:val="18"/>
                <w:szCs w:val="18"/>
              </w:rPr>
              <w:t xml:space="preserve">Version: </w:t>
            </w:r>
            <w:r w:rsidR="00514C71">
              <w:rPr>
                <w:sz w:val="18"/>
                <w:szCs w:val="18"/>
                <w:lang w:val="en-GB"/>
              </w:rPr>
              <w:t>2</w:t>
            </w:r>
            <w:r w:rsidR="008C7781">
              <w:rPr>
                <w:sz w:val="18"/>
                <w:szCs w:val="18"/>
                <w:lang w:val="en-GB"/>
              </w:rPr>
              <w:t>.1</w:t>
            </w:r>
            <w:r w:rsidR="00E5169A" w:rsidRPr="00A83F86">
              <w:rPr>
                <w:sz w:val="18"/>
                <w:szCs w:val="18"/>
                <w:lang w:val="en-GB"/>
              </w:rPr>
              <w:t xml:space="preserve"> </w:t>
            </w:r>
            <w:r w:rsidRPr="00A83F86">
              <w:rPr>
                <w:sz w:val="18"/>
                <w:szCs w:val="18"/>
                <w:lang w:val="en-GB"/>
              </w:rPr>
              <w:t>(last updat</w:t>
            </w:r>
            <w:r w:rsidRPr="00BF5DB9">
              <w:rPr>
                <w:sz w:val="18"/>
                <w:szCs w:val="18"/>
                <w:lang w:val="en-GB"/>
              </w:rPr>
              <w:t xml:space="preserve">e: </w:t>
            </w:r>
            <w:r w:rsidR="00A8016F">
              <w:rPr>
                <w:sz w:val="18"/>
                <w:szCs w:val="18"/>
                <w:lang w:val="en-GB"/>
              </w:rPr>
              <w:t>12 September</w:t>
            </w:r>
            <w:r w:rsidR="00514C71">
              <w:rPr>
                <w:sz w:val="18"/>
                <w:szCs w:val="18"/>
                <w:lang w:val="en-GB"/>
              </w:rPr>
              <w:t xml:space="preserve"> </w:t>
            </w:r>
            <w:r w:rsidR="00B425C5">
              <w:rPr>
                <w:sz w:val="18"/>
                <w:szCs w:val="18"/>
                <w:lang w:val="en-GB"/>
              </w:rPr>
              <w:t>201</w:t>
            </w:r>
            <w:r w:rsidR="008C7781">
              <w:rPr>
                <w:sz w:val="18"/>
                <w:szCs w:val="18"/>
                <w:lang w:val="en-GB"/>
              </w:rPr>
              <w:t>9</w:t>
            </w:r>
            <w:r w:rsidR="00514C71">
              <w:rPr>
                <w:sz w:val="18"/>
                <w:szCs w:val="18"/>
                <w:lang w:val="en-GB"/>
              </w:rPr>
              <w:t>)</w:t>
            </w:r>
            <w:r w:rsidR="00B425C5">
              <w:rPr>
                <w:sz w:val="18"/>
                <w:szCs w:val="18"/>
                <w:lang w:val="en-GB"/>
              </w:rPr>
              <w:t xml:space="preserve"> </w:t>
            </w:r>
          </w:p>
        </w:tc>
      </w:tr>
      <w:tr w:rsidR="00BF5DB9" w:rsidRPr="00102CE6" w14:paraId="7254126B" w14:textId="77777777">
        <w:trPr>
          <w:trHeight w:val="405"/>
        </w:trPr>
        <w:tc>
          <w:tcPr>
            <w:tcW w:w="1538" w:type="dxa"/>
            <w:vMerge/>
            <w:tcBorders>
              <w:top w:val="single" w:sz="4" w:space="0" w:color="auto"/>
              <w:left w:val="nil"/>
              <w:bottom w:val="single" w:sz="4" w:space="0" w:color="auto"/>
              <w:right w:val="nil"/>
            </w:tcBorders>
          </w:tcPr>
          <w:p w14:paraId="5A5E037A" w14:textId="77777777" w:rsidR="00BF5DB9" w:rsidRPr="00C972F2" w:rsidRDefault="00BF5DB9" w:rsidP="00962479">
            <w:pPr>
              <w:spacing w:after="0" w:line="240" w:lineRule="auto"/>
              <w:rPr>
                <w:b/>
                <w:sz w:val="20"/>
                <w:szCs w:val="20"/>
              </w:rPr>
            </w:pPr>
          </w:p>
        </w:tc>
        <w:tc>
          <w:tcPr>
            <w:tcW w:w="5233" w:type="dxa"/>
            <w:vMerge/>
            <w:tcBorders>
              <w:top w:val="single" w:sz="4" w:space="0" w:color="auto"/>
              <w:left w:val="nil"/>
              <w:bottom w:val="single" w:sz="4" w:space="0" w:color="auto"/>
              <w:right w:val="dotted" w:sz="4" w:space="0" w:color="auto"/>
            </w:tcBorders>
            <w:vAlign w:val="center"/>
          </w:tcPr>
          <w:p w14:paraId="63B84CCA" w14:textId="77777777" w:rsidR="00BF5DB9" w:rsidRPr="00C972F2" w:rsidRDefault="00BF5DB9" w:rsidP="00962479">
            <w:pPr>
              <w:spacing w:after="0" w:line="240" w:lineRule="auto"/>
              <w:rPr>
                <w:b/>
                <w:sz w:val="20"/>
                <w:szCs w:val="20"/>
              </w:rPr>
            </w:pPr>
          </w:p>
        </w:tc>
        <w:tc>
          <w:tcPr>
            <w:tcW w:w="3457" w:type="dxa"/>
            <w:tcBorders>
              <w:top w:val="dotted" w:sz="4" w:space="0" w:color="auto"/>
              <w:left w:val="dotted" w:sz="4" w:space="0" w:color="auto"/>
              <w:bottom w:val="dotted" w:sz="4" w:space="0" w:color="auto"/>
              <w:right w:val="dotted" w:sz="4" w:space="0" w:color="auto"/>
            </w:tcBorders>
            <w:vAlign w:val="center"/>
          </w:tcPr>
          <w:p w14:paraId="3066C9AF" w14:textId="5E74F7C9" w:rsidR="00BF5DB9" w:rsidRPr="00D27883" w:rsidRDefault="00BF5DB9" w:rsidP="00B32037">
            <w:pPr>
              <w:spacing w:after="0" w:line="240" w:lineRule="auto"/>
              <w:outlineLvl w:val="0"/>
              <w:rPr>
                <w:b/>
                <w:sz w:val="18"/>
                <w:szCs w:val="18"/>
              </w:rPr>
            </w:pPr>
            <w:r w:rsidRPr="00D27883">
              <w:rPr>
                <w:b/>
                <w:sz w:val="18"/>
                <w:szCs w:val="18"/>
              </w:rPr>
              <w:t>Effective</w:t>
            </w:r>
            <w:r w:rsidRPr="00D27883">
              <w:rPr>
                <w:sz w:val="18"/>
                <w:szCs w:val="18"/>
              </w:rPr>
              <w:t xml:space="preserve"> </w:t>
            </w:r>
            <w:r w:rsidRPr="00D27883">
              <w:rPr>
                <w:b/>
                <w:sz w:val="18"/>
                <w:szCs w:val="18"/>
              </w:rPr>
              <w:t>Date</w:t>
            </w:r>
            <w:r w:rsidRPr="00D27883">
              <w:rPr>
                <w:sz w:val="18"/>
                <w:szCs w:val="18"/>
              </w:rPr>
              <w:t xml:space="preserve">: </w:t>
            </w:r>
            <w:r w:rsidR="00A8016F">
              <w:rPr>
                <w:sz w:val="18"/>
                <w:szCs w:val="18"/>
              </w:rPr>
              <w:t>12 September</w:t>
            </w:r>
            <w:r w:rsidR="003C2F81">
              <w:rPr>
                <w:sz w:val="18"/>
                <w:szCs w:val="18"/>
              </w:rPr>
              <w:t xml:space="preserve"> 201</w:t>
            </w:r>
            <w:r w:rsidR="008C7781">
              <w:rPr>
                <w:sz w:val="18"/>
                <w:szCs w:val="18"/>
              </w:rPr>
              <w:t>9</w:t>
            </w:r>
          </w:p>
        </w:tc>
      </w:tr>
      <w:tr w:rsidR="00BF5DB9" w:rsidRPr="00102CE6" w14:paraId="49586980" w14:textId="77777777">
        <w:trPr>
          <w:trHeight w:val="562"/>
        </w:trPr>
        <w:tc>
          <w:tcPr>
            <w:tcW w:w="1538" w:type="dxa"/>
            <w:vMerge/>
            <w:tcBorders>
              <w:top w:val="single" w:sz="4" w:space="0" w:color="auto"/>
              <w:left w:val="nil"/>
              <w:bottom w:val="nil"/>
              <w:right w:val="nil"/>
            </w:tcBorders>
          </w:tcPr>
          <w:p w14:paraId="1E537687" w14:textId="77777777" w:rsidR="00BF5DB9" w:rsidRPr="00C972F2" w:rsidRDefault="00BF5DB9" w:rsidP="00962479">
            <w:pPr>
              <w:spacing w:after="0" w:line="240" w:lineRule="auto"/>
              <w:rPr>
                <w:b/>
                <w:sz w:val="20"/>
                <w:szCs w:val="20"/>
              </w:rPr>
            </w:pPr>
          </w:p>
        </w:tc>
        <w:tc>
          <w:tcPr>
            <w:tcW w:w="5233" w:type="dxa"/>
            <w:vMerge/>
            <w:tcBorders>
              <w:top w:val="single" w:sz="4" w:space="0" w:color="auto"/>
              <w:left w:val="nil"/>
              <w:bottom w:val="nil"/>
              <w:right w:val="dotted" w:sz="4" w:space="0" w:color="auto"/>
            </w:tcBorders>
            <w:vAlign w:val="center"/>
          </w:tcPr>
          <w:p w14:paraId="02F6E300" w14:textId="77777777" w:rsidR="00BF5DB9" w:rsidRPr="00C972F2" w:rsidRDefault="00BF5DB9" w:rsidP="00962479">
            <w:pPr>
              <w:spacing w:after="0" w:line="240" w:lineRule="auto"/>
              <w:rPr>
                <w:b/>
                <w:sz w:val="20"/>
                <w:szCs w:val="20"/>
              </w:rPr>
            </w:pPr>
          </w:p>
        </w:tc>
        <w:tc>
          <w:tcPr>
            <w:tcW w:w="3457" w:type="dxa"/>
            <w:tcBorders>
              <w:top w:val="dotted" w:sz="4" w:space="0" w:color="auto"/>
              <w:left w:val="dotted" w:sz="4" w:space="0" w:color="auto"/>
              <w:bottom w:val="dotted" w:sz="4" w:space="0" w:color="auto"/>
              <w:right w:val="dotted" w:sz="4" w:space="0" w:color="auto"/>
            </w:tcBorders>
            <w:vAlign w:val="center"/>
          </w:tcPr>
          <w:p w14:paraId="546F3531" w14:textId="5541DC89" w:rsidR="00BF5DB9" w:rsidRPr="00D27883" w:rsidRDefault="00BF5DB9" w:rsidP="00B425C5">
            <w:pPr>
              <w:spacing w:after="0" w:line="240" w:lineRule="auto"/>
              <w:outlineLvl w:val="0"/>
              <w:rPr>
                <w:b/>
                <w:sz w:val="18"/>
                <w:szCs w:val="18"/>
              </w:rPr>
            </w:pPr>
            <w:r>
              <w:rPr>
                <w:b/>
                <w:sz w:val="18"/>
                <w:szCs w:val="18"/>
              </w:rPr>
              <w:t xml:space="preserve">Maintained by/Author: </w:t>
            </w:r>
            <w:r w:rsidR="008C7781">
              <w:rPr>
                <w:b/>
                <w:sz w:val="18"/>
                <w:szCs w:val="18"/>
              </w:rPr>
              <w:t>STA</w:t>
            </w:r>
            <w:r w:rsidRPr="003922AE">
              <w:rPr>
                <w:b/>
                <w:sz w:val="18"/>
                <w:szCs w:val="18"/>
              </w:rPr>
              <w:t xml:space="preserve"> and </w:t>
            </w:r>
            <w:r w:rsidR="008C7781">
              <w:rPr>
                <w:b/>
                <w:sz w:val="18"/>
                <w:szCs w:val="18"/>
                <w:lang w:val="en-GB"/>
              </w:rPr>
              <w:t>GB</w:t>
            </w:r>
          </w:p>
        </w:tc>
      </w:tr>
    </w:tbl>
    <w:p w14:paraId="5FD43607" w14:textId="77777777" w:rsidR="00BF5DB9" w:rsidRPr="00E36E4F" w:rsidRDefault="00BF5DB9" w:rsidP="00BF5DB9">
      <w:pPr>
        <w:spacing w:after="0" w:line="240" w:lineRule="auto"/>
        <w:rPr>
          <w:b/>
          <w:lang w:val="en-GB"/>
        </w:rPr>
      </w:pPr>
    </w:p>
    <w:p w14:paraId="6B29A546" w14:textId="77777777" w:rsidR="009A14C7" w:rsidRPr="00E36E4F" w:rsidRDefault="009A14C7" w:rsidP="00BF5DB9">
      <w:pPr>
        <w:spacing w:after="0" w:line="240" w:lineRule="auto"/>
        <w:rPr>
          <w:b/>
          <w:lang w:val="en-GB"/>
        </w:rPr>
      </w:pPr>
    </w:p>
    <w:p w14:paraId="37B65C80" w14:textId="77777777" w:rsidR="009A14C7" w:rsidRPr="00BF5DB9" w:rsidRDefault="009A14C7" w:rsidP="00BF5DB9">
      <w:pPr>
        <w:spacing w:after="0"/>
        <w:ind w:left="1418" w:hanging="1418"/>
        <w:rPr>
          <w:b/>
          <w:lang w:val="en-GB"/>
        </w:rPr>
      </w:pPr>
      <w:r w:rsidRPr="00BF5DB9">
        <w:rPr>
          <w:b/>
          <w:lang w:val="en-GB"/>
        </w:rPr>
        <w:t>Title:</w:t>
      </w:r>
      <w:r w:rsidRPr="00BF5DB9">
        <w:rPr>
          <w:b/>
          <w:lang w:val="en-GB"/>
        </w:rPr>
        <w:tab/>
        <w:t>Operation of the Persistent Organic Pollutants Review Committee of the Stockholm Convention</w:t>
      </w:r>
    </w:p>
    <w:p w14:paraId="6A076DE5" w14:textId="77777777" w:rsidR="009A14C7" w:rsidRPr="00BF5DB9" w:rsidRDefault="009A14C7" w:rsidP="00BF5DB9">
      <w:pPr>
        <w:spacing w:before="240" w:after="120"/>
        <w:ind w:left="1418" w:hanging="1418"/>
        <w:rPr>
          <w:b/>
          <w:lang w:val="en-GB"/>
        </w:rPr>
      </w:pPr>
      <w:r w:rsidRPr="00BF5DB9">
        <w:rPr>
          <w:b/>
          <w:lang w:val="en-GB"/>
        </w:rPr>
        <w:t>Description:</w:t>
      </w:r>
      <w:r w:rsidRPr="00BF5DB9">
        <w:rPr>
          <w:b/>
          <w:lang w:val="en-GB"/>
        </w:rPr>
        <w:tab/>
      </w:r>
      <w:r w:rsidRPr="00BF5DB9">
        <w:rPr>
          <w:bCs/>
        </w:rPr>
        <w:t xml:space="preserve">This SOP </w:t>
      </w:r>
      <w:r w:rsidR="00E47C01" w:rsidRPr="00BF5DB9">
        <w:rPr>
          <w:bCs/>
        </w:rPr>
        <w:t xml:space="preserve">describes </w:t>
      </w:r>
      <w:r w:rsidRPr="00BF5DB9">
        <w:rPr>
          <w:bCs/>
        </w:rPr>
        <w:t>procedures</w:t>
      </w:r>
      <w:r w:rsidRPr="00BF5DB9">
        <w:t xml:space="preserve"> for the operation of the Persistent Organic Pollutants Review Committee (POPRC) </w:t>
      </w:r>
      <w:r w:rsidR="00EA0AE8" w:rsidRPr="00BF5DB9">
        <w:rPr>
          <w:bCs/>
        </w:rPr>
        <w:t>which pertain to</w:t>
      </w:r>
      <w:r w:rsidRPr="00BF5DB9">
        <w:rPr>
          <w:bCs/>
        </w:rPr>
        <w:t xml:space="preserve"> the review</w:t>
      </w:r>
      <w:r w:rsidR="00EA0AE8" w:rsidRPr="00BF5DB9">
        <w:rPr>
          <w:bCs/>
        </w:rPr>
        <w:t xml:space="preserve"> of</w:t>
      </w:r>
      <w:r w:rsidRPr="00BF5DB9">
        <w:rPr>
          <w:bCs/>
        </w:rPr>
        <w:t xml:space="preserve"> chemicals for listing in Annexes A, B and/or C to the </w:t>
      </w:r>
      <w:r w:rsidRPr="00BF5DB9">
        <w:t>Stockholm Convention</w:t>
      </w:r>
      <w:r w:rsidR="00EA0AE8" w:rsidRPr="00BF5DB9">
        <w:t>,</w:t>
      </w:r>
      <w:r w:rsidRPr="00BF5DB9">
        <w:t xml:space="preserve"> the scientific and technical activities of the Committee undertaken </w:t>
      </w:r>
      <w:r w:rsidRPr="00BF5DB9">
        <w:rPr>
          <w:bCs/>
        </w:rPr>
        <w:t>intersessionally and facilitati</w:t>
      </w:r>
      <w:r w:rsidR="00EA0AE8" w:rsidRPr="00BF5DB9">
        <w:rPr>
          <w:bCs/>
        </w:rPr>
        <w:t>on of</w:t>
      </w:r>
      <w:r w:rsidRPr="00BF5DB9">
        <w:rPr>
          <w:bCs/>
        </w:rPr>
        <w:t xml:space="preserve"> </w:t>
      </w:r>
      <w:r w:rsidR="00B10D18" w:rsidRPr="00BF5DB9">
        <w:rPr>
          <w:bCs/>
        </w:rPr>
        <w:t xml:space="preserve">membership </w:t>
      </w:r>
      <w:r w:rsidRPr="00BF5DB9">
        <w:rPr>
          <w:bCs/>
        </w:rPr>
        <w:t>rotation</w:t>
      </w:r>
      <w:r w:rsidRPr="00BF5DB9">
        <w:t>.</w:t>
      </w:r>
    </w:p>
    <w:p w14:paraId="3A0FCA66" w14:textId="5AB6697B" w:rsidR="008C7781" w:rsidRDefault="009A14C7" w:rsidP="008C7781">
      <w:pPr>
        <w:tabs>
          <w:tab w:val="left" w:pos="720"/>
          <w:tab w:val="left" w:pos="1440"/>
          <w:tab w:val="left" w:pos="2160"/>
          <w:tab w:val="left" w:pos="2880"/>
          <w:tab w:val="left" w:pos="3600"/>
          <w:tab w:val="left" w:pos="5140"/>
        </w:tabs>
        <w:spacing w:after="0" w:line="240" w:lineRule="auto"/>
        <w:ind w:left="1440" w:hanging="1440"/>
        <w:rPr>
          <w:lang w:val="en-GB"/>
        </w:rPr>
      </w:pPr>
      <w:r w:rsidRPr="00BF5DB9">
        <w:rPr>
          <w:rFonts w:eastAsia="Times New Roman"/>
          <w:b/>
          <w:lang w:val="en-GB" w:eastAsia="fr-CH"/>
        </w:rPr>
        <w:t>Actors:</w:t>
      </w:r>
      <w:r w:rsidRPr="00BF5DB9">
        <w:rPr>
          <w:rFonts w:eastAsia="Times New Roman"/>
          <w:b/>
          <w:lang w:val="en-GB" w:eastAsia="fr-CH"/>
        </w:rPr>
        <w:tab/>
      </w:r>
      <w:r w:rsidR="00BF5DB9">
        <w:rPr>
          <w:lang w:val="en-GB"/>
        </w:rPr>
        <w:t>1.</w:t>
      </w:r>
      <w:r w:rsidR="00BF5DB9">
        <w:rPr>
          <w:lang w:val="en-GB"/>
        </w:rPr>
        <w:tab/>
      </w:r>
      <w:r w:rsidR="008C7781">
        <w:rPr>
          <w:lang w:val="en-GB"/>
        </w:rPr>
        <w:t>Science and Technical Assistance</w:t>
      </w:r>
      <w:r w:rsidR="008C7781" w:rsidRPr="00BF5DB9">
        <w:rPr>
          <w:lang w:val="en-GB"/>
        </w:rPr>
        <w:t xml:space="preserve"> </w:t>
      </w:r>
      <w:r w:rsidRPr="00BF5DB9">
        <w:rPr>
          <w:lang w:val="en-GB"/>
        </w:rPr>
        <w:t xml:space="preserve">Branch </w:t>
      </w:r>
      <w:r w:rsidR="008C7781">
        <w:rPr>
          <w:lang w:val="en-GB"/>
        </w:rPr>
        <w:t>(STA) and Governance</w:t>
      </w:r>
    </w:p>
    <w:p w14:paraId="0AD48D97" w14:textId="77777777" w:rsidR="009A14C7" w:rsidRPr="00BF5DB9" w:rsidRDefault="008C7781" w:rsidP="00A8016F">
      <w:pPr>
        <w:tabs>
          <w:tab w:val="left" w:pos="720"/>
          <w:tab w:val="left" w:pos="1440"/>
          <w:tab w:val="left" w:pos="2160"/>
          <w:tab w:val="left" w:pos="2880"/>
          <w:tab w:val="left" w:pos="3600"/>
          <w:tab w:val="left" w:pos="5140"/>
        </w:tabs>
        <w:spacing w:after="0" w:line="240" w:lineRule="auto"/>
        <w:ind w:left="1440" w:hanging="1440"/>
        <w:rPr>
          <w:lang w:val="en-GB"/>
        </w:rPr>
      </w:pPr>
      <w:r>
        <w:rPr>
          <w:lang w:val="en-GB"/>
        </w:rPr>
        <w:tab/>
      </w:r>
      <w:r>
        <w:rPr>
          <w:lang w:val="en-GB"/>
        </w:rPr>
        <w:tab/>
      </w:r>
      <w:r>
        <w:rPr>
          <w:lang w:val="en-GB"/>
        </w:rPr>
        <w:tab/>
        <w:t xml:space="preserve">Branch (GB) </w:t>
      </w:r>
      <w:r w:rsidR="009A14C7" w:rsidRPr="00BF5DB9">
        <w:rPr>
          <w:lang w:val="en-GB"/>
        </w:rPr>
        <w:t>Chief</w:t>
      </w:r>
      <w:r>
        <w:rPr>
          <w:lang w:val="en-GB"/>
        </w:rPr>
        <w:t>s</w:t>
      </w:r>
      <w:r w:rsidR="009A14C7" w:rsidRPr="00BF5DB9">
        <w:rPr>
          <w:lang w:val="en-GB"/>
        </w:rPr>
        <w:t xml:space="preserve"> </w:t>
      </w:r>
      <w:r w:rsidR="00317AB8">
        <w:rPr>
          <w:lang w:val="en-GB"/>
        </w:rPr>
        <w:t xml:space="preserve"> </w:t>
      </w:r>
    </w:p>
    <w:p w14:paraId="174887DD" w14:textId="77777777" w:rsidR="00B01E22" w:rsidRDefault="00BF5DB9" w:rsidP="00BF5DB9">
      <w:pPr>
        <w:pStyle w:val="ColorfulList-Accent11"/>
        <w:spacing w:line="276" w:lineRule="auto"/>
        <w:ind w:left="1440"/>
        <w:rPr>
          <w:rFonts w:cs="Arial"/>
          <w:sz w:val="22"/>
          <w:szCs w:val="22"/>
          <w:lang w:val="en-US"/>
        </w:rPr>
      </w:pPr>
      <w:r>
        <w:rPr>
          <w:rFonts w:cs="Arial"/>
          <w:sz w:val="22"/>
          <w:szCs w:val="22"/>
          <w:lang w:val="en-US"/>
        </w:rPr>
        <w:t>2.</w:t>
      </w:r>
      <w:r>
        <w:rPr>
          <w:rFonts w:cs="Arial"/>
          <w:sz w:val="22"/>
          <w:szCs w:val="22"/>
          <w:lang w:val="en-US"/>
        </w:rPr>
        <w:tab/>
      </w:r>
      <w:r w:rsidR="00B01E22">
        <w:rPr>
          <w:rFonts w:cs="Arial"/>
          <w:sz w:val="22"/>
          <w:szCs w:val="22"/>
          <w:lang w:val="en-US"/>
        </w:rPr>
        <w:t xml:space="preserve">POPRC meeting coordinator </w:t>
      </w:r>
    </w:p>
    <w:p w14:paraId="5490F0FE" w14:textId="22F97B3D" w:rsidR="009A14C7" w:rsidRPr="00BF5DB9" w:rsidRDefault="00B01E22" w:rsidP="00BF5DB9">
      <w:pPr>
        <w:pStyle w:val="ColorfulList-Accent11"/>
        <w:spacing w:line="276" w:lineRule="auto"/>
        <w:ind w:left="1440"/>
        <w:rPr>
          <w:rFonts w:cs="Arial"/>
          <w:sz w:val="22"/>
          <w:szCs w:val="22"/>
          <w:lang w:val="en-US"/>
        </w:rPr>
      </w:pPr>
      <w:r>
        <w:rPr>
          <w:rFonts w:cs="Arial"/>
          <w:sz w:val="22"/>
          <w:szCs w:val="22"/>
          <w:lang w:val="en-US"/>
        </w:rPr>
        <w:t>3.</w:t>
      </w:r>
      <w:r>
        <w:rPr>
          <w:rFonts w:cs="Arial"/>
          <w:sz w:val="22"/>
          <w:szCs w:val="22"/>
          <w:lang w:val="en-US"/>
        </w:rPr>
        <w:tab/>
      </w:r>
      <w:r w:rsidR="00F72365" w:rsidRPr="00BF5DB9">
        <w:rPr>
          <w:rFonts w:cs="Arial"/>
          <w:sz w:val="22"/>
          <w:szCs w:val="22"/>
          <w:lang w:val="en-US"/>
        </w:rPr>
        <w:t xml:space="preserve">POPRC </w:t>
      </w:r>
      <w:r w:rsidR="006357A7" w:rsidRPr="00431B07">
        <w:rPr>
          <w:rFonts w:cs="Arial"/>
          <w:sz w:val="22"/>
          <w:szCs w:val="22"/>
          <w:lang w:val="en-US"/>
        </w:rPr>
        <w:t>process</w:t>
      </w:r>
      <w:r>
        <w:rPr>
          <w:rFonts w:cs="Arial"/>
          <w:sz w:val="22"/>
          <w:szCs w:val="22"/>
          <w:lang w:val="en-US"/>
        </w:rPr>
        <w:t xml:space="preserve"> </w:t>
      </w:r>
      <w:r w:rsidR="009A14C7" w:rsidRPr="00BF5DB9">
        <w:rPr>
          <w:rFonts w:cs="Arial"/>
          <w:sz w:val="22"/>
          <w:szCs w:val="22"/>
          <w:lang w:val="en-US"/>
        </w:rPr>
        <w:t>coordinator (</w:t>
      </w:r>
      <w:r w:rsidR="008C7781">
        <w:rPr>
          <w:rFonts w:cs="Arial"/>
          <w:sz w:val="22"/>
          <w:szCs w:val="22"/>
          <w:lang w:val="en-US"/>
        </w:rPr>
        <w:t>GB</w:t>
      </w:r>
      <w:r w:rsidR="009A14C7" w:rsidRPr="00BF5DB9">
        <w:rPr>
          <w:rFonts w:cs="Arial"/>
          <w:sz w:val="22"/>
          <w:szCs w:val="22"/>
          <w:lang w:val="en-US"/>
        </w:rPr>
        <w:t>)</w:t>
      </w:r>
    </w:p>
    <w:p w14:paraId="577A1398" w14:textId="57F987AF" w:rsidR="009A14C7" w:rsidRPr="00BF5DB9" w:rsidRDefault="00E72F3D" w:rsidP="00BF5DB9">
      <w:pPr>
        <w:pStyle w:val="ColorfulList-Accent11"/>
        <w:spacing w:line="276" w:lineRule="auto"/>
        <w:ind w:left="1440"/>
        <w:rPr>
          <w:rFonts w:cs="Arial"/>
          <w:sz w:val="22"/>
          <w:szCs w:val="22"/>
          <w:lang w:val="en-US"/>
        </w:rPr>
      </w:pPr>
      <w:r>
        <w:rPr>
          <w:rFonts w:cs="Arial"/>
          <w:sz w:val="22"/>
          <w:szCs w:val="22"/>
          <w:lang w:val="en-US"/>
        </w:rPr>
        <w:t>4</w:t>
      </w:r>
      <w:r w:rsidR="00BF5DB9">
        <w:rPr>
          <w:rFonts w:cs="Arial"/>
          <w:sz w:val="22"/>
          <w:szCs w:val="22"/>
          <w:lang w:val="en-US"/>
        </w:rPr>
        <w:t>.</w:t>
      </w:r>
      <w:r w:rsidR="00BF5DB9">
        <w:rPr>
          <w:rFonts w:cs="Arial"/>
          <w:sz w:val="22"/>
          <w:szCs w:val="22"/>
          <w:lang w:val="en-US"/>
        </w:rPr>
        <w:tab/>
      </w:r>
      <w:r w:rsidR="003D581D" w:rsidRPr="00431B07">
        <w:rPr>
          <w:rFonts w:cs="Arial"/>
          <w:sz w:val="22"/>
          <w:szCs w:val="22"/>
          <w:lang w:val="en-US"/>
        </w:rPr>
        <w:t>POPRC</w:t>
      </w:r>
      <w:r w:rsidR="00A21D61" w:rsidRPr="00431B07">
        <w:rPr>
          <w:rFonts w:cs="Arial"/>
          <w:sz w:val="22"/>
          <w:szCs w:val="22"/>
          <w:lang w:val="en-US"/>
        </w:rPr>
        <w:t xml:space="preserve"> </w:t>
      </w:r>
      <w:r w:rsidR="006357A7" w:rsidRPr="00431B07">
        <w:rPr>
          <w:rFonts w:cs="Arial"/>
          <w:sz w:val="22"/>
          <w:szCs w:val="22"/>
          <w:lang w:val="en-US"/>
        </w:rPr>
        <w:t>technical</w:t>
      </w:r>
      <w:r w:rsidR="006357A7" w:rsidRPr="00BF5DB9">
        <w:rPr>
          <w:rFonts w:cs="Arial"/>
          <w:sz w:val="22"/>
          <w:szCs w:val="22"/>
          <w:lang w:val="en-US"/>
        </w:rPr>
        <w:t xml:space="preserve"> </w:t>
      </w:r>
      <w:r w:rsidR="00A21D61" w:rsidRPr="00BF5DB9">
        <w:rPr>
          <w:rFonts w:cs="Arial"/>
          <w:sz w:val="22"/>
          <w:szCs w:val="22"/>
          <w:lang w:val="en-US"/>
        </w:rPr>
        <w:t>coordinator</w:t>
      </w:r>
      <w:r w:rsidR="009A14C7" w:rsidRPr="00BF5DB9">
        <w:rPr>
          <w:rFonts w:cs="Arial"/>
          <w:sz w:val="22"/>
          <w:szCs w:val="22"/>
          <w:lang w:val="en-US"/>
        </w:rPr>
        <w:t xml:space="preserve"> (</w:t>
      </w:r>
      <w:r w:rsidR="008C7781">
        <w:rPr>
          <w:rFonts w:cs="Arial"/>
          <w:sz w:val="22"/>
          <w:szCs w:val="22"/>
          <w:lang w:val="en-US"/>
        </w:rPr>
        <w:t>STA</w:t>
      </w:r>
      <w:r w:rsidR="009A14C7" w:rsidRPr="00BF5DB9">
        <w:rPr>
          <w:rFonts w:cs="Arial"/>
          <w:sz w:val="22"/>
          <w:szCs w:val="22"/>
          <w:lang w:val="en-US"/>
        </w:rPr>
        <w:t>)</w:t>
      </w:r>
    </w:p>
    <w:p w14:paraId="014E8776" w14:textId="1AD72B14" w:rsidR="009A14C7" w:rsidRPr="00BF5DB9" w:rsidRDefault="00E72F3D" w:rsidP="00BF5DB9">
      <w:pPr>
        <w:pStyle w:val="ColorfulList-Accent11"/>
        <w:spacing w:line="276" w:lineRule="auto"/>
        <w:ind w:left="1440"/>
        <w:rPr>
          <w:rFonts w:cs="Arial"/>
          <w:sz w:val="22"/>
          <w:szCs w:val="22"/>
          <w:lang w:val="en-US"/>
        </w:rPr>
      </w:pPr>
      <w:r>
        <w:rPr>
          <w:rFonts w:cs="Arial"/>
          <w:sz w:val="22"/>
          <w:szCs w:val="22"/>
          <w:lang w:val="en-US"/>
        </w:rPr>
        <w:t>5</w:t>
      </w:r>
      <w:r w:rsidR="00BF5DB9">
        <w:rPr>
          <w:rFonts w:cs="Arial"/>
          <w:sz w:val="22"/>
          <w:szCs w:val="22"/>
          <w:lang w:val="en-US"/>
        </w:rPr>
        <w:t>.</w:t>
      </w:r>
      <w:r w:rsidR="00BF5DB9">
        <w:rPr>
          <w:rFonts w:cs="Arial"/>
          <w:sz w:val="22"/>
          <w:szCs w:val="22"/>
          <w:lang w:val="en-US"/>
        </w:rPr>
        <w:tab/>
      </w:r>
      <w:r w:rsidR="008C7781">
        <w:rPr>
          <w:rFonts w:cs="Arial"/>
          <w:sz w:val="22"/>
          <w:szCs w:val="22"/>
          <w:lang w:val="en-US"/>
        </w:rPr>
        <w:t>STA</w:t>
      </w:r>
      <w:r w:rsidR="008C7781" w:rsidRPr="002C04EF">
        <w:rPr>
          <w:rFonts w:cs="Arial"/>
          <w:sz w:val="22"/>
          <w:szCs w:val="22"/>
          <w:lang w:val="en-US"/>
        </w:rPr>
        <w:t xml:space="preserve"> </w:t>
      </w:r>
      <w:r w:rsidR="009A14C7" w:rsidRPr="002C04EF">
        <w:rPr>
          <w:rFonts w:cs="Arial"/>
          <w:sz w:val="22"/>
          <w:szCs w:val="22"/>
          <w:lang w:val="en-US"/>
        </w:rPr>
        <w:t>officers</w:t>
      </w:r>
      <w:r w:rsidR="001D7AE4" w:rsidRPr="002C04EF">
        <w:rPr>
          <w:rFonts w:cs="Arial"/>
          <w:sz w:val="22"/>
          <w:szCs w:val="22"/>
          <w:lang w:val="en-US"/>
        </w:rPr>
        <w:t xml:space="preserve"> </w:t>
      </w:r>
      <w:r w:rsidR="00BA6623" w:rsidRPr="00BA6623">
        <w:rPr>
          <w:rFonts w:cs="Arial"/>
          <w:sz w:val="22"/>
          <w:szCs w:val="22"/>
          <w:lang w:val="en-US"/>
        </w:rPr>
        <w:t>or</w:t>
      </w:r>
      <w:r w:rsidR="00D16168" w:rsidRPr="002C04EF">
        <w:rPr>
          <w:rFonts w:cs="Arial"/>
          <w:sz w:val="22"/>
          <w:szCs w:val="22"/>
          <w:lang w:val="en-US"/>
        </w:rPr>
        <w:t xml:space="preserve"> </w:t>
      </w:r>
      <w:r w:rsidR="00BA6623" w:rsidRPr="00BA6623">
        <w:rPr>
          <w:rFonts w:cs="Arial"/>
          <w:sz w:val="22"/>
          <w:szCs w:val="22"/>
          <w:lang w:val="en-US"/>
        </w:rPr>
        <w:t xml:space="preserve">relevant assigned </w:t>
      </w:r>
      <w:r w:rsidR="00D16168" w:rsidRPr="002C04EF">
        <w:rPr>
          <w:rFonts w:cs="Arial"/>
          <w:sz w:val="22"/>
          <w:szCs w:val="22"/>
          <w:lang w:val="en-US"/>
        </w:rPr>
        <w:t xml:space="preserve">officers </w:t>
      </w:r>
    </w:p>
    <w:p w14:paraId="3CAF7A28" w14:textId="4B9C6453" w:rsidR="009472D9" w:rsidRDefault="00E72F3D" w:rsidP="009472D9">
      <w:pPr>
        <w:pStyle w:val="ColorfulList-Accent11"/>
        <w:spacing w:line="276" w:lineRule="auto"/>
        <w:ind w:left="1440"/>
        <w:rPr>
          <w:rFonts w:cs="Arial"/>
          <w:sz w:val="22"/>
          <w:szCs w:val="22"/>
          <w:lang w:val="en-US"/>
        </w:rPr>
      </w:pPr>
      <w:r>
        <w:rPr>
          <w:rFonts w:cs="Arial"/>
          <w:sz w:val="22"/>
          <w:szCs w:val="22"/>
          <w:lang w:val="en-US"/>
        </w:rPr>
        <w:t>6</w:t>
      </w:r>
      <w:r w:rsidR="00BF5DB9">
        <w:rPr>
          <w:rFonts w:cs="Arial"/>
          <w:sz w:val="22"/>
          <w:szCs w:val="22"/>
          <w:lang w:val="en-US"/>
        </w:rPr>
        <w:t>.</w:t>
      </w:r>
      <w:r w:rsidR="00BF5DB9">
        <w:rPr>
          <w:rFonts w:cs="Arial"/>
          <w:sz w:val="22"/>
          <w:szCs w:val="22"/>
          <w:lang w:val="en-US"/>
        </w:rPr>
        <w:tab/>
      </w:r>
      <w:r w:rsidR="009A14C7" w:rsidRPr="00BF5DB9">
        <w:rPr>
          <w:rFonts w:cs="Arial"/>
          <w:sz w:val="22"/>
          <w:szCs w:val="22"/>
          <w:lang w:val="en-US"/>
        </w:rPr>
        <w:t>Legal officer (</w:t>
      </w:r>
      <w:r w:rsidR="008C7781">
        <w:rPr>
          <w:rFonts w:cs="Arial"/>
          <w:sz w:val="22"/>
          <w:szCs w:val="22"/>
          <w:lang w:val="en-US"/>
        </w:rPr>
        <w:t>GB</w:t>
      </w:r>
      <w:r w:rsidR="009A14C7" w:rsidRPr="00BF5DB9">
        <w:rPr>
          <w:rFonts w:cs="Arial"/>
          <w:sz w:val="22"/>
          <w:szCs w:val="22"/>
          <w:lang w:val="en-US"/>
        </w:rPr>
        <w:t>)</w:t>
      </w:r>
    </w:p>
    <w:p w14:paraId="32EE2487" w14:textId="49C1979F" w:rsidR="008C7781" w:rsidRDefault="006357A7" w:rsidP="00BF5DB9">
      <w:pPr>
        <w:pStyle w:val="ColorfulList-Accent11"/>
        <w:spacing w:line="276" w:lineRule="auto"/>
        <w:ind w:left="1440"/>
        <w:rPr>
          <w:rFonts w:cs="Arial"/>
          <w:sz w:val="22"/>
          <w:szCs w:val="22"/>
          <w:lang w:val="en-US"/>
        </w:rPr>
      </w:pPr>
      <w:r>
        <w:rPr>
          <w:rFonts w:cs="Arial"/>
          <w:sz w:val="22"/>
          <w:szCs w:val="22"/>
          <w:lang w:val="en-US"/>
        </w:rPr>
        <w:t>7</w:t>
      </w:r>
      <w:r w:rsidR="00BF5DB9">
        <w:rPr>
          <w:rFonts w:cs="Arial"/>
          <w:sz w:val="22"/>
          <w:szCs w:val="22"/>
          <w:lang w:val="en-US"/>
        </w:rPr>
        <w:t>.</w:t>
      </w:r>
      <w:r w:rsidR="00BF5DB9">
        <w:rPr>
          <w:rFonts w:cs="Arial"/>
          <w:sz w:val="22"/>
          <w:szCs w:val="22"/>
          <w:lang w:val="en-US"/>
        </w:rPr>
        <w:tab/>
      </w:r>
      <w:r w:rsidR="00F84B96" w:rsidRPr="00BF5DB9">
        <w:rPr>
          <w:rFonts w:cs="Arial"/>
          <w:sz w:val="22"/>
          <w:szCs w:val="22"/>
          <w:lang w:val="en-US"/>
        </w:rPr>
        <w:t>Contacts d</w:t>
      </w:r>
      <w:r w:rsidR="009A14C7" w:rsidRPr="00BF5DB9">
        <w:rPr>
          <w:rFonts w:cs="Arial"/>
          <w:sz w:val="22"/>
          <w:szCs w:val="22"/>
          <w:lang w:val="en-US"/>
        </w:rPr>
        <w:t xml:space="preserve">atabase </w:t>
      </w:r>
      <w:r w:rsidR="00F84B96" w:rsidRPr="00BF5DB9">
        <w:rPr>
          <w:rFonts w:cs="Arial"/>
          <w:sz w:val="22"/>
          <w:szCs w:val="22"/>
          <w:lang w:val="en-US"/>
        </w:rPr>
        <w:t>operator</w:t>
      </w:r>
      <w:r w:rsidR="009A14C7" w:rsidRPr="00BF5DB9">
        <w:rPr>
          <w:rFonts w:cs="Arial"/>
          <w:sz w:val="22"/>
          <w:szCs w:val="22"/>
          <w:lang w:val="en-US"/>
        </w:rPr>
        <w:t xml:space="preserve"> (</w:t>
      </w:r>
      <w:r w:rsidR="008C7781">
        <w:rPr>
          <w:rFonts w:cs="Arial"/>
          <w:sz w:val="22"/>
          <w:szCs w:val="22"/>
          <w:lang w:val="en-US"/>
        </w:rPr>
        <w:t>Conference and Information Services</w:t>
      </w:r>
    </w:p>
    <w:p w14:paraId="74FC25BB" w14:textId="77777777" w:rsidR="008D30C1" w:rsidRPr="00BF5DB9" w:rsidRDefault="008C7781" w:rsidP="00A8016F">
      <w:pPr>
        <w:pStyle w:val="ColorfulList-Accent11"/>
        <w:spacing w:line="276" w:lineRule="auto"/>
        <w:ind w:left="1440" w:firstLine="720"/>
        <w:rPr>
          <w:rFonts w:cs="Arial"/>
          <w:sz w:val="22"/>
          <w:szCs w:val="22"/>
          <w:lang w:val="en-US"/>
        </w:rPr>
      </w:pPr>
      <w:r>
        <w:rPr>
          <w:rFonts w:cs="Arial"/>
          <w:sz w:val="22"/>
          <w:szCs w:val="22"/>
          <w:lang w:val="en-US"/>
        </w:rPr>
        <w:t>Branch (CISB)</w:t>
      </w:r>
      <w:r w:rsidR="009A14C7" w:rsidRPr="00BF5DB9">
        <w:rPr>
          <w:rFonts w:cs="Arial"/>
          <w:sz w:val="22"/>
          <w:szCs w:val="22"/>
          <w:lang w:val="en-US"/>
        </w:rPr>
        <w:t>)</w:t>
      </w:r>
    </w:p>
    <w:p w14:paraId="08407D35" w14:textId="77777777" w:rsidR="009A14C7" w:rsidRPr="00BF5DB9" w:rsidRDefault="009A14C7" w:rsidP="00BF5DB9">
      <w:pPr>
        <w:spacing w:before="240" w:after="120"/>
        <w:rPr>
          <w:b/>
          <w:lang w:val="en-GB"/>
        </w:rPr>
      </w:pPr>
      <w:r w:rsidRPr="00BF5DB9">
        <w:rPr>
          <w:b/>
          <w:lang w:val="en-GB"/>
        </w:rPr>
        <w:t>Steps:</w:t>
      </w:r>
    </w:p>
    <w:p w14:paraId="2D1020EA" w14:textId="77777777" w:rsidR="009A14C7" w:rsidRPr="00BF5DB9" w:rsidRDefault="009A14C7" w:rsidP="001A615C">
      <w:pPr>
        <w:keepNext/>
        <w:widowControl w:val="0"/>
        <w:spacing w:after="0"/>
        <w:ind w:left="1434" w:hanging="714"/>
      </w:pPr>
      <w:r w:rsidRPr="00BF5DB9">
        <w:rPr>
          <w:b/>
          <w:lang w:val="en-GB"/>
        </w:rPr>
        <w:t xml:space="preserve">I. </w:t>
      </w:r>
      <w:r w:rsidR="00BF5DB9">
        <w:rPr>
          <w:b/>
          <w:lang w:val="en-GB"/>
        </w:rPr>
        <w:tab/>
      </w:r>
      <w:r w:rsidRPr="00BF5DB9">
        <w:rPr>
          <w:b/>
          <w:bCs/>
          <w:lang w:val="en-GB"/>
        </w:rPr>
        <w:t>Supporting the process of reviewing candidate chemicals for listing in Annex</w:t>
      </w:r>
      <w:r w:rsidR="00E47C01" w:rsidRPr="00BF5DB9">
        <w:rPr>
          <w:b/>
          <w:bCs/>
          <w:lang w:val="en-GB"/>
        </w:rPr>
        <w:t>es</w:t>
      </w:r>
      <w:r w:rsidRPr="00BF5DB9">
        <w:rPr>
          <w:b/>
          <w:bCs/>
          <w:lang w:val="en-GB"/>
        </w:rPr>
        <w:t xml:space="preserve"> A, B and C,</w:t>
      </w:r>
      <w:r w:rsidRPr="00BF5DB9">
        <w:rPr>
          <w:b/>
          <w:lang w:val="en-GB"/>
        </w:rPr>
        <w:t xml:space="preserve"> in accordance with Article 8 of the </w:t>
      </w:r>
      <w:r w:rsidRPr="00BF5DB9">
        <w:rPr>
          <w:b/>
          <w:bCs/>
          <w:lang w:val="en-GB"/>
        </w:rPr>
        <w:t xml:space="preserve">Stockholm </w:t>
      </w:r>
      <w:r w:rsidRPr="00BF5DB9">
        <w:rPr>
          <w:b/>
          <w:lang w:val="en-GB"/>
        </w:rPr>
        <w:t>Convention, and the scientific and technical activities of the Committee undertaken intersessionally</w:t>
      </w:r>
    </w:p>
    <w:p w14:paraId="5ECB6F7F" w14:textId="77777777" w:rsidR="009A14C7" w:rsidRPr="00BF5DB9" w:rsidRDefault="001A615C" w:rsidP="00195D81">
      <w:pPr>
        <w:keepNext/>
        <w:widowControl w:val="0"/>
        <w:spacing w:before="240" w:after="120"/>
        <w:ind w:left="1434" w:hanging="714"/>
        <w:rPr>
          <w:b/>
          <w:lang w:val="en-GB"/>
        </w:rPr>
      </w:pPr>
      <w:r>
        <w:rPr>
          <w:b/>
          <w:lang w:val="en-GB"/>
        </w:rPr>
        <w:t>A.</w:t>
      </w:r>
      <w:r>
        <w:rPr>
          <w:b/>
          <w:lang w:val="en-GB"/>
        </w:rPr>
        <w:tab/>
      </w:r>
      <w:r w:rsidR="009A14C7" w:rsidRPr="00BF5DB9">
        <w:rPr>
          <w:b/>
          <w:lang w:val="en-GB"/>
        </w:rPr>
        <w:t xml:space="preserve">Receiving </w:t>
      </w:r>
      <w:r w:rsidR="009A14C7" w:rsidRPr="001A615C">
        <w:rPr>
          <w:b/>
          <w:bCs/>
          <w:lang w:val="en-GB"/>
        </w:rPr>
        <w:t>and</w:t>
      </w:r>
      <w:r w:rsidR="009A14C7" w:rsidRPr="00BF5DB9">
        <w:rPr>
          <w:b/>
          <w:lang w:val="en-GB"/>
        </w:rPr>
        <w:t xml:space="preserve"> verifying proposals for listing a che</w:t>
      </w:r>
      <w:r w:rsidR="009A14C7" w:rsidRPr="00514C71">
        <w:rPr>
          <w:b/>
          <w:lang w:val="en-GB"/>
        </w:rPr>
        <w:t xml:space="preserve">mical </w:t>
      </w:r>
      <w:r w:rsidR="00195D81" w:rsidRPr="00514C71">
        <w:rPr>
          <w:b/>
          <w:lang w:val="en-GB"/>
        </w:rPr>
        <w:t xml:space="preserve">in the Annexes to </w:t>
      </w:r>
      <w:r w:rsidR="009A14C7" w:rsidRPr="00514C71">
        <w:rPr>
          <w:b/>
          <w:lang w:val="en-GB"/>
        </w:rPr>
        <w:t>the Convention</w:t>
      </w:r>
    </w:p>
    <w:p w14:paraId="3D8147B5" w14:textId="22E295F1" w:rsidR="009A14C7" w:rsidRPr="00BF5DB9" w:rsidRDefault="001A615C" w:rsidP="001A615C">
      <w:pPr>
        <w:spacing w:after="120"/>
        <w:ind w:left="1440"/>
        <w:rPr>
          <w:lang w:val="en-GB"/>
        </w:rPr>
      </w:pPr>
      <w:r>
        <w:rPr>
          <w:lang w:val="en-GB"/>
        </w:rPr>
        <w:t>1.</w:t>
      </w:r>
      <w:r>
        <w:rPr>
          <w:lang w:val="en-GB"/>
        </w:rPr>
        <w:tab/>
      </w:r>
      <w:r w:rsidR="00040DCE" w:rsidRPr="00BF5DB9">
        <w:rPr>
          <w:lang w:val="en-GB"/>
        </w:rPr>
        <w:t xml:space="preserve">The </w:t>
      </w:r>
      <w:r w:rsidR="005239BF">
        <w:rPr>
          <w:lang w:val="en-GB"/>
        </w:rPr>
        <w:t xml:space="preserve">POPRC technical </w:t>
      </w:r>
      <w:r w:rsidR="00040DCE" w:rsidRPr="00BF5DB9">
        <w:rPr>
          <w:lang w:val="en-GB"/>
        </w:rPr>
        <w:t xml:space="preserve">coordinator receives a proposal for listing a chemical in Annexes A, B and/or C sent to the Secretariat (by fax, postal mail or relevant generic email addresses), which needs to be received no later than five months in advance of the </w:t>
      </w:r>
      <w:r w:rsidR="00EB1C91" w:rsidRPr="00514C71">
        <w:rPr>
          <w:lang w:val="en-GB"/>
        </w:rPr>
        <w:t>POPRC</w:t>
      </w:r>
      <w:r w:rsidR="00EB1C91">
        <w:rPr>
          <w:lang w:val="en-GB"/>
        </w:rPr>
        <w:t xml:space="preserve"> </w:t>
      </w:r>
      <w:r w:rsidR="00040DCE" w:rsidRPr="00BF5DB9">
        <w:rPr>
          <w:lang w:val="en-GB"/>
        </w:rPr>
        <w:t xml:space="preserve">meeting at which it is to be discussed and forwards it to the POPRC </w:t>
      </w:r>
      <w:r w:rsidR="00B01E22">
        <w:rPr>
          <w:lang w:val="en-GB"/>
        </w:rPr>
        <w:t>p</w:t>
      </w:r>
      <w:r w:rsidR="003D581D">
        <w:rPr>
          <w:lang w:val="en-GB"/>
        </w:rPr>
        <w:t>rocess</w:t>
      </w:r>
      <w:r w:rsidR="00B01E22">
        <w:rPr>
          <w:lang w:val="en-GB"/>
        </w:rPr>
        <w:t xml:space="preserve"> </w:t>
      </w:r>
      <w:r w:rsidR="00040DCE" w:rsidRPr="001D7AE4">
        <w:rPr>
          <w:lang w:val="en-GB"/>
        </w:rPr>
        <w:t xml:space="preserve">coordinator, responsible </w:t>
      </w:r>
      <w:r w:rsidR="008C7781">
        <w:rPr>
          <w:lang w:val="en-GB"/>
        </w:rPr>
        <w:t>STA</w:t>
      </w:r>
      <w:r w:rsidR="008C7781" w:rsidRPr="001D7AE4">
        <w:rPr>
          <w:lang w:val="en-GB"/>
        </w:rPr>
        <w:t xml:space="preserve"> </w:t>
      </w:r>
      <w:r w:rsidR="00040DCE" w:rsidRPr="001D7AE4">
        <w:rPr>
          <w:lang w:val="en-GB"/>
        </w:rPr>
        <w:t>officer(s)</w:t>
      </w:r>
      <w:r w:rsidR="00040DCE" w:rsidRPr="00BF5DB9">
        <w:rPr>
          <w:lang w:val="en-GB"/>
        </w:rPr>
        <w:t xml:space="preserve"> and consults with the </w:t>
      </w:r>
      <w:r w:rsidR="00F33401">
        <w:rPr>
          <w:lang w:val="en-GB"/>
        </w:rPr>
        <w:t>l</w:t>
      </w:r>
      <w:r w:rsidR="00040DCE" w:rsidRPr="00BF5DB9">
        <w:rPr>
          <w:lang w:val="en-GB"/>
        </w:rPr>
        <w:t>egal officer as necessary.</w:t>
      </w:r>
    </w:p>
    <w:p w14:paraId="23A8CC2A" w14:textId="77777777" w:rsidR="009A14C7" w:rsidRPr="00BF5DB9" w:rsidRDefault="001A615C" w:rsidP="00285D3D">
      <w:pPr>
        <w:spacing w:after="120"/>
        <w:ind w:left="1440"/>
        <w:rPr>
          <w:lang w:val="en-GB"/>
        </w:rPr>
      </w:pPr>
      <w:r>
        <w:rPr>
          <w:lang w:val="en-GB"/>
        </w:rPr>
        <w:t>2.</w:t>
      </w:r>
      <w:r>
        <w:rPr>
          <w:lang w:val="en-GB"/>
        </w:rPr>
        <w:tab/>
      </w:r>
      <w:r w:rsidR="00AE30F0">
        <w:rPr>
          <w:lang w:val="en-GB"/>
        </w:rPr>
        <w:t>POPRC technical coordinator</w:t>
      </w:r>
      <w:r w:rsidR="00040DCE" w:rsidRPr="00BF5DB9">
        <w:rPr>
          <w:lang w:val="en-GB"/>
        </w:rPr>
        <w:t xml:space="preserve"> verif</w:t>
      </w:r>
      <w:r w:rsidR="00AE30F0">
        <w:rPr>
          <w:lang w:val="en-GB"/>
        </w:rPr>
        <w:t>ies</w:t>
      </w:r>
      <w:r w:rsidR="00040DCE" w:rsidRPr="00BF5DB9">
        <w:rPr>
          <w:lang w:val="en-GB"/>
        </w:rPr>
        <w:t xml:space="preserve"> the proposal in accordance with paragraph 2 of Article 8 and prepares a draft information document containing the </w:t>
      </w:r>
      <w:r w:rsidR="00040DCE" w:rsidRPr="00514C71">
        <w:rPr>
          <w:lang w:val="en-GB"/>
        </w:rPr>
        <w:t>verification</w:t>
      </w:r>
      <w:r w:rsidR="00285D3D" w:rsidRPr="00514C71">
        <w:rPr>
          <w:lang w:val="en-GB"/>
        </w:rPr>
        <w:t xml:space="preserve"> of whether the proposal to list the chemical contains the information specified in Annex D to the Convention</w:t>
      </w:r>
      <w:r w:rsidR="00040DCE" w:rsidRPr="00BF5DB9">
        <w:rPr>
          <w:lang w:val="en-GB"/>
        </w:rPr>
        <w:t xml:space="preserve">. </w:t>
      </w:r>
      <w:r w:rsidR="00AE30F0">
        <w:rPr>
          <w:lang w:val="en-GB"/>
        </w:rPr>
        <w:t xml:space="preserve">The </w:t>
      </w:r>
      <w:r w:rsidR="00C20D78">
        <w:rPr>
          <w:lang w:val="en-GB"/>
        </w:rPr>
        <w:t>POPRC t</w:t>
      </w:r>
      <w:r w:rsidR="00AE30F0">
        <w:rPr>
          <w:lang w:val="en-GB"/>
        </w:rPr>
        <w:t xml:space="preserve">echnical </w:t>
      </w:r>
      <w:r w:rsidR="00C20D78">
        <w:rPr>
          <w:lang w:val="en-GB"/>
        </w:rPr>
        <w:t>c</w:t>
      </w:r>
      <w:r w:rsidR="00AE30F0">
        <w:rPr>
          <w:lang w:val="en-GB"/>
        </w:rPr>
        <w:t>oordinator</w:t>
      </w:r>
      <w:r w:rsidR="00040DCE" w:rsidRPr="00BF5DB9">
        <w:rPr>
          <w:lang w:val="en-GB"/>
        </w:rPr>
        <w:t xml:space="preserve"> prepares a POPRC meeting document about the proposal and forwards it to the POPRC </w:t>
      </w:r>
      <w:r w:rsidR="00B01E22">
        <w:rPr>
          <w:lang w:val="en-GB"/>
        </w:rPr>
        <w:t>p</w:t>
      </w:r>
      <w:r w:rsidR="003D581D">
        <w:rPr>
          <w:lang w:val="en-GB"/>
        </w:rPr>
        <w:t>rocess</w:t>
      </w:r>
      <w:r w:rsidR="00B01E22">
        <w:rPr>
          <w:lang w:val="en-GB"/>
        </w:rPr>
        <w:t xml:space="preserve"> </w:t>
      </w:r>
      <w:r w:rsidR="00040DCE" w:rsidRPr="00BF5DB9">
        <w:rPr>
          <w:lang w:val="en-GB"/>
        </w:rPr>
        <w:t>coordinator.</w:t>
      </w:r>
    </w:p>
    <w:p w14:paraId="1DAD1FD5" w14:textId="77777777" w:rsidR="009A14C7" w:rsidRPr="00BF5DB9" w:rsidRDefault="009A14C7" w:rsidP="00BF5DB9">
      <w:pPr>
        <w:pStyle w:val="ColorfulList-Accent11"/>
        <w:spacing w:line="276" w:lineRule="auto"/>
        <w:ind w:left="993" w:hanging="426"/>
        <w:rPr>
          <w:rFonts w:cs="Arial"/>
          <w:bCs/>
          <w:sz w:val="22"/>
          <w:szCs w:val="22"/>
          <w:lang w:val="en-GB"/>
        </w:rPr>
      </w:pPr>
    </w:p>
    <w:p w14:paraId="15AAE72D" w14:textId="77777777" w:rsidR="009A14C7" w:rsidRPr="00BF5DB9" w:rsidRDefault="001A615C" w:rsidP="001A615C">
      <w:pPr>
        <w:spacing w:after="120"/>
        <w:ind w:left="1440"/>
        <w:rPr>
          <w:lang w:val="en-GB"/>
        </w:rPr>
      </w:pPr>
      <w:r>
        <w:rPr>
          <w:lang w:val="en-GB"/>
        </w:rPr>
        <w:t>3.</w:t>
      </w:r>
      <w:r>
        <w:rPr>
          <w:lang w:val="en-GB"/>
        </w:rPr>
        <w:tab/>
      </w:r>
      <w:r w:rsidR="00BA2046" w:rsidRPr="00BF5DB9">
        <w:rPr>
          <w:lang w:val="en-GB"/>
        </w:rPr>
        <w:t xml:space="preserve">The </w:t>
      </w:r>
      <w:r w:rsidR="00157218" w:rsidRPr="00BF5DB9">
        <w:rPr>
          <w:lang w:val="en-GB"/>
        </w:rPr>
        <w:t xml:space="preserve">POPRC </w:t>
      </w:r>
      <w:r w:rsidR="00B01E22">
        <w:rPr>
          <w:lang w:val="en-GB"/>
        </w:rPr>
        <w:t>p</w:t>
      </w:r>
      <w:r w:rsidR="003D581D">
        <w:rPr>
          <w:lang w:val="en-GB"/>
        </w:rPr>
        <w:t>rocess</w:t>
      </w:r>
      <w:r w:rsidR="00B01E22">
        <w:rPr>
          <w:lang w:val="en-GB"/>
        </w:rPr>
        <w:t xml:space="preserve"> </w:t>
      </w:r>
      <w:r w:rsidR="009A14C7" w:rsidRPr="00BF5DB9">
        <w:rPr>
          <w:lang w:val="en-GB"/>
        </w:rPr>
        <w:t xml:space="preserve">coordinator issues the proposal as a meeting document and sends the proposal to POPRC members along with the invitation letter for the meeting, at least three months in advance of the meeting at which it is to be discussed and </w:t>
      </w:r>
      <w:r w:rsidR="008D30C1" w:rsidRPr="00BF5DB9">
        <w:rPr>
          <w:lang w:val="en-GB"/>
        </w:rPr>
        <w:t xml:space="preserve">ensures </w:t>
      </w:r>
      <w:r w:rsidR="00FF16F1" w:rsidRPr="00BF5DB9">
        <w:rPr>
          <w:lang w:val="en-GB"/>
        </w:rPr>
        <w:t xml:space="preserve">its </w:t>
      </w:r>
      <w:r w:rsidR="008D30C1" w:rsidRPr="00BF5DB9">
        <w:rPr>
          <w:lang w:val="en-GB"/>
        </w:rPr>
        <w:t xml:space="preserve">posting </w:t>
      </w:r>
      <w:r w:rsidR="009A14C7" w:rsidRPr="00BF5DB9">
        <w:rPr>
          <w:lang w:val="en-GB"/>
        </w:rPr>
        <w:t>on the website</w:t>
      </w:r>
      <w:r w:rsidR="008D30C1" w:rsidRPr="00BF5DB9">
        <w:rPr>
          <w:lang w:val="en-GB"/>
        </w:rPr>
        <w:t xml:space="preserve"> as per the SOP on website content management</w:t>
      </w:r>
      <w:r w:rsidR="009A14C7" w:rsidRPr="00BF5DB9">
        <w:rPr>
          <w:lang w:val="en-GB"/>
        </w:rPr>
        <w:t>.</w:t>
      </w:r>
    </w:p>
    <w:p w14:paraId="5873770C" w14:textId="77777777" w:rsidR="009A14C7" w:rsidRPr="00BF5DB9" w:rsidRDefault="001A615C" w:rsidP="001A615C">
      <w:pPr>
        <w:keepNext/>
        <w:widowControl w:val="0"/>
        <w:spacing w:before="240" w:after="120"/>
        <w:ind w:left="1434" w:hanging="714"/>
        <w:rPr>
          <w:b/>
          <w:lang w:val="en-GB"/>
        </w:rPr>
      </w:pPr>
      <w:r>
        <w:rPr>
          <w:b/>
          <w:lang w:val="en-GB"/>
        </w:rPr>
        <w:t>B.</w:t>
      </w:r>
      <w:r>
        <w:rPr>
          <w:b/>
          <w:lang w:val="en-GB"/>
        </w:rPr>
        <w:tab/>
      </w:r>
      <w:r w:rsidR="009A14C7" w:rsidRPr="00BF5DB9">
        <w:rPr>
          <w:b/>
          <w:lang w:val="en-GB"/>
        </w:rPr>
        <w:t>POPRC meetings</w:t>
      </w:r>
    </w:p>
    <w:p w14:paraId="60AAEF0F" w14:textId="699EF698" w:rsidR="009A14C7" w:rsidRDefault="001A615C" w:rsidP="002B406A">
      <w:pPr>
        <w:spacing w:after="120"/>
        <w:ind w:left="1440"/>
        <w:rPr>
          <w:lang w:val="en-GB"/>
        </w:rPr>
      </w:pPr>
      <w:r>
        <w:rPr>
          <w:lang w:val="en-GB"/>
        </w:rPr>
        <w:t>4.</w:t>
      </w:r>
      <w:r>
        <w:rPr>
          <w:lang w:val="en-GB"/>
        </w:rPr>
        <w:tab/>
      </w:r>
      <w:r w:rsidR="00BA2046" w:rsidRPr="00BF5DB9">
        <w:rPr>
          <w:lang w:val="en-GB"/>
        </w:rPr>
        <w:t>For the organization of POPRC meetings, p</w:t>
      </w:r>
      <w:r w:rsidR="009A14C7" w:rsidRPr="00BF5DB9">
        <w:rPr>
          <w:lang w:val="en-GB"/>
        </w:rPr>
        <w:t xml:space="preserve">lease refer </w:t>
      </w:r>
      <w:r w:rsidR="009A14C7" w:rsidRPr="00851D8B">
        <w:rPr>
          <w:lang w:val="en-GB"/>
        </w:rPr>
        <w:t>to SOP</w:t>
      </w:r>
      <w:r w:rsidR="001C49D1" w:rsidRPr="00851D8B">
        <w:rPr>
          <w:lang w:val="en-GB"/>
        </w:rPr>
        <w:t>#</w:t>
      </w:r>
      <w:r w:rsidR="00851D8B" w:rsidRPr="00851D8B">
        <w:rPr>
          <w:lang w:val="en-GB"/>
        </w:rPr>
        <w:t>26</w:t>
      </w:r>
      <w:r w:rsidR="00A05714" w:rsidRPr="00BF5DB9">
        <w:rPr>
          <w:lang w:val="en-GB"/>
        </w:rPr>
        <w:t xml:space="preserve"> on</w:t>
      </w:r>
      <w:r w:rsidR="00BA2046" w:rsidRPr="00BF5DB9">
        <w:rPr>
          <w:lang w:val="en-GB"/>
        </w:rPr>
        <w:t xml:space="preserve"> </w:t>
      </w:r>
      <w:r w:rsidR="00170ABD" w:rsidRPr="00BF5DB9">
        <w:rPr>
          <w:lang w:val="en-GB"/>
        </w:rPr>
        <w:t>“</w:t>
      </w:r>
      <w:r w:rsidR="00215DA3" w:rsidRPr="00BF5DB9">
        <w:rPr>
          <w:lang w:val="en-GB"/>
        </w:rPr>
        <w:t xml:space="preserve">Organization of the meetings of the conferences of the </w:t>
      </w:r>
      <w:r w:rsidR="00756B3A">
        <w:rPr>
          <w:lang w:val="en-GB"/>
        </w:rPr>
        <w:t>P</w:t>
      </w:r>
      <w:r w:rsidR="00215DA3" w:rsidRPr="00BF5DB9">
        <w:rPr>
          <w:lang w:val="en-GB"/>
        </w:rPr>
        <w:t>arties (COPs) and their subsidiary bodies under the Basel, Rotterdam and Stockholm conventions</w:t>
      </w:r>
      <w:r w:rsidR="00170ABD" w:rsidRPr="00BF5DB9">
        <w:rPr>
          <w:lang w:val="en-GB"/>
        </w:rPr>
        <w:t>”</w:t>
      </w:r>
      <w:r w:rsidR="00055D12">
        <w:rPr>
          <w:lang w:val="en-GB"/>
        </w:rPr>
        <w:t xml:space="preserve">, other </w:t>
      </w:r>
      <w:r w:rsidR="00055D12" w:rsidRPr="00E042D3">
        <w:rPr>
          <w:lang w:val="en-GB"/>
        </w:rPr>
        <w:t>related SOPs</w:t>
      </w:r>
      <w:r w:rsidR="00055D12" w:rsidRPr="00E042D3">
        <w:rPr>
          <w:rStyle w:val="FootnoteReference"/>
          <w:lang w:val="en-GB"/>
        </w:rPr>
        <w:footnoteReference w:id="1"/>
      </w:r>
      <w:r w:rsidR="009A14C7" w:rsidRPr="00E042D3">
        <w:rPr>
          <w:lang w:val="en-GB"/>
        </w:rPr>
        <w:t xml:space="preserve"> </w:t>
      </w:r>
      <w:r w:rsidR="00D412FD" w:rsidRPr="00E042D3">
        <w:rPr>
          <w:lang w:val="en-GB"/>
        </w:rPr>
        <w:t xml:space="preserve">and paragraphs </w:t>
      </w:r>
      <w:r w:rsidR="00CE55BB" w:rsidRPr="00E042D3">
        <w:rPr>
          <w:lang w:val="en-GB"/>
        </w:rPr>
        <w:t>5</w:t>
      </w:r>
      <w:r w:rsidR="00D412FD" w:rsidRPr="00E042D3">
        <w:rPr>
          <w:lang w:val="en-GB"/>
        </w:rPr>
        <w:t xml:space="preserve"> to </w:t>
      </w:r>
      <w:r w:rsidR="00D003DA" w:rsidRPr="00E042D3">
        <w:rPr>
          <w:lang w:val="en-GB"/>
        </w:rPr>
        <w:t>6</w:t>
      </w:r>
      <w:r w:rsidR="00A27465" w:rsidRPr="00E042D3">
        <w:rPr>
          <w:lang w:val="en-GB"/>
        </w:rPr>
        <w:t xml:space="preserve"> </w:t>
      </w:r>
      <w:r w:rsidR="00D412FD" w:rsidRPr="00E042D3">
        <w:rPr>
          <w:lang w:val="en-GB"/>
        </w:rPr>
        <w:t>below</w:t>
      </w:r>
      <w:r w:rsidR="00D412FD" w:rsidRPr="00BF5DB9">
        <w:rPr>
          <w:lang w:val="en-GB"/>
        </w:rPr>
        <w:t>.</w:t>
      </w:r>
    </w:p>
    <w:p w14:paraId="18A1FB47" w14:textId="77777777" w:rsidR="002B406A" w:rsidRPr="00386246" w:rsidRDefault="00F41686" w:rsidP="003C50D8">
      <w:pPr>
        <w:spacing w:after="120"/>
        <w:ind w:left="1440"/>
        <w:rPr>
          <w:lang w:val="en-GB"/>
        </w:rPr>
      </w:pPr>
      <w:r w:rsidRPr="00386246">
        <w:rPr>
          <w:lang w:val="en-GB"/>
        </w:rPr>
        <w:t xml:space="preserve">5. </w:t>
      </w:r>
      <w:r w:rsidRPr="00386246">
        <w:rPr>
          <w:lang w:val="en-GB"/>
        </w:rPr>
        <w:tab/>
      </w:r>
      <w:r w:rsidR="00E4665E" w:rsidRPr="00386246">
        <w:rPr>
          <w:lang w:val="en-GB"/>
        </w:rPr>
        <w:t>The overall role</w:t>
      </w:r>
      <w:r w:rsidR="002B406A" w:rsidRPr="00386246">
        <w:rPr>
          <w:lang w:val="en-GB"/>
        </w:rPr>
        <w:t xml:space="preserve">s </w:t>
      </w:r>
      <w:r w:rsidR="00E2687F" w:rsidRPr="00386246">
        <w:rPr>
          <w:lang w:val="en-GB"/>
        </w:rPr>
        <w:t xml:space="preserve">of the </w:t>
      </w:r>
      <w:bookmarkStart w:id="1" w:name="_Hlk16768092"/>
      <w:r w:rsidR="00E2687F" w:rsidRPr="00386246">
        <w:rPr>
          <w:lang w:val="en-GB"/>
        </w:rPr>
        <w:t>POPRC process, technical and meeting coordinators</w:t>
      </w:r>
      <w:bookmarkEnd w:id="1"/>
      <w:r w:rsidR="00E2687F" w:rsidRPr="00386246">
        <w:rPr>
          <w:lang w:val="en-GB"/>
        </w:rPr>
        <w:t xml:space="preserve"> </w:t>
      </w:r>
      <w:r w:rsidR="002B406A" w:rsidRPr="00386246">
        <w:rPr>
          <w:lang w:val="en-GB"/>
        </w:rPr>
        <w:t>are</w:t>
      </w:r>
      <w:r w:rsidR="007B59DE" w:rsidRPr="00386246">
        <w:rPr>
          <w:lang w:val="en-GB"/>
        </w:rPr>
        <w:t>,</w:t>
      </w:r>
      <w:r w:rsidR="002B406A" w:rsidRPr="00386246">
        <w:rPr>
          <w:lang w:val="en-GB"/>
        </w:rPr>
        <w:t xml:space="preserve"> as follows: </w:t>
      </w:r>
    </w:p>
    <w:p w14:paraId="19318AB1" w14:textId="244BD3B9" w:rsidR="00D81161" w:rsidRPr="00386246" w:rsidRDefault="002B406A" w:rsidP="003C50D8">
      <w:pPr>
        <w:spacing w:after="120"/>
        <w:ind w:left="1440" w:firstLine="720"/>
        <w:rPr>
          <w:bCs/>
          <w:lang w:val="en-GB"/>
        </w:rPr>
      </w:pPr>
      <w:r w:rsidRPr="00386246">
        <w:rPr>
          <w:lang w:val="en-GB"/>
        </w:rPr>
        <w:t>(a)</w:t>
      </w:r>
      <w:r w:rsidR="009002DB">
        <w:rPr>
          <w:bCs/>
          <w:lang w:val="en-GB"/>
        </w:rPr>
        <w:tab/>
      </w:r>
      <w:r w:rsidR="00D81161" w:rsidRPr="00386246">
        <w:rPr>
          <w:bCs/>
          <w:lang w:val="en-GB"/>
        </w:rPr>
        <w:t>The POPRC meeting coordinator is responsible for the overall coordination, including support to the Chair of the Committee, during the conduct of the meeting</w:t>
      </w:r>
      <w:r w:rsidR="00D81161" w:rsidRPr="00386246">
        <w:t xml:space="preserve">. The POPRC meeting coordinator </w:t>
      </w:r>
      <w:r w:rsidR="000C3D01">
        <w:rPr>
          <w:lang w:val="en-GB"/>
        </w:rPr>
        <w:t xml:space="preserve">is </w:t>
      </w:r>
      <w:r w:rsidR="00D81161" w:rsidRPr="00386246">
        <w:rPr>
          <w:lang w:val="en-GB"/>
        </w:rPr>
        <w:t xml:space="preserve">appointed </w:t>
      </w:r>
      <w:r w:rsidR="00D81161" w:rsidRPr="00386246">
        <w:rPr>
          <w:bCs/>
          <w:lang w:val="en-GB"/>
        </w:rPr>
        <w:t xml:space="preserve">jointly by the </w:t>
      </w:r>
      <w:r w:rsidR="008C7781">
        <w:rPr>
          <w:bCs/>
          <w:lang w:val="en-GB"/>
        </w:rPr>
        <w:t>GB</w:t>
      </w:r>
      <w:r w:rsidR="008C7781" w:rsidRPr="00386246">
        <w:rPr>
          <w:bCs/>
          <w:lang w:val="en-GB"/>
        </w:rPr>
        <w:t xml:space="preserve"> </w:t>
      </w:r>
      <w:r w:rsidR="00D81161" w:rsidRPr="00386246">
        <w:rPr>
          <w:bCs/>
          <w:lang w:val="en-GB"/>
        </w:rPr>
        <w:t xml:space="preserve">and </w:t>
      </w:r>
      <w:r w:rsidR="008C7781">
        <w:rPr>
          <w:bCs/>
          <w:lang w:val="en-GB"/>
        </w:rPr>
        <w:t>STA</w:t>
      </w:r>
      <w:r w:rsidR="008C7781" w:rsidRPr="00386246">
        <w:rPr>
          <w:bCs/>
          <w:lang w:val="en-GB"/>
        </w:rPr>
        <w:t xml:space="preserve"> </w:t>
      </w:r>
      <w:r w:rsidR="00D81161" w:rsidRPr="00386246">
        <w:rPr>
          <w:bCs/>
          <w:lang w:val="en-GB"/>
        </w:rPr>
        <w:t>Branch Chiefs on a case by case basis (for each meeting) and will be announced at the first kick-off meeting;</w:t>
      </w:r>
    </w:p>
    <w:p w14:paraId="1CA26F1C" w14:textId="77777777" w:rsidR="002171C8" w:rsidRPr="003E484F" w:rsidRDefault="002B406A" w:rsidP="002171C8">
      <w:pPr>
        <w:spacing w:after="120"/>
        <w:ind w:left="1440" w:firstLine="720"/>
        <w:rPr>
          <w:bCs/>
          <w:lang w:val="en-GB"/>
        </w:rPr>
      </w:pPr>
      <w:r w:rsidRPr="00386246">
        <w:rPr>
          <w:bCs/>
          <w:lang w:val="en-GB"/>
        </w:rPr>
        <w:t>(b)</w:t>
      </w:r>
      <w:r w:rsidR="009002DB" w:rsidRPr="009002DB">
        <w:rPr>
          <w:bCs/>
          <w:lang w:val="en-GB"/>
        </w:rPr>
        <w:t xml:space="preserve"> </w:t>
      </w:r>
      <w:r w:rsidR="009002DB">
        <w:rPr>
          <w:bCs/>
          <w:lang w:val="en-GB"/>
        </w:rPr>
        <w:tab/>
      </w:r>
      <w:r w:rsidR="00D81161" w:rsidRPr="00386246">
        <w:rPr>
          <w:lang w:val="en-GB"/>
        </w:rPr>
        <w:t>The</w:t>
      </w:r>
      <w:r w:rsidR="00D81161" w:rsidRPr="00386246">
        <w:rPr>
          <w:bCs/>
          <w:lang w:val="en-GB"/>
        </w:rPr>
        <w:t xml:space="preserve"> POPRC process coordinator is responsible </w:t>
      </w:r>
      <w:r w:rsidR="002171C8">
        <w:rPr>
          <w:bCs/>
          <w:lang w:val="en-GB"/>
        </w:rPr>
        <w:t xml:space="preserve">for </w:t>
      </w:r>
      <w:r w:rsidR="002171C8" w:rsidRPr="003E484F">
        <w:rPr>
          <w:bCs/>
          <w:lang w:val="en-GB"/>
        </w:rPr>
        <w:t>procedural and logistics matters</w:t>
      </w:r>
      <w:r w:rsidR="002171C8">
        <w:rPr>
          <w:bCs/>
          <w:lang w:val="en-GB"/>
        </w:rPr>
        <w:t xml:space="preserve">, as detailed </w:t>
      </w:r>
      <w:r w:rsidR="002171C8" w:rsidRPr="00514C71">
        <w:rPr>
          <w:bCs/>
          <w:lang w:val="en-GB"/>
        </w:rPr>
        <w:t xml:space="preserve">in paragraph </w:t>
      </w:r>
      <w:r w:rsidR="00514C71">
        <w:rPr>
          <w:bCs/>
          <w:lang w:val="en-GB"/>
        </w:rPr>
        <w:t>6</w:t>
      </w:r>
      <w:r w:rsidR="002171C8">
        <w:rPr>
          <w:bCs/>
          <w:lang w:val="en-GB"/>
        </w:rPr>
        <w:t xml:space="preserve"> below</w:t>
      </w:r>
      <w:r w:rsidR="002171C8" w:rsidRPr="003E484F">
        <w:rPr>
          <w:bCs/>
          <w:lang w:val="en-GB"/>
        </w:rPr>
        <w:t xml:space="preserve">; </w:t>
      </w:r>
      <w:r w:rsidR="002171C8" w:rsidRPr="001D3695">
        <w:rPr>
          <w:lang w:val="en-GB"/>
        </w:rPr>
        <w:t xml:space="preserve"> </w:t>
      </w:r>
    </w:p>
    <w:p w14:paraId="1E8D519A" w14:textId="77777777" w:rsidR="00E4665E" w:rsidRPr="00386246" w:rsidRDefault="00E2687F" w:rsidP="00E5089D">
      <w:pPr>
        <w:spacing w:after="120"/>
        <w:ind w:left="1440" w:firstLine="720"/>
        <w:rPr>
          <w:bCs/>
          <w:lang w:val="en-GB"/>
        </w:rPr>
      </w:pPr>
      <w:r w:rsidRPr="00386246">
        <w:rPr>
          <w:bCs/>
          <w:lang w:val="en-GB"/>
        </w:rPr>
        <w:t>(c)</w:t>
      </w:r>
      <w:r w:rsidR="009002DB" w:rsidRPr="009002DB">
        <w:rPr>
          <w:bCs/>
          <w:lang w:val="en-GB"/>
        </w:rPr>
        <w:t xml:space="preserve"> </w:t>
      </w:r>
      <w:r w:rsidR="009002DB">
        <w:rPr>
          <w:bCs/>
          <w:lang w:val="en-GB"/>
        </w:rPr>
        <w:tab/>
      </w:r>
      <w:r w:rsidR="00D81161" w:rsidRPr="00386246">
        <w:rPr>
          <w:bCs/>
          <w:lang w:val="en-GB"/>
        </w:rPr>
        <w:t xml:space="preserve">The POPRC </w:t>
      </w:r>
      <w:r w:rsidR="00D81161" w:rsidRPr="00386246">
        <w:t>technical</w:t>
      </w:r>
      <w:r w:rsidR="00D81161" w:rsidRPr="00386246">
        <w:rPr>
          <w:bCs/>
          <w:lang w:val="en-GB"/>
        </w:rPr>
        <w:t xml:space="preserve"> coordinator </w:t>
      </w:r>
      <w:r w:rsidR="00AE30F0">
        <w:rPr>
          <w:bCs/>
          <w:lang w:val="en-GB"/>
        </w:rPr>
        <w:t xml:space="preserve">is </w:t>
      </w:r>
      <w:r w:rsidR="00D81161" w:rsidRPr="00514C71">
        <w:rPr>
          <w:bCs/>
          <w:lang w:val="en-GB"/>
        </w:rPr>
        <w:t>r</w:t>
      </w:r>
      <w:r w:rsidR="00D81161" w:rsidRPr="00386246">
        <w:rPr>
          <w:bCs/>
          <w:lang w:val="en-GB"/>
        </w:rPr>
        <w:t>esponsible for scientific and technical matters</w:t>
      </w:r>
      <w:r w:rsidR="00514C71">
        <w:rPr>
          <w:bCs/>
          <w:lang w:val="en-GB"/>
        </w:rPr>
        <w:t xml:space="preserve">, as detailed </w:t>
      </w:r>
      <w:r w:rsidR="00514C71" w:rsidRPr="00514C71">
        <w:rPr>
          <w:bCs/>
          <w:lang w:val="en-GB"/>
        </w:rPr>
        <w:t xml:space="preserve">in paragraph </w:t>
      </w:r>
      <w:r w:rsidR="00514C71">
        <w:rPr>
          <w:bCs/>
          <w:lang w:val="en-GB"/>
        </w:rPr>
        <w:t>6 below</w:t>
      </w:r>
      <w:r w:rsidR="00D81161" w:rsidRPr="00386246">
        <w:rPr>
          <w:bCs/>
          <w:lang w:val="en-GB"/>
        </w:rPr>
        <w:t>.</w:t>
      </w:r>
    </w:p>
    <w:p w14:paraId="2E803EEA" w14:textId="77777777" w:rsidR="00A50AF2" w:rsidRDefault="00A27465" w:rsidP="00E47F2A">
      <w:pPr>
        <w:spacing w:after="120"/>
        <w:ind w:left="1440"/>
        <w:rPr>
          <w:bCs/>
          <w:lang w:val="en-GB"/>
        </w:rPr>
      </w:pPr>
      <w:r w:rsidRPr="00386246">
        <w:rPr>
          <w:bCs/>
          <w:lang w:val="en-GB"/>
        </w:rPr>
        <w:t>6</w:t>
      </w:r>
      <w:r w:rsidR="001A615C" w:rsidRPr="00386246">
        <w:rPr>
          <w:bCs/>
          <w:lang w:val="en-GB"/>
        </w:rPr>
        <w:t>.</w:t>
      </w:r>
      <w:r w:rsidR="001A615C" w:rsidRPr="00386246">
        <w:rPr>
          <w:bCs/>
          <w:lang w:val="en-GB"/>
        </w:rPr>
        <w:tab/>
      </w:r>
      <w:r w:rsidR="00A50AF2" w:rsidRPr="00386246">
        <w:rPr>
          <w:bCs/>
          <w:lang w:val="en-GB"/>
        </w:rPr>
        <w:t xml:space="preserve">The </w:t>
      </w:r>
      <w:r w:rsidR="0096074D" w:rsidRPr="00386246">
        <w:rPr>
          <w:bCs/>
          <w:lang w:val="en-GB"/>
        </w:rPr>
        <w:t xml:space="preserve">more detailed </w:t>
      </w:r>
      <w:r w:rsidR="00A50AF2" w:rsidRPr="00386246">
        <w:rPr>
          <w:bCs/>
          <w:lang w:val="en-GB"/>
        </w:rPr>
        <w:t xml:space="preserve">distribution of roles </w:t>
      </w:r>
      <w:r w:rsidR="003F54CF" w:rsidRPr="00386246">
        <w:rPr>
          <w:bCs/>
          <w:lang w:val="en-GB"/>
        </w:rPr>
        <w:t>between</w:t>
      </w:r>
      <w:r w:rsidR="0096074D" w:rsidRPr="00386246">
        <w:rPr>
          <w:bCs/>
          <w:lang w:val="en-GB"/>
        </w:rPr>
        <w:t xml:space="preserve"> the </w:t>
      </w:r>
      <w:r w:rsidR="0096074D" w:rsidRPr="00386246">
        <w:rPr>
          <w:lang w:val="en-GB"/>
        </w:rPr>
        <w:t xml:space="preserve">POPRC process, technical and meeting coordinators during the preparation, running and follow-up to </w:t>
      </w:r>
      <w:r w:rsidR="00A50AF2" w:rsidRPr="00386246">
        <w:rPr>
          <w:bCs/>
          <w:lang w:val="en-GB"/>
        </w:rPr>
        <w:t>POPRC meetings</w:t>
      </w:r>
      <w:r w:rsidR="0096074D" w:rsidRPr="00386246">
        <w:rPr>
          <w:lang w:val="en-GB"/>
        </w:rPr>
        <w:t xml:space="preserve"> is, as follows</w:t>
      </w:r>
      <w:r w:rsidR="00A50AF2" w:rsidRPr="00386246">
        <w:rPr>
          <w:bCs/>
          <w:lang w:val="en-GB"/>
        </w:rPr>
        <w:t>:</w:t>
      </w:r>
      <w:r w:rsidR="00A50AF2">
        <w:rPr>
          <w:bCs/>
          <w:lang w:val="en-GB"/>
        </w:rPr>
        <w:t xml:space="preserve"> </w:t>
      </w:r>
    </w:p>
    <w:p w14:paraId="08FA52CE" w14:textId="77777777" w:rsidR="005D46F6" w:rsidRDefault="00A50AF2" w:rsidP="002602F7">
      <w:pPr>
        <w:spacing w:after="120"/>
        <w:ind w:left="1440" w:firstLine="720"/>
        <w:rPr>
          <w:bCs/>
          <w:lang w:val="en-GB"/>
        </w:rPr>
      </w:pPr>
      <w:r>
        <w:rPr>
          <w:bCs/>
          <w:lang w:val="en-GB"/>
        </w:rPr>
        <w:t>(a)</w:t>
      </w:r>
      <w:r>
        <w:rPr>
          <w:bCs/>
          <w:lang w:val="en-GB"/>
        </w:rPr>
        <w:tab/>
      </w:r>
      <w:r w:rsidR="002F123C">
        <w:rPr>
          <w:bCs/>
          <w:lang w:val="en-GB"/>
        </w:rPr>
        <w:t xml:space="preserve">Before the POPRC meeting: </w:t>
      </w:r>
    </w:p>
    <w:p w14:paraId="06475A5E" w14:textId="0C062405" w:rsidR="005A69F8" w:rsidRDefault="005D46F6" w:rsidP="005A69F8">
      <w:pPr>
        <w:numPr>
          <w:ilvl w:val="0"/>
          <w:numId w:val="14"/>
        </w:numPr>
        <w:spacing w:after="120"/>
        <w:ind w:left="1418" w:firstLine="1102"/>
        <w:rPr>
          <w:bCs/>
          <w:lang w:val="en-GB"/>
        </w:rPr>
      </w:pPr>
      <w:r>
        <w:rPr>
          <w:bCs/>
          <w:lang w:val="en-GB"/>
        </w:rPr>
        <w:t>T</w:t>
      </w:r>
      <w:r w:rsidR="00EE1FD4" w:rsidRPr="00BF5DB9">
        <w:rPr>
          <w:bCs/>
          <w:lang w:val="en-GB"/>
        </w:rPr>
        <w:t xml:space="preserve">he </w:t>
      </w:r>
      <w:r w:rsidR="005239BF">
        <w:rPr>
          <w:bCs/>
          <w:lang w:val="en-GB"/>
        </w:rPr>
        <w:t>POPRC technical</w:t>
      </w:r>
      <w:r w:rsidR="00E74085" w:rsidRPr="00BF5DB9">
        <w:rPr>
          <w:bCs/>
          <w:lang w:val="en-GB"/>
        </w:rPr>
        <w:t xml:space="preserve"> coordinator together with </w:t>
      </w:r>
      <w:r w:rsidR="00DE5C99">
        <w:rPr>
          <w:bCs/>
          <w:lang w:val="en-GB"/>
        </w:rPr>
        <w:t xml:space="preserve">the </w:t>
      </w:r>
      <w:r w:rsidR="00EE1FD4" w:rsidRPr="00BF5DB9">
        <w:rPr>
          <w:bCs/>
          <w:lang w:val="en-GB"/>
        </w:rPr>
        <w:t>POPRC</w:t>
      </w:r>
      <w:r w:rsidR="00E74085" w:rsidRPr="00BF5DB9">
        <w:rPr>
          <w:bCs/>
          <w:lang w:val="en-GB"/>
        </w:rPr>
        <w:t xml:space="preserve"> </w:t>
      </w:r>
      <w:r w:rsidR="00B01E22">
        <w:rPr>
          <w:bCs/>
          <w:lang w:val="en-GB"/>
        </w:rPr>
        <w:t>p</w:t>
      </w:r>
      <w:r w:rsidR="003D581D">
        <w:rPr>
          <w:bCs/>
          <w:lang w:val="en-GB"/>
        </w:rPr>
        <w:t>rocess</w:t>
      </w:r>
      <w:r w:rsidR="00B01E22">
        <w:rPr>
          <w:bCs/>
          <w:lang w:val="en-GB"/>
        </w:rPr>
        <w:t xml:space="preserve"> </w:t>
      </w:r>
      <w:r w:rsidR="00E74085" w:rsidRPr="005A69F8">
        <w:rPr>
          <w:bCs/>
          <w:lang w:val="en-GB"/>
        </w:rPr>
        <w:t>coordinator organize preparatory meetings</w:t>
      </w:r>
      <w:r w:rsidR="00567CEC" w:rsidRPr="005A69F8">
        <w:rPr>
          <w:bCs/>
          <w:lang w:val="en-GB"/>
        </w:rPr>
        <w:t>.</w:t>
      </w:r>
      <w:r w:rsidR="00BB7009">
        <w:rPr>
          <w:bCs/>
          <w:lang w:val="en-GB"/>
        </w:rPr>
        <w:t xml:space="preserve"> </w:t>
      </w:r>
      <w:r w:rsidR="002F123C" w:rsidRPr="00A17521">
        <w:rPr>
          <w:bCs/>
          <w:lang w:val="en-GB"/>
        </w:rPr>
        <w:t>The POPRC meeting coordinator organize</w:t>
      </w:r>
      <w:r w:rsidR="005A69F8">
        <w:rPr>
          <w:bCs/>
          <w:lang w:val="en-GB"/>
        </w:rPr>
        <w:t>s</w:t>
      </w:r>
      <w:r w:rsidR="002F123C">
        <w:rPr>
          <w:bCs/>
          <w:lang w:val="en-GB"/>
        </w:rPr>
        <w:t xml:space="preserve"> teleconferences and face-to-face meetings </w:t>
      </w:r>
      <w:r w:rsidR="003F54CF">
        <w:rPr>
          <w:bCs/>
          <w:lang w:val="en-GB"/>
        </w:rPr>
        <w:t xml:space="preserve">with </w:t>
      </w:r>
      <w:r w:rsidR="002F123C" w:rsidRPr="00BF5DB9">
        <w:rPr>
          <w:bCs/>
          <w:lang w:val="en-GB"/>
        </w:rPr>
        <w:t xml:space="preserve">the </w:t>
      </w:r>
      <w:r w:rsidR="002F123C" w:rsidRPr="00BF5DB9">
        <w:rPr>
          <w:bCs/>
          <w:lang w:val="en-GB"/>
        </w:rPr>
        <w:lastRenderedPageBreak/>
        <w:t>Chair and vice-chair of the Committee</w:t>
      </w:r>
      <w:r w:rsidR="002F123C">
        <w:rPr>
          <w:bCs/>
          <w:lang w:val="en-GB"/>
        </w:rPr>
        <w:t xml:space="preserve"> </w:t>
      </w:r>
      <w:r w:rsidR="00E74085" w:rsidRPr="00BF5DB9">
        <w:rPr>
          <w:bCs/>
          <w:lang w:val="en-GB"/>
        </w:rPr>
        <w:t>as necessary, in collaboration with other officers involved in the meeting</w:t>
      </w:r>
      <w:r w:rsidR="008C7781">
        <w:rPr>
          <w:bCs/>
          <w:lang w:val="en-GB"/>
        </w:rPr>
        <w:t>;</w:t>
      </w:r>
    </w:p>
    <w:p w14:paraId="7A627E18" w14:textId="62A0960D" w:rsidR="007B3EED" w:rsidRPr="00514862" w:rsidRDefault="005A69F8" w:rsidP="005A69F8">
      <w:pPr>
        <w:numPr>
          <w:ilvl w:val="0"/>
          <w:numId w:val="14"/>
        </w:numPr>
        <w:spacing w:after="120"/>
        <w:ind w:left="1418" w:firstLine="1102"/>
        <w:rPr>
          <w:bCs/>
          <w:lang w:val="en-GB"/>
        </w:rPr>
      </w:pPr>
      <w:r>
        <w:rPr>
          <w:lang w:val="en-GB"/>
        </w:rPr>
        <w:t>T</w:t>
      </w:r>
      <w:r w:rsidR="00F8280D" w:rsidRPr="007B3EED">
        <w:rPr>
          <w:bCs/>
          <w:lang w:val="en-GB"/>
        </w:rPr>
        <w:t>he POPRC p</w:t>
      </w:r>
      <w:r w:rsidR="003D581D">
        <w:rPr>
          <w:bCs/>
          <w:lang w:val="en-GB"/>
        </w:rPr>
        <w:t>rocess</w:t>
      </w:r>
      <w:r w:rsidR="00F8280D" w:rsidRPr="007B3EED">
        <w:rPr>
          <w:bCs/>
          <w:lang w:val="en-GB"/>
        </w:rPr>
        <w:t xml:space="preserve"> coordinator takes the lead </w:t>
      </w:r>
      <w:r w:rsidR="00A27465" w:rsidRPr="007B3EED">
        <w:rPr>
          <w:bCs/>
          <w:lang w:val="en-GB"/>
        </w:rPr>
        <w:t xml:space="preserve">on </w:t>
      </w:r>
      <w:r w:rsidR="00F8280D" w:rsidRPr="007B3EED">
        <w:rPr>
          <w:bCs/>
          <w:lang w:val="en-GB"/>
        </w:rPr>
        <w:t xml:space="preserve">logistics, workplan development, fund-raising, intranet webpage, </w:t>
      </w:r>
      <w:r w:rsidR="00C53FDB">
        <w:rPr>
          <w:bCs/>
          <w:lang w:val="en-GB"/>
        </w:rPr>
        <w:t xml:space="preserve">and </w:t>
      </w:r>
      <w:r w:rsidR="00F8280D" w:rsidRPr="007B3EED">
        <w:rPr>
          <w:bCs/>
          <w:lang w:val="en-GB"/>
        </w:rPr>
        <w:t>press/outreach</w:t>
      </w:r>
      <w:r w:rsidR="00DE5C99">
        <w:rPr>
          <w:bCs/>
          <w:lang w:val="en-GB"/>
        </w:rPr>
        <w:t xml:space="preserve"> </w:t>
      </w:r>
      <w:r w:rsidR="00DE5C99" w:rsidRPr="007B3EED">
        <w:rPr>
          <w:lang w:val="en-GB"/>
        </w:rPr>
        <w:t>in consultation with</w:t>
      </w:r>
      <w:r w:rsidR="00DE5C99">
        <w:rPr>
          <w:lang w:val="en-GB"/>
        </w:rPr>
        <w:t xml:space="preserve"> </w:t>
      </w:r>
      <w:r w:rsidR="00C53FDB">
        <w:rPr>
          <w:lang w:val="en-GB"/>
        </w:rPr>
        <w:t xml:space="preserve">the </w:t>
      </w:r>
      <w:r w:rsidR="00D91531">
        <w:rPr>
          <w:bCs/>
          <w:lang w:val="en-GB"/>
        </w:rPr>
        <w:t>POPRC technical</w:t>
      </w:r>
      <w:r w:rsidR="00D91531" w:rsidRPr="00BF5DB9">
        <w:rPr>
          <w:bCs/>
          <w:lang w:val="en-GB"/>
        </w:rPr>
        <w:t xml:space="preserve"> </w:t>
      </w:r>
      <w:r w:rsidR="00DE5C99">
        <w:rPr>
          <w:lang w:val="en-GB"/>
        </w:rPr>
        <w:t>coordinator</w:t>
      </w:r>
      <w:r w:rsidR="00C53FDB">
        <w:rPr>
          <w:lang w:val="en-GB"/>
        </w:rPr>
        <w:t>,</w:t>
      </w:r>
      <w:r w:rsidR="00DE5C99">
        <w:rPr>
          <w:lang w:val="en-GB"/>
        </w:rPr>
        <w:t xml:space="preserve"> as necessary. </w:t>
      </w:r>
      <w:r w:rsidR="00007F91" w:rsidRPr="00514862">
        <w:rPr>
          <w:lang w:val="en-GB"/>
        </w:rPr>
        <w:t>The POPRC p</w:t>
      </w:r>
      <w:r w:rsidR="003D581D">
        <w:rPr>
          <w:lang w:val="en-GB"/>
        </w:rPr>
        <w:t>rocess</w:t>
      </w:r>
      <w:r w:rsidR="00007F91" w:rsidRPr="00514862">
        <w:rPr>
          <w:lang w:val="en-GB"/>
        </w:rPr>
        <w:t xml:space="preserve"> coordinator </w:t>
      </w:r>
      <w:r w:rsidR="00A91584" w:rsidRPr="00514862">
        <w:rPr>
          <w:lang w:val="en-GB"/>
        </w:rPr>
        <w:t xml:space="preserve">also </w:t>
      </w:r>
      <w:r w:rsidR="00007F91" w:rsidRPr="00514862">
        <w:rPr>
          <w:lang w:val="en-GB"/>
        </w:rPr>
        <w:t xml:space="preserve">develops the draft provisional agenda, the scenario </w:t>
      </w:r>
      <w:proofErr w:type="gramStart"/>
      <w:r w:rsidR="00007F91" w:rsidRPr="00514862">
        <w:rPr>
          <w:lang w:val="en-GB"/>
        </w:rPr>
        <w:t>note</w:t>
      </w:r>
      <w:proofErr w:type="gramEnd"/>
      <w:r w:rsidR="00007F91" w:rsidRPr="00514862">
        <w:rPr>
          <w:lang w:val="en-GB"/>
        </w:rPr>
        <w:t xml:space="preserve"> and schedule of the meeting, in coordination with the POPRC meeting coordinator and </w:t>
      </w:r>
      <w:r w:rsidR="00D91531">
        <w:rPr>
          <w:lang w:val="en-GB"/>
        </w:rPr>
        <w:t xml:space="preserve">the </w:t>
      </w:r>
      <w:r w:rsidR="00D91531">
        <w:rPr>
          <w:bCs/>
          <w:lang w:val="en-GB"/>
        </w:rPr>
        <w:t>POPRC technical</w:t>
      </w:r>
      <w:r w:rsidR="00D91531" w:rsidRPr="00BF5DB9">
        <w:rPr>
          <w:bCs/>
          <w:lang w:val="en-GB"/>
        </w:rPr>
        <w:t xml:space="preserve"> </w:t>
      </w:r>
      <w:r w:rsidR="00007F91" w:rsidRPr="00514862">
        <w:rPr>
          <w:lang w:val="en-GB"/>
        </w:rPr>
        <w:t>coordinator</w:t>
      </w:r>
      <w:r w:rsidR="008C7781">
        <w:rPr>
          <w:lang w:val="en-GB"/>
        </w:rPr>
        <w:t>;</w:t>
      </w:r>
    </w:p>
    <w:p w14:paraId="2F8C5688" w14:textId="45A96071" w:rsidR="007B3EED" w:rsidRPr="007B3EED" w:rsidRDefault="00DE5C99" w:rsidP="005D46F6">
      <w:pPr>
        <w:numPr>
          <w:ilvl w:val="0"/>
          <w:numId w:val="14"/>
        </w:numPr>
        <w:spacing w:after="120"/>
        <w:ind w:left="1418" w:firstLine="1102"/>
        <w:rPr>
          <w:bCs/>
          <w:lang w:val="en-GB"/>
        </w:rPr>
      </w:pPr>
      <w:r>
        <w:rPr>
          <w:lang w:val="en-GB"/>
        </w:rPr>
        <w:t xml:space="preserve">The </w:t>
      </w:r>
      <w:r w:rsidR="00D91531">
        <w:rPr>
          <w:bCs/>
          <w:lang w:val="en-GB"/>
        </w:rPr>
        <w:t>POPRC technical</w:t>
      </w:r>
      <w:r w:rsidR="00D91531" w:rsidRPr="00BF5DB9">
        <w:rPr>
          <w:bCs/>
          <w:lang w:val="en-GB"/>
        </w:rPr>
        <w:t xml:space="preserve"> </w:t>
      </w:r>
      <w:r w:rsidR="007B3EED" w:rsidRPr="007B3EED">
        <w:rPr>
          <w:bCs/>
          <w:lang w:val="en-GB"/>
        </w:rPr>
        <w:t>coordinator</w:t>
      </w:r>
      <w:r w:rsidR="007B3EED" w:rsidRPr="007B3EED">
        <w:rPr>
          <w:lang w:val="en-GB"/>
        </w:rPr>
        <w:t xml:space="preserve"> is responsible for coordinating the organization of side-events in consultation with </w:t>
      </w:r>
      <w:r w:rsidR="00C46E6B">
        <w:rPr>
          <w:lang w:val="en-GB"/>
        </w:rPr>
        <w:t xml:space="preserve">the </w:t>
      </w:r>
      <w:r w:rsidR="007B3EED" w:rsidRPr="007B3EED">
        <w:rPr>
          <w:lang w:val="en-GB"/>
        </w:rPr>
        <w:t>POPRC p</w:t>
      </w:r>
      <w:r w:rsidR="003D581D">
        <w:rPr>
          <w:lang w:val="en-GB"/>
        </w:rPr>
        <w:t>rocess</w:t>
      </w:r>
      <w:r w:rsidR="007B3EED" w:rsidRPr="007B3EED">
        <w:rPr>
          <w:lang w:val="en-GB"/>
        </w:rPr>
        <w:t xml:space="preserve"> coordinator as necessary</w:t>
      </w:r>
      <w:r w:rsidR="008C7781">
        <w:rPr>
          <w:lang w:val="en-GB"/>
        </w:rPr>
        <w:t>;</w:t>
      </w:r>
      <w:r w:rsidR="007B3EED" w:rsidRPr="007B3EED">
        <w:rPr>
          <w:lang w:val="en-GB"/>
        </w:rPr>
        <w:t xml:space="preserve"> </w:t>
      </w:r>
    </w:p>
    <w:p w14:paraId="35E063F7" w14:textId="0DE5A239" w:rsidR="006228B5" w:rsidRPr="00DE5C99" w:rsidRDefault="005D46F6" w:rsidP="005D46F6">
      <w:pPr>
        <w:numPr>
          <w:ilvl w:val="0"/>
          <w:numId w:val="14"/>
        </w:numPr>
        <w:spacing w:after="120"/>
        <w:ind w:left="1418" w:firstLine="1102"/>
        <w:rPr>
          <w:bCs/>
          <w:lang w:val="en-GB"/>
        </w:rPr>
      </w:pPr>
      <w:r w:rsidRPr="00DE5C99">
        <w:rPr>
          <w:bCs/>
          <w:lang w:val="en-GB"/>
        </w:rPr>
        <w:t xml:space="preserve">The </w:t>
      </w:r>
      <w:r w:rsidR="00877C09">
        <w:rPr>
          <w:bCs/>
          <w:lang w:val="en-GB"/>
        </w:rPr>
        <w:t xml:space="preserve">POPRC </w:t>
      </w:r>
      <w:r w:rsidRPr="00DE5C99">
        <w:rPr>
          <w:bCs/>
          <w:lang w:val="en-GB"/>
        </w:rPr>
        <w:t>meeting coordinator</w:t>
      </w:r>
      <w:r w:rsidR="00AA756F">
        <w:rPr>
          <w:bCs/>
          <w:lang w:val="en-GB"/>
        </w:rPr>
        <w:t xml:space="preserve"> in close</w:t>
      </w:r>
      <w:r w:rsidRPr="00DE5C99">
        <w:rPr>
          <w:bCs/>
          <w:lang w:val="en-GB"/>
        </w:rPr>
        <w:t xml:space="preserve"> </w:t>
      </w:r>
      <w:r w:rsidR="00AA756F">
        <w:rPr>
          <w:bCs/>
          <w:lang w:val="en-GB"/>
        </w:rPr>
        <w:t xml:space="preserve">collaboration with the technical and process coordinators </w:t>
      </w:r>
      <w:r w:rsidRPr="00DE5C99">
        <w:rPr>
          <w:bCs/>
          <w:lang w:val="en-GB"/>
        </w:rPr>
        <w:t>develop the list of staff assignments and functions at the meeting, establishes the staff travel list and coordinates the preparation of MSOPs</w:t>
      </w:r>
      <w:r w:rsidR="008C7781">
        <w:rPr>
          <w:bCs/>
          <w:lang w:val="en-GB"/>
        </w:rPr>
        <w:t>;</w:t>
      </w:r>
      <w:r w:rsidRPr="00DE5C99">
        <w:rPr>
          <w:bCs/>
          <w:lang w:val="en-GB"/>
        </w:rPr>
        <w:t xml:space="preserve">  </w:t>
      </w:r>
    </w:p>
    <w:p w14:paraId="7C67DC49" w14:textId="77777777" w:rsidR="005D46F6" w:rsidRDefault="00A27465" w:rsidP="00A27465">
      <w:pPr>
        <w:spacing w:after="120"/>
        <w:ind w:left="1440" w:firstLine="720"/>
        <w:rPr>
          <w:bCs/>
          <w:lang w:val="en-GB"/>
        </w:rPr>
      </w:pPr>
      <w:r>
        <w:rPr>
          <w:bCs/>
          <w:lang w:val="en-GB"/>
        </w:rPr>
        <w:t>(</w:t>
      </w:r>
      <w:r w:rsidR="00936B5C">
        <w:rPr>
          <w:bCs/>
          <w:lang w:val="en-GB"/>
        </w:rPr>
        <w:t>b</w:t>
      </w:r>
      <w:r>
        <w:rPr>
          <w:bCs/>
          <w:lang w:val="en-GB"/>
        </w:rPr>
        <w:t>)</w:t>
      </w:r>
      <w:r>
        <w:rPr>
          <w:bCs/>
          <w:lang w:val="en-GB"/>
        </w:rPr>
        <w:tab/>
      </w:r>
      <w:r w:rsidR="002F123C" w:rsidRPr="00F22B23">
        <w:rPr>
          <w:bCs/>
          <w:lang w:val="en-GB"/>
        </w:rPr>
        <w:t>During the POPRC meeting</w:t>
      </w:r>
      <w:r w:rsidR="005D46F6">
        <w:rPr>
          <w:bCs/>
          <w:lang w:val="en-GB"/>
        </w:rPr>
        <w:t>:</w:t>
      </w:r>
    </w:p>
    <w:p w14:paraId="377AC964" w14:textId="45FFC602" w:rsidR="00CE55BB" w:rsidRPr="00BF5DB9" w:rsidRDefault="005D46F6" w:rsidP="005D46F6">
      <w:pPr>
        <w:numPr>
          <w:ilvl w:val="0"/>
          <w:numId w:val="14"/>
        </w:numPr>
        <w:spacing w:after="120"/>
        <w:ind w:left="1418" w:firstLine="1102"/>
        <w:rPr>
          <w:bCs/>
          <w:lang w:val="en-GB"/>
        </w:rPr>
      </w:pPr>
      <w:r>
        <w:rPr>
          <w:bCs/>
          <w:lang w:val="en-GB"/>
        </w:rPr>
        <w:t>T</w:t>
      </w:r>
      <w:r w:rsidR="00A27465" w:rsidRPr="00F22B23">
        <w:rPr>
          <w:bCs/>
          <w:lang w:val="en-GB"/>
        </w:rPr>
        <w:t>he POPRC meeting coordinator</w:t>
      </w:r>
      <w:r w:rsidR="00DE5C99">
        <w:rPr>
          <w:bCs/>
          <w:lang w:val="en-GB"/>
        </w:rPr>
        <w:t xml:space="preserve"> </w:t>
      </w:r>
      <w:r w:rsidR="0030164E">
        <w:rPr>
          <w:bCs/>
          <w:lang w:val="en-GB"/>
        </w:rPr>
        <w:t xml:space="preserve">provides </w:t>
      </w:r>
      <w:r w:rsidR="00CE55BB" w:rsidRPr="00F22B23">
        <w:rPr>
          <w:bCs/>
          <w:lang w:val="en-GB"/>
        </w:rPr>
        <w:t xml:space="preserve">overall coordination, including support to the Chair of the Committee during the plenary sessions, in close collaboration with </w:t>
      </w:r>
      <w:r w:rsidR="00DE5C99">
        <w:rPr>
          <w:bCs/>
          <w:lang w:val="en-GB"/>
        </w:rPr>
        <w:t xml:space="preserve">the </w:t>
      </w:r>
      <w:r w:rsidR="008C7781">
        <w:rPr>
          <w:bCs/>
          <w:lang w:val="en-GB"/>
        </w:rPr>
        <w:t>STA</w:t>
      </w:r>
      <w:r w:rsidR="008C7781" w:rsidRPr="00F22B23">
        <w:rPr>
          <w:bCs/>
          <w:lang w:val="en-GB"/>
        </w:rPr>
        <w:t xml:space="preserve"> </w:t>
      </w:r>
      <w:r w:rsidR="00930B01">
        <w:rPr>
          <w:bCs/>
          <w:lang w:val="en-GB"/>
        </w:rPr>
        <w:t xml:space="preserve">and </w:t>
      </w:r>
      <w:r w:rsidR="008C7781">
        <w:rPr>
          <w:bCs/>
          <w:lang w:val="en-GB"/>
        </w:rPr>
        <w:t xml:space="preserve">GB </w:t>
      </w:r>
      <w:r w:rsidR="00CE55BB" w:rsidRPr="00F22B23">
        <w:rPr>
          <w:bCs/>
          <w:lang w:val="en-GB"/>
        </w:rPr>
        <w:t>Branch Chief</w:t>
      </w:r>
      <w:r w:rsidR="00930B01">
        <w:rPr>
          <w:bCs/>
          <w:lang w:val="en-GB"/>
        </w:rPr>
        <w:t>s</w:t>
      </w:r>
      <w:r w:rsidR="008C7781">
        <w:rPr>
          <w:bCs/>
          <w:lang w:val="en-GB"/>
        </w:rPr>
        <w:t>;</w:t>
      </w:r>
      <w:r w:rsidR="0042089B">
        <w:rPr>
          <w:bCs/>
          <w:lang w:val="en-GB"/>
        </w:rPr>
        <w:t xml:space="preserve">  </w:t>
      </w:r>
    </w:p>
    <w:p w14:paraId="7C8CD851" w14:textId="666E5D47" w:rsidR="00CE55BB" w:rsidRDefault="00DE5C99" w:rsidP="005D46F6">
      <w:pPr>
        <w:numPr>
          <w:ilvl w:val="0"/>
          <w:numId w:val="14"/>
        </w:numPr>
        <w:spacing w:after="120"/>
        <w:ind w:left="1418" w:firstLine="1102"/>
        <w:rPr>
          <w:bCs/>
          <w:lang w:val="en-GB"/>
        </w:rPr>
      </w:pPr>
      <w:r>
        <w:rPr>
          <w:bCs/>
          <w:lang w:val="en-GB"/>
        </w:rPr>
        <w:t xml:space="preserve">The </w:t>
      </w:r>
      <w:r w:rsidR="008C7781">
        <w:rPr>
          <w:bCs/>
          <w:lang w:val="en-GB"/>
        </w:rPr>
        <w:t>STA</w:t>
      </w:r>
      <w:r w:rsidR="008C7781" w:rsidRPr="00BF5DB9">
        <w:rPr>
          <w:bCs/>
          <w:lang w:val="en-GB"/>
        </w:rPr>
        <w:t xml:space="preserve"> </w:t>
      </w:r>
      <w:r w:rsidR="00CE55BB" w:rsidRPr="00BF5DB9">
        <w:rPr>
          <w:bCs/>
          <w:lang w:val="en-GB"/>
        </w:rPr>
        <w:t>Branch Chief is responsible for providing overall scientific support to the Committee, including to the Chair</w:t>
      </w:r>
      <w:r w:rsidR="008C7781">
        <w:rPr>
          <w:bCs/>
          <w:lang w:val="en-GB"/>
        </w:rPr>
        <w:t>;</w:t>
      </w:r>
    </w:p>
    <w:p w14:paraId="42539735" w14:textId="32FD62A8" w:rsidR="007B3EED" w:rsidRDefault="00AA756F" w:rsidP="005D46F6">
      <w:pPr>
        <w:numPr>
          <w:ilvl w:val="0"/>
          <w:numId w:val="14"/>
        </w:numPr>
        <w:spacing w:after="120"/>
        <w:ind w:left="1418" w:firstLine="1102"/>
        <w:rPr>
          <w:bCs/>
          <w:lang w:val="en-GB"/>
        </w:rPr>
      </w:pPr>
      <w:r>
        <w:rPr>
          <w:bCs/>
          <w:lang w:val="en-GB"/>
        </w:rPr>
        <w:t xml:space="preserve">Assigned </w:t>
      </w:r>
      <w:r w:rsidR="007B3EED" w:rsidRPr="00BF5DB9">
        <w:rPr>
          <w:bCs/>
          <w:lang w:val="en-GB"/>
        </w:rPr>
        <w:t xml:space="preserve">officers introduce pre-session documents and facilitate the work of contact groups or other groups established during the meeting, including </w:t>
      </w:r>
      <w:r w:rsidR="00D700DF">
        <w:rPr>
          <w:bCs/>
          <w:lang w:val="en-GB"/>
        </w:rPr>
        <w:t xml:space="preserve">the </w:t>
      </w:r>
      <w:r w:rsidR="007B3EED" w:rsidRPr="00BF5DB9">
        <w:rPr>
          <w:bCs/>
          <w:lang w:val="en-GB"/>
        </w:rPr>
        <w:t>provision of relevant documents, highlighting past decisions or practices, or other assistance related to established processes and procedures</w:t>
      </w:r>
      <w:r w:rsidR="008C7781">
        <w:rPr>
          <w:bCs/>
          <w:lang w:val="en-GB"/>
        </w:rPr>
        <w:t>;</w:t>
      </w:r>
    </w:p>
    <w:p w14:paraId="1BDCA8CB" w14:textId="77777777" w:rsidR="005D46F6" w:rsidRPr="00514862" w:rsidRDefault="00224C2E" w:rsidP="00A27465">
      <w:pPr>
        <w:spacing w:after="120"/>
        <w:ind w:left="1440" w:firstLine="720"/>
        <w:rPr>
          <w:lang w:val="en-GB"/>
        </w:rPr>
      </w:pPr>
      <w:r w:rsidRPr="00514862">
        <w:rPr>
          <w:lang w:val="en-GB"/>
        </w:rPr>
        <w:t>(</w:t>
      </w:r>
      <w:r w:rsidR="00936B5C">
        <w:rPr>
          <w:lang w:val="en-GB"/>
        </w:rPr>
        <w:t>c</w:t>
      </w:r>
      <w:r w:rsidRPr="00514862">
        <w:rPr>
          <w:lang w:val="en-GB"/>
        </w:rPr>
        <w:t xml:space="preserve">) </w:t>
      </w:r>
      <w:r w:rsidRPr="00514862">
        <w:rPr>
          <w:lang w:val="en-GB"/>
        </w:rPr>
        <w:tab/>
        <w:t xml:space="preserve">Following </w:t>
      </w:r>
      <w:r w:rsidR="00397A12" w:rsidRPr="00514862">
        <w:rPr>
          <w:lang w:val="en-GB"/>
        </w:rPr>
        <w:t>the</w:t>
      </w:r>
      <w:r w:rsidRPr="00514862">
        <w:rPr>
          <w:lang w:val="en-GB"/>
        </w:rPr>
        <w:t xml:space="preserve"> POPRC meeting</w:t>
      </w:r>
      <w:r w:rsidR="005D46F6" w:rsidRPr="00514862">
        <w:rPr>
          <w:lang w:val="en-GB"/>
        </w:rPr>
        <w:t>:</w:t>
      </w:r>
    </w:p>
    <w:p w14:paraId="7B4433BB" w14:textId="0A20C39C" w:rsidR="005D46F6" w:rsidRPr="00D8099C" w:rsidRDefault="00F15974" w:rsidP="005D46F6">
      <w:pPr>
        <w:numPr>
          <w:ilvl w:val="0"/>
          <w:numId w:val="14"/>
        </w:numPr>
        <w:spacing w:after="120"/>
        <w:ind w:left="1418" w:firstLine="1102"/>
        <w:rPr>
          <w:bCs/>
          <w:lang w:val="en-GB"/>
        </w:rPr>
      </w:pPr>
      <w:r w:rsidRPr="00D8099C">
        <w:rPr>
          <w:lang w:val="en-GB"/>
        </w:rPr>
        <w:t>T</w:t>
      </w:r>
      <w:r w:rsidR="00224C2E" w:rsidRPr="00D8099C">
        <w:rPr>
          <w:lang w:val="en-GB"/>
        </w:rPr>
        <w:t xml:space="preserve">he </w:t>
      </w:r>
      <w:r w:rsidR="00576B0D" w:rsidRPr="00D8099C">
        <w:rPr>
          <w:bCs/>
          <w:lang w:val="en-GB"/>
        </w:rPr>
        <w:t xml:space="preserve">POPRC technical </w:t>
      </w:r>
      <w:r w:rsidR="00224C2E" w:rsidRPr="00D8099C">
        <w:rPr>
          <w:lang w:val="en-GB"/>
        </w:rPr>
        <w:t xml:space="preserve">coordinator takes the lead in coordinating the development of the follow-up information </w:t>
      </w:r>
      <w:r w:rsidR="00224C2E" w:rsidRPr="00514C71">
        <w:rPr>
          <w:lang w:val="en-GB"/>
        </w:rPr>
        <w:t>request</w:t>
      </w:r>
      <w:r w:rsidR="00224C2E" w:rsidRPr="00D8099C">
        <w:rPr>
          <w:lang w:val="en-GB"/>
        </w:rPr>
        <w:t xml:space="preserve"> letter in line SOP#14 on “Information requests to </w:t>
      </w:r>
      <w:r w:rsidR="0034616D">
        <w:rPr>
          <w:lang w:val="en-GB"/>
        </w:rPr>
        <w:t>P</w:t>
      </w:r>
      <w:r w:rsidR="00224C2E" w:rsidRPr="00D8099C">
        <w:rPr>
          <w:lang w:val="en-GB"/>
        </w:rPr>
        <w:t xml:space="preserve">arties in follow-up to meetings of the conferences of the </w:t>
      </w:r>
      <w:r w:rsidR="0034616D">
        <w:rPr>
          <w:lang w:val="en-GB"/>
        </w:rPr>
        <w:t>P</w:t>
      </w:r>
      <w:r w:rsidR="00224C2E" w:rsidRPr="00D8099C">
        <w:rPr>
          <w:lang w:val="en-GB"/>
        </w:rPr>
        <w:t>arties and its subsidiary bodies”</w:t>
      </w:r>
      <w:r w:rsidR="008C7781">
        <w:rPr>
          <w:lang w:val="en-GB"/>
        </w:rPr>
        <w:t>;</w:t>
      </w:r>
      <w:r w:rsidR="00224C2E" w:rsidRPr="00D8099C">
        <w:rPr>
          <w:lang w:val="en-GB"/>
        </w:rPr>
        <w:t xml:space="preserve"> </w:t>
      </w:r>
    </w:p>
    <w:p w14:paraId="028191C9" w14:textId="77777777" w:rsidR="00224C2E" w:rsidRPr="00D8099C" w:rsidRDefault="00224C2E" w:rsidP="005D46F6">
      <w:pPr>
        <w:numPr>
          <w:ilvl w:val="0"/>
          <w:numId w:val="14"/>
        </w:numPr>
        <w:spacing w:after="120"/>
        <w:ind w:left="1418" w:firstLine="1102"/>
        <w:rPr>
          <w:bCs/>
          <w:lang w:val="en-GB"/>
        </w:rPr>
      </w:pPr>
      <w:r w:rsidRPr="00D8099C">
        <w:rPr>
          <w:lang w:val="en-GB"/>
        </w:rPr>
        <w:t>The POPRC p</w:t>
      </w:r>
      <w:r w:rsidR="005239BF" w:rsidRPr="00D8099C">
        <w:rPr>
          <w:lang w:val="en-GB"/>
        </w:rPr>
        <w:t>rocess</w:t>
      </w:r>
      <w:r w:rsidRPr="00D8099C">
        <w:rPr>
          <w:lang w:val="en-GB"/>
        </w:rPr>
        <w:t xml:space="preserve"> coordinator </w:t>
      </w:r>
      <w:r w:rsidR="00007F91" w:rsidRPr="00D8099C">
        <w:rPr>
          <w:lang w:val="en-GB"/>
        </w:rPr>
        <w:t>coordinates the review of</w:t>
      </w:r>
      <w:r w:rsidR="009C566D" w:rsidRPr="00D8099C">
        <w:rPr>
          <w:lang w:val="en-GB"/>
        </w:rPr>
        <w:t xml:space="preserve"> the meeting report and </w:t>
      </w:r>
      <w:r w:rsidR="00A91584" w:rsidRPr="00D8099C">
        <w:rPr>
          <w:lang w:val="en-GB"/>
        </w:rPr>
        <w:t xml:space="preserve">the compilation of </w:t>
      </w:r>
      <w:r w:rsidR="00007F91" w:rsidRPr="00D8099C">
        <w:rPr>
          <w:lang w:val="en-GB"/>
        </w:rPr>
        <w:t xml:space="preserve">draft decisions with relevant officers </w:t>
      </w:r>
      <w:r w:rsidR="00007F91" w:rsidRPr="00D8099C">
        <w:t xml:space="preserve">in consultation with the meeting coordinator, </w:t>
      </w:r>
      <w:r w:rsidRPr="00D8099C">
        <w:rPr>
          <w:lang w:val="en-GB"/>
        </w:rPr>
        <w:t>undertakes an internal lessons learned exercise with all officers involved in the meeting</w:t>
      </w:r>
      <w:r w:rsidR="00007F91" w:rsidRPr="00D8099C">
        <w:rPr>
          <w:lang w:val="en-GB"/>
        </w:rPr>
        <w:t xml:space="preserve"> and</w:t>
      </w:r>
      <w:r w:rsidR="009C566D" w:rsidRPr="00D8099C">
        <w:rPr>
          <w:lang w:val="en-GB"/>
        </w:rPr>
        <w:t xml:space="preserve"> coordinates </w:t>
      </w:r>
      <w:r w:rsidR="00A91584" w:rsidRPr="00D8099C">
        <w:rPr>
          <w:lang w:val="en-GB"/>
        </w:rPr>
        <w:t xml:space="preserve">the </w:t>
      </w:r>
      <w:r w:rsidR="009C566D" w:rsidRPr="00D8099C">
        <w:rPr>
          <w:lang w:val="en-GB"/>
        </w:rPr>
        <w:t>developme</w:t>
      </w:r>
      <w:r w:rsidR="009C566D" w:rsidRPr="00514C71">
        <w:rPr>
          <w:lang w:val="en-GB"/>
        </w:rPr>
        <w:t>nt</w:t>
      </w:r>
      <w:r w:rsidR="005123E1" w:rsidRPr="00514C71">
        <w:rPr>
          <w:lang w:val="en-GB"/>
        </w:rPr>
        <w:t xml:space="preserve"> and send out</w:t>
      </w:r>
      <w:r w:rsidR="009C566D" w:rsidRPr="00D8099C">
        <w:rPr>
          <w:lang w:val="en-GB"/>
        </w:rPr>
        <w:t xml:space="preserve"> of thank you letters</w:t>
      </w:r>
      <w:r w:rsidRPr="00D8099C">
        <w:rPr>
          <w:lang w:val="en-GB"/>
        </w:rPr>
        <w:t xml:space="preserve">. </w:t>
      </w:r>
    </w:p>
    <w:p w14:paraId="3FC28172" w14:textId="77777777" w:rsidR="009A14C7" w:rsidRPr="00D8099C" w:rsidRDefault="000314D4" w:rsidP="00DE5C99">
      <w:pPr>
        <w:spacing w:after="120"/>
        <w:ind w:left="1440"/>
        <w:rPr>
          <w:b/>
          <w:lang w:val="en-GB"/>
        </w:rPr>
      </w:pPr>
      <w:r w:rsidRPr="00D8099C">
        <w:rPr>
          <w:b/>
          <w:lang w:val="en-GB"/>
        </w:rPr>
        <w:t xml:space="preserve">C. </w:t>
      </w:r>
      <w:r w:rsidRPr="00D8099C">
        <w:rPr>
          <w:b/>
          <w:lang w:val="en-GB"/>
        </w:rPr>
        <w:tab/>
      </w:r>
      <w:r w:rsidR="009A14C7" w:rsidRPr="00D8099C">
        <w:rPr>
          <w:b/>
          <w:lang w:val="en-GB"/>
        </w:rPr>
        <w:t>Intersessional work of the Committee</w:t>
      </w:r>
    </w:p>
    <w:p w14:paraId="23ECB973" w14:textId="25FCF1E5" w:rsidR="009A14C7" w:rsidRPr="00D8099C" w:rsidRDefault="00530BDB" w:rsidP="001A615C">
      <w:pPr>
        <w:spacing w:after="120"/>
        <w:ind w:left="1440"/>
        <w:rPr>
          <w:lang w:val="en-GB"/>
        </w:rPr>
      </w:pPr>
      <w:r w:rsidRPr="00D8099C">
        <w:rPr>
          <w:lang w:val="en-GB"/>
        </w:rPr>
        <w:t>7</w:t>
      </w:r>
      <w:r w:rsidR="001A615C" w:rsidRPr="00D8099C">
        <w:rPr>
          <w:lang w:val="en-GB"/>
        </w:rPr>
        <w:t>.</w:t>
      </w:r>
      <w:r w:rsidR="001A615C" w:rsidRPr="00D8099C">
        <w:rPr>
          <w:lang w:val="en-GB"/>
        </w:rPr>
        <w:tab/>
      </w:r>
      <w:r w:rsidR="00A05714" w:rsidRPr="00D8099C">
        <w:rPr>
          <w:lang w:val="en-GB"/>
        </w:rPr>
        <w:t xml:space="preserve">The </w:t>
      </w:r>
      <w:r w:rsidR="006F6088" w:rsidRPr="00D8099C">
        <w:rPr>
          <w:bCs/>
          <w:lang w:val="en-GB"/>
        </w:rPr>
        <w:t>POPRC technical</w:t>
      </w:r>
      <w:r w:rsidR="00974E55" w:rsidRPr="00D8099C">
        <w:rPr>
          <w:lang w:val="en-GB"/>
        </w:rPr>
        <w:t xml:space="preserve"> coordinator</w:t>
      </w:r>
      <w:r w:rsidR="00A05714" w:rsidRPr="00D8099C">
        <w:rPr>
          <w:lang w:val="en-GB"/>
        </w:rPr>
        <w:t xml:space="preserve"> </w:t>
      </w:r>
      <w:r w:rsidR="009A14C7" w:rsidRPr="00D8099C">
        <w:rPr>
          <w:lang w:val="en-GB"/>
        </w:rPr>
        <w:t xml:space="preserve">is responsible for </w:t>
      </w:r>
      <w:r w:rsidR="00BA2046" w:rsidRPr="00D8099C">
        <w:rPr>
          <w:lang w:val="en-GB"/>
        </w:rPr>
        <w:t xml:space="preserve">the </w:t>
      </w:r>
      <w:r w:rsidR="009A14C7" w:rsidRPr="00D8099C">
        <w:rPr>
          <w:lang w:val="en-GB"/>
        </w:rPr>
        <w:t xml:space="preserve">overall coordination of activities to support scientific and technical work of the Committee undertaken intersessionally, including management of the composition of working groups, consultation with the Chair of the Committee </w:t>
      </w:r>
      <w:r w:rsidR="009A14C7" w:rsidRPr="00D8099C">
        <w:rPr>
          <w:lang w:val="en-GB"/>
        </w:rPr>
        <w:lastRenderedPageBreak/>
        <w:t xml:space="preserve">on scientific and technical matters, and for communication with </w:t>
      </w:r>
      <w:r w:rsidR="0034616D">
        <w:rPr>
          <w:lang w:val="en-GB"/>
        </w:rPr>
        <w:t>P</w:t>
      </w:r>
      <w:r w:rsidR="009A14C7" w:rsidRPr="00D8099C">
        <w:rPr>
          <w:lang w:val="en-GB"/>
        </w:rPr>
        <w:t>arties and observers and ad-hoc working groups.</w:t>
      </w:r>
    </w:p>
    <w:p w14:paraId="4B9342C0" w14:textId="73D896D6" w:rsidR="009A14C7" w:rsidRPr="00BF5DB9" w:rsidRDefault="00530BDB" w:rsidP="00415191">
      <w:pPr>
        <w:spacing w:after="120"/>
        <w:ind w:left="1440"/>
        <w:rPr>
          <w:lang w:val="en-GB"/>
        </w:rPr>
      </w:pPr>
      <w:r w:rsidRPr="00D8099C">
        <w:rPr>
          <w:lang w:val="en-GB"/>
        </w:rPr>
        <w:t>8</w:t>
      </w:r>
      <w:r w:rsidR="006D0E1A" w:rsidRPr="00D8099C">
        <w:rPr>
          <w:lang w:val="en-GB"/>
        </w:rPr>
        <w:t xml:space="preserve">. </w:t>
      </w:r>
      <w:r w:rsidR="00037847">
        <w:rPr>
          <w:lang w:val="en-GB"/>
        </w:rPr>
        <w:tab/>
      </w:r>
      <w:r w:rsidR="00BA2046" w:rsidRPr="00F246D9">
        <w:rPr>
          <w:lang w:val="en-GB"/>
        </w:rPr>
        <w:t xml:space="preserve">The </w:t>
      </w:r>
      <w:r w:rsidR="008C7781">
        <w:rPr>
          <w:lang w:val="en-GB"/>
        </w:rPr>
        <w:t>STA</w:t>
      </w:r>
      <w:r w:rsidR="008C7781" w:rsidRPr="00F246D9">
        <w:rPr>
          <w:lang w:val="en-GB"/>
        </w:rPr>
        <w:t xml:space="preserve"> </w:t>
      </w:r>
      <w:r w:rsidR="009A14C7" w:rsidRPr="00F246D9">
        <w:rPr>
          <w:lang w:val="en-GB"/>
        </w:rPr>
        <w:t>officers, in consultation</w:t>
      </w:r>
      <w:r w:rsidR="009A14C7" w:rsidRPr="00D8099C">
        <w:rPr>
          <w:lang w:val="en-GB"/>
        </w:rPr>
        <w:t xml:space="preserve"> with </w:t>
      </w:r>
      <w:r w:rsidR="00BA2046" w:rsidRPr="00D8099C">
        <w:rPr>
          <w:lang w:val="en-GB"/>
        </w:rPr>
        <w:t xml:space="preserve">the </w:t>
      </w:r>
      <w:r w:rsidR="006F6088" w:rsidRPr="00D8099C">
        <w:rPr>
          <w:bCs/>
          <w:lang w:val="en-GB"/>
        </w:rPr>
        <w:t>POPRC technical</w:t>
      </w:r>
      <w:r w:rsidR="008B3261" w:rsidRPr="00D8099C">
        <w:rPr>
          <w:lang w:val="en-GB"/>
        </w:rPr>
        <w:t xml:space="preserve"> coordinator</w:t>
      </w:r>
      <w:r w:rsidR="009A14C7" w:rsidRPr="00D8099C">
        <w:rPr>
          <w:lang w:val="en-GB"/>
        </w:rPr>
        <w:t>, provide substantive support to individual working groups and facilitate their work as necessary, including in preparing documents for consideration at the POPRC meeting.</w:t>
      </w:r>
    </w:p>
    <w:p w14:paraId="6B748EA6" w14:textId="77777777" w:rsidR="00BC6715" w:rsidRDefault="00530BDB" w:rsidP="00BC6715">
      <w:pPr>
        <w:spacing w:after="120"/>
        <w:ind w:left="1440"/>
        <w:rPr>
          <w:lang w:val="en-GB"/>
        </w:rPr>
      </w:pPr>
      <w:r>
        <w:rPr>
          <w:lang w:val="en-GB"/>
        </w:rPr>
        <w:t>9</w:t>
      </w:r>
      <w:r w:rsidR="001A615C">
        <w:rPr>
          <w:lang w:val="en-GB"/>
        </w:rPr>
        <w:t>.</w:t>
      </w:r>
      <w:r w:rsidR="001A615C">
        <w:rPr>
          <w:lang w:val="en-GB"/>
        </w:rPr>
        <w:tab/>
      </w:r>
      <w:r w:rsidR="009A14C7" w:rsidRPr="00BF5DB9">
        <w:rPr>
          <w:lang w:val="en-GB"/>
        </w:rPr>
        <w:t xml:space="preserve">Following </w:t>
      </w:r>
      <w:r w:rsidR="00BA2046" w:rsidRPr="00BF5DB9">
        <w:rPr>
          <w:lang w:val="en-GB"/>
        </w:rPr>
        <w:t xml:space="preserve">a </w:t>
      </w:r>
      <w:r w:rsidR="009A14C7" w:rsidRPr="00BF5DB9">
        <w:rPr>
          <w:lang w:val="en-GB"/>
        </w:rPr>
        <w:t xml:space="preserve">POPRC meeting, </w:t>
      </w:r>
      <w:r w:rsidR="00BA2046" w:rsidRPr="00BF5DB9">
        <w:rPr>
          <w:lang w:val="en-GB"/>
        </w:rPr>
        <w:t xml:space="preserve">the </w:t>
      </w:r>
      <w:r w:rsidR="006F6088">
        <w:rPr>
          <w:bCs/>
          <w:lang w:val="en-GB"/>
        </w:rPr>
        <w:t>POPRC technical</w:t>
      </w:r>
      <w:r w:rsidR="006F6088" w:rsidRPr="00BF5DB9">
        <w:rPr>
          <w:bCs/>
          <w:lang w:val="en-GB"/>
        </w:rPr>
        <w:t xml:space="preserve"> </w:t>
      </w:r>
      <w:r w:rsidR="008B3261" w:rsidRPr="00BF5DB9">
        <w:rPr>
          <w:lang w:val="en-GB"/>
        </w:rPr>
        <w:t>coordinator</w:t>
      </w:r>
      <w:r w:rsidR="009A14C7" w:rsidRPr="00BF5DB9">
        <w:rPr>
          <w:lang w:val="en-GB"/>
        </w:rPr>
        <w:t xml:space="preserve"> compiles a list of intersessional working group members (composition of intersessional working groups to be included in the meeting report) based on the sign-up sheets circulated at the meeting. </w:t>
      </w:r>
      <w:r w:rsidR="00A05714" w:rsidRPr="00BF5DB9">
        <w:rPr>
          <w:lang w:val="en-GB"/>
        </w:rPr>
        <w:t xml:space="preserve">The </w:t>
      </w:r>
      <w:r w:rsidR="006F6088">
        <w:rPr>
          <w:bCs/>
          <w:lang w:val="en-GB"/>
        </w:rPr>
        <w:t>POPRC technical</w:t>
      </w:r>
      <w:r w:rsidR="008B3261" w:rsidRPr="00BF5DB9">
        <w:rPr>
          <w:lang w:val="en-GB"/>
        </w:rPr>
        <w:t xml:space="preserve"> coordinator</w:t>
      </w:r>
      <w:r w:rsidR="009A14C7" w:rsidRPr="00BF5DB9">
        <w:rPr>
          <w:lang w:val="en-GB"/>
        </w:rPr>
        <w:t xml:space="preserve"> sends the draft list to all POPRC participants to confirm whether their names are listed correctly or need to be added. Based on the communication,</w:t>
      </w:r>
      <w:r w:rsidR="00BA2046" w:rsidRPr="00BF5DB9">
        <w:rPr>
          <w:lang w:val="en-GB"/>
        </w:rPr>
        <w:t xml:space="preserve"> he/she</w:t>
      </w:r>
      <w:r w:rsidR="009A14C7" w:rsidRPr="00BF5DB9">
        <w:rPr>
          <w:lang w:val="en-GB"/>
        </w:rPr>
        <w:t xml:space="preserve"> revises the list and forwards it to </w:t>
      </w:r>
      <w:r w:rsidR="00A05714" w:rsidRPr="00BF5DB9">
        <w:rPr>
          <w:lang w:val="en-GB"/>
        </w:rPr>
        <w:t xml:space="preserve">POPRC </w:t>
      </w:r>
      <w:r w:rsidR="00A779F2">
        <w:rPr>
          <w:lang w:val="en-GB"/>
        </w:rPr>
        <w:t>p</w:t>
      </w:r>
      <w:r w:rsidR="005239BF">
        <w:rPr>
          <w:lang w:val="en-GB"/>
        </w:rPr>
        <w:t>rocess</w:t>
      </w:r>
      <w:r w:rsidR="00A779F2">
        <w:rPr>
          <w:lang w:val="en-GB"/>
        </w:rPr>
        <w:t xml:space="preserve"> </w:t>
      </w:r>
      <w:r w:rsidR="009A14C7" w:rsidRPr="00BF5DB9">
        <w:rPr>
          <w:lang w:val="en-GB"/>
        </w:rPr>
        <w:t>coordinator for inclusion in the meeting report.</w:t>
      </w:r>
      <w:r w:rsidR="009A14C7" w:rsidRPr="00BF5DB9">
        <w:rPr>
          <w:vertAlign w:val="superscript"/>
        </w:rPr>
        <w:footnoteReference w:id="2"/>
      </w:r>
      <w:r w:rsidR="009A14C7" w:rsidRPr="00BF5DB9">
        <w:rPr>
          <w:lang w:val="en-GB"/>
        </w:rPr>
        <w:t xml:space="preserve"> </w:t>
      </w:r>
      <w:r w:rsidR="00BA2046" w:rsidRPr="00BF5DB9">
        <w:rPr>
          <w:lang w:val="en-GB"/>
        </w:rPr>
        <w:t xml:space="preserve">The </w:t>
      </w:r>
      <w:r w:rsidR="006F6088">
        <w:rPr>
          <w:bCs/>
          <w:lang w:val="en-GB"/>
        </w:rPr>
        <w:t>POPRC technical</w:t>
      </w:r>
      <w:r w:rsidR="008B3261" w:rsidRPr="00BF5DB9">
        <w:rPr>
          <w:lang w:val="en-GB"/>
        </w:rPr>
        <w:t xml:space="preserve"> coordinator</w:t>
      </w:r>
      <w:r w:rsidR="009A14C7" w:rsidRPr="00BF5DB9">
        <w:rPr>
          <w:lang w:val="en-GB"/>
        </w:rPr>
        <w:t xml:space="preserve"> sends the list to </w:t>
      </w:r>
      <w:r w:rsidR="007374EF" w:rsidRPr="00BF5DB9">
        <w:rPr>
          <w:lang w:val="en-GB"/>
        </w:rPr>
        <w:t>contacts d</w:t>
      </w:r>
      <w:r w:rsidR="009A14C7" w:rsidRPr="00BF5DB9">
        <w:rPr>
          <w:lang w:val="en-GB"/>
        </w:rPr>
        <w:t xml:space="preserve">atabase </w:t>
      </w:r>
      <w:r w:rsidR="007374EF" w:rsidRPr="00BF5DB9">
        <w:rPr>
          <w:lang w:val="en-GB"/>
        </w:rPr>
        <w:t>operator</w:t>
      </w:r>
      <w:r w:rsidR="009A14C7" w:rsidRPr="00BF5DB9">
        <w:rPr>
          <w:lang w:val="en-GB"/>
        </w:rPr>
        <w:t xml:space="preserve">. </w:t>
      </w:r>
      <w:r w:rsidR="00872D69" w:rsidRPr="00BF5DB9">
        <w:rPr>
          <w:lang w:val="en-GB"/>
        </w:rPr>
        <w:t>The c</w:t>
      </w:r>
      <w:r w:rsidR="007374EF" w:rsidRPr="00BF5DB9">
        <w:rPr>
          <w:lang w:val="en-GB"/>
        </w:rPr>
        <w:t>ontacts d</w:t>
      </w:r>
      <w:r w:rsidR="009A14C7" w:rsidRPr="00BF5DB9">
        <w:rPr>
          <w:lang w:val="en-GB"/>
        </w:rPr>
        <w:t xml:space="preserve">atabase </w:t>
      </w:r>
      <w:r w:rsidR="007374EF" w:rsidRPr="00BF5DB9">
        <w:rPr>
          <w:lang w:val="en-GB"/>
        </w:rPr>
        <w:t xml:space="preserve">operator </w:t>
      </w:r>
      <w:r w:rsidR="009A14C7" w:rsidRPr="00BF5DB9">
        <w:rPr>
          <w:lang w:val="en-GB"/>
        </w:rPr>
        <w:t xml:space="preserve">prepares an e-mail list of intersessional working groups. During the intersessional period, </w:t>
      </w:r>
      <w:r w:rsidR="00872D69" w:rsidRPr="00BF5DB9">
        <w:rPr>
          <w:lang w:val="en-GB"/>
        </w:rPr>
        <w:t xml:space="preserve">the </w:t>
      </w:r>
      <w:r w:rsidR="006F6088">
        <w:rPr>
          <w:bCs/>
          <w:lang w:val="en-GB"/>
        </w:rPr>
        <w:t>POPRC technical</w:t>
      </w:r>
      <w:r w:rsidR="00F84E6B" w:rsidRPr="00BF5DB9">
        <w:rPr>
          <w:lang w:val="en-GB"/>
        </w:rPr>
        <w:t xml:space="preserve"> </w:t>
      </w:r>
      <w:r w:rsidR="006F6088">
        <w:rPr>
          <w:lang w:val="en-GB"/>
        </w:rPr>
        <w:t>c</w:t>
      </w:r>
      <w:r w:rsidR="00F84E6B" w:rsidRPr="00BF5DB9">
        <w:rPr>
          <w:lang w:val="en-GB"/>
        </w:rPr>
        <w:t>oordinator</w:t>
      </w:r>
      <w:r w:rsidR="00872D69" w:rsidRPr="00BF5DB9">
        <w:rPr>
          <w:lang w:val="en-GB"/>
        </w:rPr>
        <w:t xml:space="preserve"> </w:t>
      </w:r>
      <w:r w:rsidR="009A14C7" w:rsidRPr="00BF5DB9">
        <w:rPr>
          <w:lang w:val="en-GB"/>
        </w:rPr>
        <w:t>informs</w:t>
      </w:r>
      <w:r w:rsidR="007374EF" w:rsidRPr="00BF5DB9">
        <w:rPr>
          <w:lang w:val="en-GB"/>
        </w:rPr>
        <w:t xml:space="preserve"> </w:t>
      </w:r>
      <w:r w:rsidR="00872D69" w:rsidRPr="00BF5DB9">
        <w:rPr>
          <w:lang w:val="en-GB"/>
        </w:rPr>
        <w:t xml:space="preserve">the </w:t>
      </w:r>
      <w:r w:rsidR="007374EF" w:rsidRPr="00BF5DB9">
        <w:rPr>
          <w:lang w:val="en-GB"/>
        </w:rPr>
        <w:t>contacts d</w:t>
      </w:r>
      <w:r w:rsidR="009A14C7" w:rsidRPr="00BF5DB9">
        <w:rPr>
          <w:lang w:val="en-GB"/>
        </w:rPr>
        <w:t xml:space="preserve">atabase </w:t>
      </w:r>
      <w:r w:rsidR="007374EF" w:rsidRPr="00BF5DB9">
        <w:rPr>
          <w:lang w:val="en-GB"/>
        </w:rPr>
        <w:t xml:space="preserve">operator </w:t>
      </w:r>
      <w:r w:rsidR="009A14C7" w:rsidRPr="00BF5DB9">
        <w:rPr>
          <w:lang w:val="en-GB"/>
        </w:rPr>
        <w:t>of any additional members joining the groups,</w:t>
      </w:r>
      <w:r w:rsidR="009A14C7" w:rsidRPr="00BF5DB9">
        <w:rPr>
          <w:vertAlign w:val="superscript"/>
        </w:rPr>
        <w:footnoteReference w:id="3"/>
      </w:r>
      <w:r w:rsidR="009A14C7" w:rsidRPr="00BF5DB9">
        <w:rPr>
          <w:lang w:val="en-GB"/>
        </w:rPr>
        <w:t xml:space="preserve"> as appropriate, and </w:t>
      </w:r>
      <w:r w:rsidR="00872D69" w:rsidRPr="00BF5DB9">
        <w:rPr>
          <w:lang w:val="en-GB"/>
        </w:rPr>
        <w:t xml:space="preserve">the </w:t>
      </w:r>
      <w:r w:rsidR="007374EF" w:rsidRPr="00BF5DB9">
        <w:rPr>
          <w:lang w:val="en-GB"/>
        </w:rPr>
        <w:t>contacts d</w:t>
      </w:r>
      <w:r w:rsidR="009A14C7" w:rsidRPr="00BF5DB9">
        <w:rPr>
          <w:lang w:val="en-GB"/>
        </w:rPr>
        <w:t xml:space="preserve">atabase </w:t>
      </w:r>
      <w:r w:rsidR="007374EF" w:rsidRPr="00BF5DB9">
        <w:rPr>
          <w:lang w:val="en-GB"/>
        </w:rPr>
        <w:t xml:space="preserve">operator </w:t>
      </w:r>
      <w:r w:rsidR="009A14C7" w:rsidRPr="00BF5DB9">
        <w:rPr>
          <w:lang w:val="en-GB"/>
        </w:rPr>
        <w:t>updates the e-mail list.</w:t>
      </w:r>
      <w:r w:rsidR="00BC6715" w:rsidRPr="00BC6715">
        <w:rPr>
          <w:lang w:val="en-GB"/>
        </w:rPr>
        <w:t xml:space="preserve"> </w:t>
      </w:r>
    </w:p>
    <w:p w14:paraId="71915A68" w14:textId="571F75DE" w:rsidR="009A14C7" w:rsidRPr="00BF5DB9" w:rsidRDefault="00A05714" w:rsidP="001A615C">
      <w:pPr>
        <w:keepNext/>
        <w:widowControl w:val="0"/>
        <w:spacing w:before="240" w:after="120"/>
        <w:ind w:left="1434" w:hanging="714"/>
        <w:rPr>
          <w:lang w:val="en-GB"/>
        </w:rPr>
      </w:pPr>
      <w:r w:rsidRPr="00BF5DB9">
        <w:rPr>
          <w:b/>
          <w:lang w:val="en-GB"/>
        </w:rPr>
        <w:t xml:space="preserve">D. </w:t>
      </w:r>
      <w:r w:rsidRPr="00BF5DB9">
        <w:rPr>
          <w:b/>
          <w:lang w:val="en-GB"/>
        </w:rPr>
        <w:tab/>
        <w:t xml:space="preserve">Communicating recommendations for listing chemicals to </w:t>
      </w:r>
      <w:r w:rsidR="0034616D">
        <w:rPr>
          <w:b/>
          <w:lang w:val="en-GB"/>
        </w:rPr>
        <w:t>P</w:t>
      </w:r>
      <w:r w:rsidRPr="00BF5DB9">
        <w:rPr>
          <w:b/>
          <w:lang w:val="en-GB"/>
        </w:rPr>
        <w:t>arties</w:t>
      </w:r>
    </w:p>
    <w:p w14:paraId="70463B65" w14:textId="6CF9B5AA" w:rsidR="009A14C7" w:rsidRPr="00BF5DB9" w:rsidRDefault="00530BDB" w:rsidP="001A615C">
      <w:pPr>
        <w:spacing w:after="120"/>
        <w:ind w:left="1440"/>
        <w:rPr>
          <w:lang w:val="en-GB"/>
        </w:rPr>
      </w:pPr>
      <w:r>
        <w:rPr>
          <w:lang w:val="en-GB"/>
        </w:rPr>
        <w:t>10</w:t>
      </w:r>
      <w:r w:rsidR="001A615C">
        <w:rPr>
          <w:lang w:val="en-GB"/>
        </w:rPr>
        <w:t>.</w:t>
      </w:r>
      <w:r w:rsidR="001A615C">
        <w:rPr>
          <w:lang w:val="en-GB"/>
        </w:rPr>
        <w:tab/>
      </w:r>
      <w:r w:rsidR="009A14C7" w:rsidRPr="00BF5DB9">
        <w:rPr>
          <w:lang w:val="en-GB"/>
        </w:rPr>
        <w:t xml:space="preserve">Once the Committee decides to recommend to the COP that it considers the listing of a chemical, </w:t>
      </w:r>
      <w:r w:rsidR="00872D69" w:rsidRPr="00BF5DB9">
        <w:rPr>
          <w:lang w:val="en-GB"/>
        </w:rPr>
        <w:t xml:space="preserve">the </w:t>
      </w:r>
      <w:r w:rsidR="003E2969" w:rsidRPr="00BF5DB9">
        <w:rPr>
          <w:lang w:val="en-GB"/>
        </w:rPr>
        <w:t xml:space="preserve">POPRC </w:t>
      </w:r>
      <w:r w:rsidR="00EA7AD7">
        <w:rPr>
          <w:lang w:val="en-GB"/>
        </w:rPr>
        <w:t>p</w:t>
      </w:r>
      <w:r w:rsidR="005239BF">
        <w:rPr>
          <w:lang w:val="en-GB"/>
        </w:rPr>
        <w:t>rocess</w:t>
      </w:r>
      <w:r w:rsidR="00EA7AD7">
        <w:rPr>
          <w:lang w:val="en-GB"/>
        </w:rPr>
        <w:t xml:space="preserve"> </w:t>
      </w:r>
      <w:r w:rsidR="009A14C7" w:rsidRPr="00BF5DB9">
        <w:rPr>
          <w:lang w:val="en-GB"/>
        </w:rPr>
        <w:t xml:space="preserve">coordinator, in consultation with </w:t>
      </w:r>
      <w:r w:rsidR="00872D69" w:rsidRPr="00BF5DB9">
        <w:rPr>
          <w:lang w:val="en-GB"/>
        </w:rPr>
        <w:t>the l</w:t>
      </w:r>
      <w:r w:rsidR="009A14C7" w:rsidRPr="00BF5DB9">
        <w:rPr>
          <w:lang w:val="en-GB"/>
        </w:rPr>
        <w:t xml:space="preserve">egal officer, communicates the recommendation to </w:t>
      </w:r>
      <w:r w:rsidR="0034616D">
        <w:rPr>
          <w:lang w:val="en-GB"/>
        </w:rPr>
        <w:t>P</w:t>
      </w:r>
      <w:r w:rsidR="009A14C7" w:rsidRPr="00BF5DB9">
        <w:rPr>
          <w:lang w:val="en-GB"/>
        </w:rPr>
        <w:t>arties at least six months before the COP meeting at which it is proposed for adoption, in accordance with paragraph 2 of Article 21.</w:t>
      </w:r>
    </w:p>
    <w:p w14:paraId="51617605" w14:textId="77777777" w:rsidR="009A14C7" w:rsidRPr="00BF5DB9" w:rsidRDefault="001A615C" w:rsidP="001A615C">
      <w:pPr>
        <w:spacing w:after="120"/>
        <w:ind w:left="1440"/>
        <w:rPr>
          <w:lang w:val="en-GB"/>
        </w:rPr>
      </w:pPr>
      <w:r>
        <w:rPr>
          <w:lang w:val="en-GB"/>
        </w:rPr>
        <w:t>1</w:t>
      </w:r>
      <w:r w:rsidR="00530BDB">
        <w:rPr>
          <w:lang w:val="en-GB"/>
        </w:rPr>
        <w:t>1</w:t>
      </w:r>
      <w:r>
        <w:rPr>
          <w:lang w:val="en-GB"/>
        </w:rPr>
        <w:t>.</w:t>
      </w:r>
      <w:r>
        <w:rPr>
          <w:lang w:val="en-GB"/>
        </w:rPr>
        <w:tab/>
      </w:r>
      <w:r w:rsidR="009A14C7" w:rsidRPr="00BF5DB9">
        <w:rPr>
          <w:lang w:val="en-GB"/>
        </w:rPr>
        <w:t xml:space="preserve">Prior to the COP meeting, </w:t>
      </w:r>
      <w:r w:rsidR="00872D69" w:rsidRPr="00BF5DB9">
        <w:rPr>
          <w:lang w:val="en-GB"/>
        </w:rPr>
        <w:t xml:space="preserve">the </w:t>
      </w:r>
      <w:r w:rsidR="00A31EFA">
        <w:rPr>
          <w:bCs/>
          <w:lang w:val="en-GB"/>
        </w:rPr>
        <w:t>POPRC technical</w:t>
      </w:r>
      <w:r w:rsidR="000A35F5" w:rsidRPr="00BF5DB9">
        <w:rPr>
          <w:lang w:val="en-GB"/>
        </w:rPr>
        <w:t xml:space="preserve"> </w:t>
      </w:r>
      <w:r w:rsidR="00A31EFA">
        <w:rPr>
          <w:lang w:val="en-GB"/>
        </w:rPr>
        <w:t>c</w:t>
      </w:r>
      <w:r w:rsidR="000A35F5" w:rsidRPr="00BF5DB9">
        <w:rPr>
          <w:lang w:val="en-GB"/>
        </w:rPr>
        <w:t xml:space="preserve">oordinator in consultation with the </w:t>
      </w:r>
      <w:r w:rsidR="00EE1FD4" w:rsidRPr="00BF5DB9">
        <w:rPr>
          <w:lang w:val="en-GB"/>
        </w:rPr>
        <w:t>legal officer</w:t>
      </w:r>
      <w:r w:rsidR="00EA47EA" w:rsidRPr="00BF5DB9">
        <w:rPr>
          <w:lang w:val="en-GB"/>
        </w:rPr>
        <w:t xml:space="preserve"> </w:t>
      </w:r>
      <w:r w:rsidR="009A14C7" w:rsidRPr="00BF5DB9">
        <w:rPr>
          <w:lang w:val="en-GB"/>
        </w:rPr>
        <w:t>and other relevant officers prepares pre-session documents on the recommendation for listing chemicals for consideration by the COP.</w:t>
      </w:r>
      <w:r w:rsidR="00582EFF" w:rsidRPr="00BF5DB9">
        <w:rPr>
          <w:lang w:val="en-GB"/>
        </w:rPr>
        <w:t xml:space="preserve">  </w:t>
      </w:r>
    </w:p>
    <w:p w14:paraId="22F9800D" w14:textId="77777777" w:rsidR="009A14C7" w:rsidRPr="00BF5DB9" w:rsidRDefault="003E2969" w:rsidP="001A615C">
      <w:pPr>
        <w:keepNext/>
        <w:widowControl w:val="0"/>
        <w:spacing w:before="240" w:after="120"/>
        <w:ind w:left="1434" w:hanging="714"/>
        <w:rPr>
          <w:lang w:val="en-GB"/>
        </w:rPr>
      </w:pPr>
      <w:r w:rsidRPr="00BF5DB9">
        <w:rPr>
          <w:b/>
          <w:lang w:val="en-GB"/>
        </w:rPr>
        <w:t>E</w:t>
      </w:r>
      <w:r w:rsidR="009A14C7" w:rsidRPr="00BF5DB9">
        <w:rPr>
          <w:b/>
          <w:lang w:val="en-GB"/>
        </w:rPr>
        <w:t xml:space="preserve">. </w:t>
      </w:r>
      <w:r w:rsidR="00872D69" w:rsidRPr="00BF5DB9">
        <w:rPr>
          <w:b/>
          <w:lang w:val="en-GB"/>
        </w:rPr>
        <w:tab/>
      </w:r>
      <w:r w:rsidR="009A14C7" w:rsidRPr="00BF5DB9">
        <w:rPr>
          <w:b/>
          <w:lang w:val="en-GB"/>
        </w:rPr>
        <w:t>Supporting the scientific work</w:t>
      </w:r>
      <w:r w:rsidR="009A14C7" w:rsidRPr="00BF5DB9">
        <w:rPr>
          <w:lang w:val="en-GB"/>
        </w:rPr>
        <w:t xml:space="preserve"> </w:t>
      </w:r>
    </w:p>
    <w:p w14:paraId="58B22B38" w14:textId="42BB29CD" w:rsidR="009A14C7" w:rsidRPr="00BF5DB9" w:rsidRDefault="001A615C" w:rsidP="001A615C">
      <w:pPr>
        <w:spacing w:after="120"/>
        <w:ind w:left="1440"/>
        <w:rPr>
          <w:lang w:val="en-GB"/>
        </w:rPr>
      </w:pPr>
      <w:r>
        <w:rPr>
          <w:lang w:val="en-GB"/>
        </w:rPr>
        <w:t>1</w:t>
      </w:r>
      <w:r w:rsidR="00530BDB">
        <w:rPr>
          <w:lang w:val="en-GB"/>
        </w:rPr>
        <w:t>2</w:t>
      </w:r>
      <w:r>
        <w:rPr>
          <w:lang w:val="en-GB"/>
        </w:rPr>
        <w:t>.</w:t>
      </w:r>
      <w:r>
        <w:rPr>
          <w:lang w:val="en-GB"/>
        </w:rPr>
        <w:tab/>
      </w:r>
      <w:r w:rsidR="00872D69" w:rsidRPr="00BF5DB9">
        <w:rPr>
          <w:lang w:val="en-GB"/>
        </w:rPr>
        <w:t xml:space="preserve">The </w:t>
      </w:r>
      <w:r w:rsidR="008C7781">
        <w:rPr>
          <w:lang w:val="en-GB"/>
        </w:rPr>
        <w:t>STA</w:t>
      </w:r>
      <w:r w:rsidR="008C7781" w:rsidRPr="00BF5DB9">
        <w:rPr>
          <w:lang w:val="en-GB"/>
        </w:rPr>
        <w:t xml:space="preserve"> </w:t>
      </w:r>
      <w:r w:rsidR="009A14C7" w:rsidRPr="00BF5DB9">
        <w:rPr>
          <w:lang w:val="en-GB"/>
        </w:rPr>
        <w:t xml:space="preserve">Branch Chief is responsible for managing the overall scientific work of the Committee including in-session and intersessional work. </w:t>
      </w:r>
    </w:p>
    <w:p w14:paraId="4630DB89" w14:textId="77777777" w:rsidR="009A14C7" w:rsidRPr="00BF5DB9" w:rsidRDefault="009A14C7" w:rsidP="001A615C">
      <w:pPr>
        <w:keepNext/>
        <w:widowControl w:val="0"/>
        <w:spacing w:before="240" w:after="120"/>
        <w:ind w:left="1434" w:hanging="714"/>
        <w:rPr>
          <w:b/>
          <w:lang w:val="en-GB"/>
        </w:rPr>
      </w:pPr>
      <w:r w:rsidRPr="00BF5DB9">
        <w:rPr>
          <w:b/>
          <w:lang w:val="en-GB"/>
        </w:rPr>
        <w:t xml:space="preserve">II. </w:t>
      </w:r>
      <w:r w:rsidRPr="00BF5DB9">
        <w:rPr>
          <w:b/>
          <w:lang w:val="en-GB"/>
        </w:rPr>
        <w:tab/>
      </w:r>
      <w:bookmarkStart w:id="2" w:name="_Hlk16768615"/>
      <w:r w:rsidRPr="00BF5DB9">
        <w:rPr>
          <w:b/>
          <w:lang w:val="en-GB"/>
        </w:rPr>
        <w:t xml:space="preserve">Rotation of the membership </w:t>
      </w:r>
      <w:bookmarkEnd w:id="2"/>
    </w:p>
    <w:p w14:paraId="5B62E897" w14:textId="77777777" w:rsidR="00DB01B9" w:rsidRPr="00BF5DB9" w:rsidRDefault="001A615C" w:rsidP="00BD4EF7">
      <w:pPr>
        <w:spacing w:after="120"/>
        <w:ind w:left="1440"/>
        <w:rPr>
          <w:lang w:val="en-GB"/>
        </w:rPr>
      </w:pPr>
      <w:r>
        <w:rPr>
          <w:lang w:val="en-GB"/>
        </w:rPr>
        <w:t>1</w:t>
      </w:r>
      <w:r w:rsidR="00530BDB">
        <w:rPr>
          <w:lang w:val="en-GB"/>
        </w:rPr>
        <w:t>3</w:t>
      </w:r>
      <w:r>
        <w:rPr>
          <w:lang w:val="en-GB"/>
        </w:rPr>
        <w:t>.</w:t>
      </w:r>
      <w:r>
        <w:rPr>
          <w:lang w:val="en-GB"/>
        </w:rPr>
        <w:tab/>
      </w:r>
      <w:r w:rsidR="004D597A" w:rsidRPr="00BF5DB9">
        <w:rPr>
          <w:lang w:val="en-GB"/>
        </w:rPr>
        <w:t xml:space="preserve">The POPRC is composed of 31 members from the 5 UN regions. Their terms of office are for 4 years with half of them changing every second year. Currently, the rotation of members takes place on </w:t>
      </w:r>
      <w:r w:rsidR="002A3741" w:rsidRPr="00BF5DB9">
        <w:rPr>
          <w:lang w:val="en-GB"/>
        </w:rPr>
        <w:t>5</w:t>
      </w:r>
      <w:r w:rsidR="004D597A" w:rsidRPr="00BF5DB9">
        <w:rPr>
          <w:lang w:val="en-GB"/>
        </w:rPr>
        <w:t xml:space="preserve"> May every second year. </w:t>
      </w:r>
      <w:r w:rsidR="004D597A" w:rsidRPr="00BF5DB9">
        <w:rPr>
          <w:lang w:val="en-GB"/>
        </w:rPr>
        <w:lastRenderedPageBreak/>
        <w:t xml:space="preserve">The members are appointed by the Conference of the Parties at its meeting preceding the rotation on </w:t>
      </w:r>
      <w:r w:rsidR="00BD4EF7" w:rsidRPr="00514C71">
        <w:rPr>
          <w:lang w:val="en-GB"/>
        </w:rPr>
        <w:t xml:space="preserve">5 </w:t>
      </w:r>
      <w:r w:rsidR="004D597A" w:rsidRPr="00514C71">
        <w:rPr>
          <w:lang w:val="en-GB"/>
        </w:rPr>
        <w:t>May</w:t>
      </w:r>
      <w:r w:rsidR="004D597A" w:rsidRPr="00BF5DB9">
        <w:rPr>
          <w:lang w:val="en-GB"/>
        </w:rPr>
        <w:t xml:space="preserve">.  </w:t>
      </w:r>
    </w:p>
    <w:p w14:paraId="7C81D02E" w14:textId="625F7D1D" w:rsidR="009A14C7" w:rsidRPr="00BF5DB9" w:rsidRDefault="001A615C" w:rsidP="001A615C">
      <w:pPr>
        <w:spacing w:after="120"/>
        <w:ind w:left="1440"/>
        <w:rPr>
          <w:lang w:val="en-GB"/>
        </w:rPr>
      </w:pPr>
      <w:r>
        <w:rPr>
          <w:lang w:val="en-GB"/>
        </w:rPr>
        <w:t>1</w:t>
      </w:r>
      <w:r w:rsidR="00A31EFA">
        <w:rPr>
          <w:lang w:val="en-GB"/>
        </w:rPr>
        <w:t>4</w:t>
      </w:r>
      <w:r>
        <w:rPr>
          <w:lang w:val="en-GB"/>
        </w:rPr>
        <w:t>.</w:t>
      </w:r>
      <w:r>
        <w:rPr>
          <w:lang w:val="en-GB"/>
        </w:rPr>
        <w:tab/>
      </w:r>
      <w:r w:rsidR="00872D69" w:rsidRPr="00BF5DB9">
        <w:rPr>
          <w:lang w:val="en-GB"/>
        </w:rPr>
        <w:t xml:space="preserve">The </w:t>
      </w:r>
      <w:r w:rsidR="00CC1C22" w:rsidRPr="00BF5DB9">
        <w:rPr>
          <w:lang w:val="en-GB"/>
        </w:rPr>
        <w:t xml:space="preserve">POPRC </w:t>
      </w:r>
      <w:r w:rsidR="00EA7AD7">
        <w:rPr>
          <w:lang w:val="en-GB"/>
        </w:rPr>
        <w:t>p</w:t>
      </w:r>
      <w:r w:rsidR="005239BF">
        <w:rPr>
          <w:lang w:val="en-GB"/>
        </w:rPr>
        <w:t>rocess</w:t>
      </w:r>
      <w:r w:rsidR="00EA7AD7">
        <w:rPr>
          <w:lang w:val="en-GB"/>
        </w:rPr>
        <w:t xml:space="preserve"> </w:t>
      </w:r>
      <w:r w:rsidR="009A14C7" w:rsidRPr="00BF5DB9">
        <w:rPr>
          <w:lang w:val="en-GB"/>
        </w:rPr>
        <w:t xml:space="preserve">coordinator obtains </w:t>
      </w:r>
      <w:r w:rsidR="00106088">
        <w:rPr>
          <w:lang w:val="en-GB"/>
        </w:rPr>
        <w:t>experts’</w:t>
      </w:r>
      <w:r w:rsidR="009A14C7" w:rsidRPr="00BF5DB9">
        <w:rPr>
          <w:lang w:val="en-GB"/>
        </w:rPr>
        <w:t xml:space="preserve"> CV</w:t>
      </w:r>
      <w:r w:rsidR="00C54A26">
        <w:rPr>
          <w:lang w:val="en-GB"/>
        </w:rPr>
        <w:t>s</w:t>
      </w:r>
      <w:r w:rsidR="009A14C7" w:rsidRPr="00BF5DB9">
        <w:rPr>
          <w:lang w:val="en-GB"/>
        </w:rPr>
        <w:t xml:space="preserve"> and declaration</w:t>
      </w:r>
      <w:r w:rsidR="00C54A26">
        <w:rPr>
          <w:lang w:val="en-GB"/>
        </w:rPr>
        <w:t>s</w:t>
      </w:r>
      <w:r w:rsidR="009A14C7" w:rsidRPr="00BF5DB9">
        <w:rPr>
          <w:lang w:val="en-GB"/>
        </w:rPr>
        <w:t xml:space="preserve"> of conflict of interest in accordance with decision SC-1/8</w:t>
      </w:r>
      <w:r w:rsidR="00BD4EF7">
        <w:rPr>
          <w:lang w:val="en-GB"/>
        </w:rPr>
        <w:t xml:space="preserve"> </w:t>
      </w:r>
      <w:r w:rsidR="00BD4EF7" w:rsidRPr="00514C71">
        <w:rPr>
          <w:lang w:val="en-GB"/>
        </w:rPr>
        <w:t>and decision SC-4/20</w:t>
      </w:r>
      <w:r w:rsidR="009A14C7" w:rsidRPr="00BF5DB9">
        <w:rPr>
          <w:lang w:val="en-GB"/>
        </w:rPr>
        <w:t>, which are to be reviewed in coordination with</w:t>
      </w:r>
      <w:r w:rsidR="00642118" w:rsidRPr="00BF5DB9">
        <w:rPr>
          <w:lang w:val="en-GB"/>
        </w:rPr>
        <w:t xml:space="preserve"> the</w:t>
      </w:r>
      <w:r w:rsidR="009A14C7" w:rsidRPr="00BF5DB9">
        <w:rPr>
          <w:lang w:val="en-GB"/>
        </w:rPr>
        <w:t xml:space="preserve"> </w:t>
      </w:r>
      <w:r w:rsidR="00642118" w:rsidRPr="00BF5DB9">
        <w:rPr>
          <w:lang w:val="en-GB"/>
        </w:rPr>
        <w:t>l</w:t>
      </w:r>
      <w:r w:rsidR="009A14C7" w:rsidRPr="00BF5DB9">
        <w:rPr>
          <w:lang w:val="en-GB"/>
        </w:rPr>
        <w:t xml:space="preserve">egal officer. </w:t>
      </w:r>
      <w:r w:rsidR="00642118" w:rsidRPr="00BF5DB9">
        <w:rPr>
          <w:lang w:val="en-GB"/>
        </w:rPr>
        <w:t xml:space="preserve">The </w:t>
      </w:r>
      <w:r w:rsidR="001C12E3" w:rsidRPr="00BF5DB9">
        <w:rPr>
          <w:lang w:val="en-GB"/>
        </w:rPr>
        <w:t xml:space="preserve">POPRC </w:t>
      </w:r>
      <w:r w:rsidR="00EA7AD7">
        <w:rPr>
          <w:lang w:val="en-GB"/>
        </w:rPr>
        <w:t>p</w:t>
      </w:r>
      <w:r w:rsidR="005239BF">
        <w:rPr>
          <w:lang w:val="en-GB"/>
        </w:rPr>
        <w:t>rocess</w:t>
      </w:r>
      <w:r w:rsidR="00EA7AD7">
        <w:rPr>
          <w:lang w:val="en-GB"/>
        </w:rPr>
        <w:t xml:space="preserve"> </w:t>
      </w:r>
      <w:r w:rsidR="009A14C7" w:rsidRPr="00BF5DB9">
        <w:rPr>
          <w:lang w:val="en-GB"/>
        </w:rPr>
        <w:t xml:space="preserve">coordinator </w:t>
      </w:r>
      <w:r w:rsidR="00106088">
        <w:rPr>
          <w:lang w:val="en-GB"/>
        </w:rPr>
        <w:t xml:space="preserve">presents information on </w:t>
      </w:r>
      <w:r w:rsidR="009A14C7" w:rsidRPr="00BF5DB9">
        <w:rPr>
          <w:lang w:val="en-GB"/>
        </w:rPr>
        <w:t>new members as an information document of the next POPRC meeting.</w:t>
      </w:r>
    </w:p>
    <w:p w14:paraId="1B1C610F" w14:textId="7F7287BD" w:rsidR="009A14C7" w:rsidRPr="00BF5DB9" w:rsidRDefault="001A615C" w:rsidP="001A615C">
      <w:pPr>
        <w:spacing w:after="120"/>
        <w:ind w:left="1440"/>
        <w:rPr>
          <w:lang w:val="en-GB"/>
        </w:rPr>
      </w:pPr>
      <w:r>
        <w:rPr>
          <w:lang w:val="en-GB"/>
        </w:rPr>
        <w:t>1</w:t>
      </w:r>
      <w:r w:rsidR="00A31EFA">
        <w:rPr>
          <w:lang w:val="en-GB"/>
        </w:rPr>
        <w:t>5</w:t>
      </w:r>
      <w:r>
        <w:rPr>
          <w:lang w:val="en-GB"/>
        </w:rPr>
        <w:t>.</w:t>
      </w:r>
      <w:r>
        <w:rPr>
          <w:lang w:val="en-GB"/>
        </w:rPr>
        <w:tab/>
      </w:r>
      <w:r w:rsidR="009A14C7" w:rsidRPr="00BF5DB9">
        <w:rPr>
          <w:lang w:val="en-GB"/>
        </w:rPr>
        <w:t>I</w:t>
      </w:r>
      <w:r w:rsidR="00642118" w:rsidRPr="00BF5DB9">
        <w:rPr>
          <w:lang w:val="en-GB"/>
        </w:rPr>
        <w:t xml:space="preserve">f </w:t>
      </w:r>
      <w:r w:rsidR="009A14C7" w:rsidRPr="00BF5DB9">
        <w:rPr>
          <w:lang w:val="en-GB"/>
        </w:rPr>
        <w:t xml:space="preserve">the member cannot complete his/her terms of office, the </w:t>
      </w:r>
      <w:r w:rsidR="00987F18">
        <w:rPr>
          <w:lang w:val="en-GB"/>
        </w:rPr>
        <w:t>P</w:t>
      </w:r>
      <w:r w:rsidR="009A14C7" w:rsidRPr="00BF5DB9">
        <w:rPr>
          <w:lang w:val="en-GB"/>
        </w:rPr>
        <w:t xml:space="preserve">arty, </w:t>
      </w:r>
      <w:bookmarkStart w:id="3" w:name="_GoBack"/>
      <w:bookmarkEnd w:id="3"/>
      <w:r w:rsidR="009A14C7" w:rsidRPr="00BF5DB9">
        <w:rPr>
          <w:lang w:val="en-GB"/>
        </w:rPr>
        <w:t>through its official channel, informs the Secretariat about the replacement of the expert.</w:t>
      </w:r>
      <w:r w:rsidR="00A42BD0">
        <w:rPr>
          <w:rStyle w:val="FootnoteReference"/>
          <w:rFonts w:cs="Arial"/>
        </w:rPr>
        <w:footnoteReference w:id="4"/>
      </w:r>
      <w:r w:rsidR="00642118" w:rsidRPr="00BF5DB9">
        <w:rPr>
          <w:lang w:val="en-GB"/>
        </w:rPr>
        <w:t xml:space="preserve"> The</w:t>
      </w:r>
      <w:r w:rsidR="009A14C7" w:rsidRPr="00BF5DB9">
        <w:rPr>
          <w:lang w:val="en-GB"/>
        </w:rPr>
        <w:t xml:space="preserve"> </w:t>
      </w:r>
      <w:r w:rsidR="001C12E3" w:rsidRPr="00BF5DB9">
        <w:rPr>
          <w:lang w:val="en-GB"/>
        </w:rPr>
        <w:t xml:space="preserve">POPRC </w:t>
      </w:r>
      <w:r w:rsidR="00EA7AD7">
        <w:rPr>
          <w:lang w:val="en-GB"/>
        </w:rPr>
        <w:t>p</w:t>
      </w:r>
      <w:r w:rsidR="005239BF">
        <w:rPr>
          <w:lang w:val="en-GB"/>
        </w:rPr>
        <w:t>rocess</w:t>
      </w:r>
      <w:r w:rsidR="00EA7AD7">
        <w:rPr>
          <w:lang w:val="en-GB"/>
        </w:rPr>
        <w:t xml:space="preserve"> </w:t>
      </w:r>
      <w:r w:rsidR="009A14C7" w:rsidRPr="00BF5DB9">
        <w:rPr>
          <w:lang w:val="en-GB"/>
        </w:rPr>
        <w:t xml:space="preserve">coordinator receives such communication sent to the Secretariat (fax, postal mail or relevant generic e-mail addresses) and contacts the new expert and obtains his/her CV and a declaration of conflict of interest, which are to be reviewed in coordination with </w:t>
      </w:r>
      <w:r w:rsidR="00642118" w:rsidRPr="00BF5DB9">
        <w:rPr>
          <w:lang w:val="en-GB"/>
        </w:rPr>
        <w:t>the l</w:t>
      </w:r>
      <w:r w:rsidR="009A14C7" w:rsidRPr="00BF5DB9">
        <w:rPr>
          <w:lang w:val="en-GB"/>
        </w:rPr>
        <w:t>egal officer.</w:t>
      </w:r>
    </w:p>
    <w:p w14:paraId="2AC4491A" w14:textId="67CE59BD" w:rsidR="009A14C7" w:rsidRPr="00BF5DB9" w:rsidRDefault="00530BDB" w:rsidP="001A615C">
      <w:pPr>
        <w:spacing w:after="120"/>
        <w:ind w:left="1440"/>
        <w:rPr>
          <w:lang w:val="en-GB"/>
        </w:rPr>
      </w:pPr>
      <w:r>
        <w:rPr>
          <w:lang w:val="en-GB"/>
        </w:rPr>
        <w:t>1</w:t>
      </w:r>
      <w:r w:rsidR="00A31EFA">
        <w:rPr>
          <w:lang w:val="en-GB"/>
        </w:rPr>
        <w:t>6</w:t>
      </w:r>
      <w:r w:rsidR="001A615C">
        <w:rPr>
          <w:lang w:val="en-GB"/>
        </w:rPr>
        <w:t>.</w:t>
      </w:r>
      <w:r w:rsidR="001A615C">
        <w:rPr>
          <w:lang w:val="en-GB"/>
        </w:rPr>
        <w:tab/>
      </w:r>
      <w:r w:rsidR="00FD7FE6" w:rsidRPr="00BF5DB9">
        <w:rPr>
          <w:lang w:val="en-GB"/>
        </w:rPr>
        <w:t xml:space="preserve">The </w:t>
      </w:r>
      <w:r w:rsidR="001C12E3" w:rsidRPr="00BF5DB9">
        <w:rPr>
          <w:lang w:val="en-GB"/>
        </w:rPr>
        <w:t>PO</w:t>
      </w:r>
      <w:r w:rsidR="000F1CEC" w:rsidRPr="00BF5DB9">
        <w:rPr>
          <w:lang w:val="en-GB"/>
        </w:rPr>
        <w:t>P</w:t>
      </w:r>
      <w:r w:rsidR="001C12E3" w:rsidRPr="00BF5DB9">
        <w:rPr>
          <w:lang w:val="en-GB"/>
        </w:rPr>
        <w:t xml:space="preserve">RC </w:t>
      </w:r>
      <w:r w:rsidR="00EA7AD7">
        <w:rPr>
          <w:lang w:val="en-GB"/>
        </w:rPr>
        <w:t>p</w:t>
      </w:r>
      <w:r w:rsidR="005239BF">
        <w:rPr>
          <w:lang w:val="en-GB"/>
        </w:rPr>
        <w:t>rocess</w:t>
      </w:r>
      <w:r w:rsidR="00EA7AD7">
        <w:rPr>
          <w:lang w:val="en-GB"/>
        </w:rPr>
        <w:t xml:space="preserve"> </w:t>
      </w:r>
      <w:r w:rsidR="009A14C7" w:rsidRPr="00BF5DB9">
        <w:rPr>
          <w:lang w:val="en-GB"/>
        </w:rPr>
        <w:t xml:space="preserve">coordinator informs </w:t>
      </w:r>
      <w:r w:rsidR="008C7781">
        <w:rPr>
          <w:lang w:val="en-GB"/>
        </w:rPr>
        <w:t>STA</w:t>
      </w:r>
      <w:r w:rsidR="008C7781" w:rsidRPr="00BF5DB9">
        <w:rPr>
          <w:lang w:val="en-GB"/>
        </w:rPr>
        <w:t xml:space="preserve"> </w:t>
      </w:r>
      <w:r w:rsidR="009A14C7" w:rsidRPr="00BF5DB9">
        <w:rPr>
          <w:lang w:val="en-GB"/>
        </w:rPr>
        <w:t xml:space="preserve">Branch Chief and </w:t>
      </w:r>
      <w:r w:rsidR="004E73C7">
        <w:rPr>
          <w:bCs/>
          <w:lang w:val="en-GB"/>
        </w:rPr>
        <w:t>POPRC technical</w:t>
      </w:r>
      <w:r w:rsidR="009A14C7" w:rsidRPr="00BF5DB9">
        <w:rPr>
          <w:lang w:val="en-GB"/>
        </w:rPr>
        <w:t xml:space="preserve"> coordinator of the replacement of the expert and provides the information to </w:t>
      </w:r>
      <w:r w:rsidR="00FD7FE6" w:rsidRPr="00BF5DB9">
        <w:rPr>
          <w:lang w:val="en-GB"/>
        </w:rPr>
        <w:t xml:space="preserve">the </w:t>
      </w:r>
      <w:r w:rsidR="007A5F87" w:rsidRPr="00BF5DB9">
        <w:rPr>
          <w:lang w:val="en-GB"/>
        </w:rPr>
        <w:t>contacts d</w:t>
      </w:r>
      <w:r w:rsidR="009A14C7" w:rsidRPr="00BF5DB9">
        <w:rPr>
          <w:lang w:val="en-GB"/>
        </w:rPr>
        <w:t xml:space="preserve">atabase </w:t>
      </w:r>
      <w:r w:rsidR="007A5F87" w:rsidRPr="00BF5DB9">
        <w:rPr>
          <w:lang w:val="en-GB"/>
        </w:rPr>
        <w:t>operator</w:t>
      </w:r>
      <w:r w:rsidR="009A14C7" w:rsidRPr="00BF5DB9">
        <w:rPr>
          <w:lang w:val="en-GB"/>
        </w:rPr>
        <w:t xml:space="preserve"> to update the database of </w:t>
      </w:r>
      <w:r w:rsidR="0050089C" w:rsidRPr="00BF5DB9">
        <w:rPr>
          <w:lang w:val="en-GB"/>
        </w:rPr>
        <w:t>members</w:t>
      </w:r>
      <w:r w:rsidR="009A14C7" w:rsidRPr="00BF5DB9">
        <w:rPr>
          <w:lang w:val="en-GB"/>
        </w:rPr>
        <w:t xml:space="preserve">. </w:t>
      </w:r>
      <w:r w:rsidR="00FD7FE6" w:rsidRPr="00BF5DB9">
        <w:rPr>
          <w:lang w:val="en-GB"/>
        </w:rPr>
        <w:t xml:space="preserve">The </w:t>
      </w:r>
      <w:r w:rsidR="001C12E3" w:rsidRPr="00BF5DB9">
        <w:rPr>
          <w:lang w:val="en-GB"/>
        </w:rPr>
        <w:t xml:space="preserve">POPRC </w:t>
      </w:r>
      <w:r w:rsidR="00EA7AD7">
        <w:rPr>
          <w:lang w:val="en-GB"/>
        </w:rPr>
        <w:t>p</w:t>
      </w:r>
      <w:r w:rsidR="005239BF">
        <w:rPr>
          <w:lang w:val="en-GB"/>
        </w:rPr>
        <w:t>rocess</w:t>
      </w:r>
      <w:r w:rsidR="00EA7AD7">
        <w:rPr>
          <w:lang w:val="en-GB"/>
        </w:rPr>
        <w:t xml:space="preserve"> </w:t>
      </w:r>
      <w:r w:rsidR="009A14C7" w:rsidRPr="00BF5DB9">
        <w:rPr>
          <w:lang w:val="en-GB"/>
        </w:rPr>
        <w:t>coordinator keeps a Word file with the same information on the shared drive and updates it in parallel until the time that all involved are able to access the database of experts.</w:t>
      </w:r>
    </w:p>
    <w:p w14:paraId="47353D51" w14:textId="77777777" w:rsidR="009A14C7" w:rsidRPr="00BF5DB9" w:rsidRDefault="009A14C7" w:rsidP="001A615C">
      <w:pPr>
        <w:keepNext/>
        <w:widowControl w:val="0"/>
        <w:spacing w:before="240" w:after="120"/>
        <w:ind w:left="1434" w:hanging="714"/>
        <w:rPr>
          <w:b/>
          <w:lang w:val="en-GB"/>
        </w:rPr>
      </w:pPr>
      <w:r w:rsidRPr="00BF5DB9">
        <w:rPr>
          <w:b/>
          <w:lang w:val="en-GB"/>
        </w:rPr>
        <w:t xml:space="preserve">III. </w:t>
      </w:r>
      <w:r w:rsidRPr="00BF5DB9">
        <w:rPr>
          <w:b/>
          <w:lang w:val="en-GB"/>
        </w:rPr>
        <w:tab/>
        <w:t>Website management</w:t>
      </w:r>
      <w:r w:rsidR="00DB01B9" w:rsidRPr="00BF5DB9">
        <w:rPr>
          <w:rStyle w:val="FootnoteReference"/>
          <w:rFonts w:cs="Arial"/>
          <w:b/>
          <w:lang w:val="en-GB"/>
        </w:rPr>
        <w:footnoteReference w:id="5"/>
      </w:r>
    </w:p>
    <w:p w14:paraId="607E2238" w14:textId="77777777" w:rsidR="009F0421" w:rsidRPr="00BF5DB9" w:rsidRDefault="00530BDB" w:rsidP="001A615C">
      <w:pPr>
        <w:spacing w:after="120"/>
        <w:ind w:left="1440"/>
        <w:rPr>
          <w:lang w:val="en-GB"/>
        </w:rPr>
      </w:pPr>
      <w:r>
        <w:rPr>
          <w:bCs/>
          <w:lang w:val="en-GB"/>
        </w:rPr>
        <w:t>1</w:t>
      </w:r>
      <w:r w:rsidR="00A31EFA">
        <w:rPr>
          <w:bCs/>
          <w:lang w:val="en-GB"/>
        </w:rPr>
        <w:t>7</w:t>
      </w:r>
      <w:r w:rsidR="001A615C">
        <w:rPr>
          <w:bCs/>
          <w:lang w:val="en-GB"/>
        </w:rPr>
        <w:t>.</w:t>
      </w:r>
      <w:r w:rsidR="001A615C">
        <w:rPr>
          <w:bCs/>
          <w:lang w:val="en-GB"/>
        </w:rPr>
        <w:tab/>
      </w:r>
      <w:r w:rsidR="004E73C7">
        <w:rPr>
          <w:bCs/>
          <w:lang w:val="en-GB"/>
        </w:rPr>
        <w:t>POPRC technical</w:t>
      </w:r>
      <w:r w:rsidR="00FF054A" w:rsidRPr="00BF5DB9">
        <w:rPr>
          <w:bCs/>
          <w:lang w:val="en-GB"/>
        </w:rPr>
        <w:t xml:space="preserve"> </w:t>
      </w:r>
      <w:r w:rsidR="00FF054A" w:rsidRPr="001A615C">
        <w:rPr>
          <w:lang w:val="en-GB"/>
        </w:rPr>
        <w:t>coordinator</w:t>
      </w:r>
      <w:r w:rsidR="00FF054A" w:rsidRPr="00BF5DB9">
        <w:rPr>
          <w:bCs/>
          <w:lang w:val="en-GB"/>
        </w:rPr>
        <w:t xml:space="preserve"> is responsible for managing the content of POPRC-related webpages pertaining to scientific and technical matters</w:t>
      </w:r>
      <w:r w:rsidR="009F0421" w:rsidRPr="00BF5DB9">
        <w:rPr>
          <w:lang w:val="en-GB"/>
        </w:rPr>
        <w:t xml:space="preserve">.  </w:t>
      </w:r>
    </w:p>
    <w:p w14:paraId="61F3975B" w14:textId="77777777" w:rsidR="009A14C7" w:rsidRPr="00BF5DB9" w:rsidRDefault="00530BDB" w:rsidP="001A615C">
      <w:pPr>
        <w:spacing w:after="120"/>
        <w:ind w:left="1440"/>
        <w:rPr>
          <w:lang w:val="en-GB"/>
        </w:rPr>
      </w:pPr>
      <w:r>
        <w:rPr>
          <w:lang w:val="en-GB"/>
        </w:rPr>
        <w:t>1</w:t>
      </w:r>
      <w:r w:rsidR="00A31EFA">
        <w:rPr>
          <w:lang w:val="en-GB"/>
        </w:rPr>
        <w:t>8</w:t>
      </w:r>
      <w:r w:rsidR="001A615C">
        <w:rPr>
          <w:lang w:val="en-GB"/>
        </w:rPr>
        <w:t>.</w:t>
      </w:r>
      <w:r w:rsidR="001A615C">
        <w:rPr>
          <w:lang w:val="en-GB"/>
        </w:rPr>
        <w:tab/>
      </w:r>
      <w:r w:rsidR="00FF054A" w:rsidRPr="00BF5DB9">
        <w:rPr>
          <w:lang w:val="en-GB"/>
        </w:rPr>
        <w:t xml:space="preserve">POPRC </w:t>
      </w:r>
      <w:r w:rsidR="00EA7AD7">
        <w:rPr>
          <w:lang w:val="en-GB"/>
        </w:rPr>
        <w:t>p</w:t>
      </w:r>
      <w:r w:rsidR="005239BF">
        <w:rPr>
          <w:lang w:val="en-GB"/>
        </w:rPr>
        <w:t>rocess</w:t>
      </w:r>
      <w:r w:rsidR="00EA7AD7">
        <w:rPr>
          <w:lang w:val="en-GB"/>
        </w:rPr>
        <w:t xml:space="preserve"> </w:t>
      </w:r>
      <w:r w:rsidR="00FF054A" w:rsidRPr="00BF5DB9">
        <w:rPr>
          <w:lang w:val="en-GB"/>
        </w:rPr>
        <w:t xml:space="preserve">coordinator is responsible for managing the content of POPRC-related webpages pertaining to meeting organization and procedural matters. </w:t>
      </w:r>
    </w:p>
    <w:p w14:paraId="5902762B" w14:textId="59EAA868" w:rsidR="00FF16F1" w:rsidRPr="00BF5DB9" w:rsidRDefault="00A31EFA" w:rsidP="001A615C">
      <w:pPr>
        <w:spacing w:after="120"/>
        <w:ind w:left="1440"/>
        <w:rPr>
          <w:lang w:val="en-GB"/>
        </w:rPr>
      </w:pPr>
      <w:r>
        <w:rPr>
          <w:lang w:val="en-GB"/>
        </w:rPr>
        <w:t>19</w:t>
      </w:r>
      <w:r w:rsidR="001A615C">
        <w:rPr>
          <w:lang w:val="en-GB"/>
        </w:rPr>
        <w:t>.</w:t>
      </w:r>
      <w:r w:rsidR="001A615C">
        <w:rPr>
          <w:lang w:val="en-GB"/>
        </w:rPr>
        <w:tab/>
      </w:r>
      <w:r w:rsidR="004E73C7">
        <w:rPr>
          <w:bCs/>
          <w:lang w:val="en-GB"/>
        </w:rPr>
        <w:t>POPRC technical</w:t>
      </w:r>
      <w:r w:rsidR="00FF16F1" w:rsidRPr="00BF5DB9">
        <w:rPr>
          <w:lang w:val="en-GB"/>
        </w:rPr>
        <w:t xml:space="preserve"> coordinator and POPRC </w:t>
      </w:r>
      <w:r w:rsidR="00EA7AD7">
        <w:rPr>
          <w:lang w:val="en-GB"/>
        </w:rPr>
        <w:t>p</w:t>
      </w:r>
      <w:r w:rsidR="005239BF">
        <w:rPr>
          <w:lang w:val="en-GB"/>
        </w:rPr>
        <w:t>rocess</w:t>
      </w:r>
      <w:r w:rsidR="00EA7AD7">
        <w:rPr>
          <w:lang w:val="en-GB"/>
        </w:rPr>
        <w:t xml:space="preserve"> </w:t>
      </w:r>
      <w:r w:rsidR="00FF16F1" w:rsidRPr="00BF5DB9">
        <w:rPr>
          <w:lang w:val="en-GB"/>
        </w:rPr>
        <w:t xml:space="preserve">coordinator ensure updating of the </w:t>
      </w:r>
      <w:r w:rsidR="00DC37E0" w:rsidRPr="00BF5DB9">
        <w:rPr>
          <w:lang w:val="en-GB"/>
        </w:rPr>
        <w:t xml:space="preserve">web </w:t>
      </w:r>
      <w:r w:rsidR="00FF16F1" w:rsidRPr="00BF5DB9">
        <w:rPr>
          <w:lang w:val="en-GB"/>
        </w:rPr>
        <w:t>pages for which they are responsible, as per SOP</w:t>
      </w:r>
      <w:r w:rsidR="0006660D">
        <w:rPr>
          <w:lang w:val="en-GB"/>
        </w:rPr>
        <w:t xml:space="preserve"> </w:t>
      </w:r>
      <w:r w:rsidR="00830035">
        <w:rPr>
          <w:lang w:val="en-GB"/>
        </w:rPr>
        <w:t>#6</w:t>
      </w:r>
      <w:r w:rsidR="00FF16F1" w:rsidRPr="00BF5DB9">
        <w:rPr>
          <w:lang w:val="en-GB"/>
        </w:rPr>
        <w:t xml:space="preserve"> on website</w:t>
      </w:r>
      <w:r w:rsidR="00830035">
        <w:rPr>
          <w:lang w:val="en-GB"/>
        </w:rPr>
        <w:t>s</w:t>
      </w:r>
      <w:r w:rsidR="00FF16F1" w:rsidRPr="00BF5DB9">
        <w:rPr>
          <w:lang w:val="en-GB"/>
        </w:rPr>
        <w:t xml:space="preserve"> content management.</w:t>
      </w:r>
    </w:p>
    <w:p w14:paraId="4E7C2FFA" w14:textId="77777777" w:rsidR="003450E3" w:rsidRPr="00BF5DB9" w:rsidRDefault="003450E3" w:rsidP="00BF5DB9">
      <w:pPr>
        <w:pStyle w:val="ColorfulList-Accent11"/>
        <w:spacing w:line="276" w:lineRule="auto"/>
        <w:rPr>
          <w:rFonts w:cs="Arial"/>
          <w:sz w:val="22"/>
          <w:szCs w:val="22"/>
          <w:lang w:val="en-GB"/>
        </w:rPr>
      </w:pPr>
    </w:p>
    <w:p w14:paraId="0D497A4B" w14:textId="77777777" w:rsidR="009A14C7" w:rsidRPr="00E36E4F" w:rsidRDefault="001A615C" w:rsidP="001A615C">
      <w:pPr>
        <w:spacing w:before="240" w:line="240" w:lineRule="auto"/>
        <w:outlineLvl w:val="0"/>
        <w:rPr>
          <w:b/>
          <w:lang w:val="en-GB"/>
        </w:rPr>
      </w:pPr>
      <w:r>
        <w:rPr>
          <w:b/>
          <w:lang w:val="en-GB"/>
        </w:rPr>
        <w:br w:type="page"/>
      </w:r>
      <w:r w:rsidR="009A14C7">
        <w:rPr>
          <w:b/>
          <w:lang w:val="en-GB"/>
        </w:rPr>
        <w:lastRenderedPageBreak/>
        <w:t xml:space="preserve">Document revision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0"/>
        <w:gridCol w:w="5419"/>
        <w:gridCol w:w="2227"/>
      </w:tblGrid>
      <w:tr w:rsidR="009A14C7" w:rsidRPr="00E36E4F" w14:paraId="73B5BC1B" w14:textId="77777777">
        <w:tc>
          <w:tcPr>
            <w:tcW w:w="1210" w:type="dxa"/>
            <w:tcBorders>
              <w:top w:val="single" w:sz="4" w:space="0" w:color="auto"/>
              <w:left w:val="single" w:sz="4" w:space="0" w:color="auto"/>
              <w:bottom w:val="single" w:sz="4" w:space="0" w:color="auto"/>
              <w:right w:val="single" w:sz="4" w:space="0" w:color="auto"/>
            </w:tcBorders>
            <w:shd w:val="clear" w:color="auto" w:fill="FFCC99"/>
          </w:tcPr>
          <w:p w14:paraId="56E53502" w14:textId="77777777" w:rsidR="009A14C7" w:rsidRPr="00E36E4F" w:rsidRDefault="009A14C7">
            <w:pPr>
              <w:spacing w:after="0" w:line="240" w:lineRule="auto"/>
              <w:rPr>
                <w:b/>
                <w:lang w:val="en-GB"/>
              </w:rPr>
            </w:pPr>
            <w:r>
              <w:rPr>
                <w:b/>
                <w:lang w:val="en-GB"/>
              </w:rPr>
              <w:t>Version</w:t>
            </w:r>
          </w:p>
        </w:tc>
        <w:tc>
          <w:tcPr>
            <w:tcW w:w="5419" w:type="dxa"/>
            <w:tcBorders>
              <w:top w:val="single" w:sz="4" w:space="0" w:color="auto"/>
              <w:left w:val="single" w:sz="4" w:space="0" w:color="auto"/>
              <w:bottom w:val="single" w:sz="4" w:space="0" w:color="auto"/>
              <w:right w:val="single" w:sz="4" w:space="0" w:color="auto"/>
            </w:tcBorders>
            <w:shd w:val="clear" w:color="auto" w:fill="FFCC99"/>
          </w:tcPr>
          <w:p w14:paraId="322F7C8C" w14:textId="77777777" w:rsidR="009A14C7" w:rsidRPr="00E36E4F" w:rsidRDefault="009A14C7">
            <w:pPr>
              <w:spacing w:after="0" w:line="240" w:lineRule="auto"/>
              <w:rPr>
                <w:b/>
                <w:lang w:val="en-GB"/>
              </w:rPr>
            </w:pPr>
            <w:r>
              <w:rPr>
                <w:b/>
                <w:lang w:val="en-GB"/>
              </w:rPr>
              <w:t>Description</w:t>
            </w:r>
          </w:p>
        </w:tc>
        <w:tc>
          <w:tcPr>
            <w:tcW w:w="2227" w:type="dxa"/>
            <w:tcBorders>
              <w:top w:val="single" w:sz="4" w:space="0" w:color="auto"/>
              <w:left w:val="single" w:sz="4" w:space="0" w:color="auto"/>
              <w:bottom w:val="single" w:sz="4" w:space="0" w:color="auto"/>
              <w:right w:val="single" w:sz="4" w:space="0" w:color="auto"/>
            </w:tcBorders>
            <w:shd w:val="clear" w:color="auto" w:fill="FFCC99"/>
          </w:tcPr>
          <w:p w14:paraId="62C9D322" w14:textId="77777777" w:rsidR="009A14C7" w:rsidRPr="00E36E4F" w:rsidRDefault="009A14C7">
            <w:pPr>
              <w:spacing w:after="0" w:line="240" w:lineRule="auto"/>
              <w:rPr>
                <w:b/>
                <w:lang w:val="en-GB"/>
              </w:rPr>
            </w:pPr>
            <w:r>
              <w:rPr>
                <w:b/>
                <w:lang w:val="en-GB"/>
              </w:rPr>
              <w:t>Date</w:t>
            </w:r>
          </w:p>
        </w:tc>
      </w:tr>
      <w:tr w:rsidR="009A14C7" w:rsidRPr="00E36E4F" w14:paraId="0FA120A8" w14:textId="77777777">
        <w:tc>
          <w:tcPr>
            <w:tcW w:w="1210" w:type="dxa"/>
            <w:tcBorders>
              <w:top w:val="single" w:sz="4" w:space="0" w:color="auto"/>
              <w:left w:val="single" w:sz="4" w:space="0" w:color="auto"/>
              <w:bottom w:val="single" w:sz="4" w:space="0" w:color="auto"/>
              <w:right w:val="single" w:sz="4" w:space="0" w:color="auto"/>
            </w:tcBorders>
            <w:shd w:val="clear" w:color="auto" w:fill="FFCC99"/>
          </w:tcPr>
          <w:p w14:paraId="1DFE4236" w14:textId="77777777" w:rsidR="009A14C7" w:rsidRPr="00E36E4F" w:rsidRDefault="009A14C7">
            <w:pPr>
              <w:spacing w:after="0" w:line="240" w:lineRule="auto"/>
              <w:rPr>
                <w:lang w:val="en-GB"/>
              </w:rPr>
            </w:pPr>
            <w:r>
              <w:rPr>
                <w:lang w:val="en-GB"/>
              </w:rPr>
              <w:t>0.0</w:t>
            </w:r>
          </w:p>
        </w:tc>
        <w:tc>
          <w:tcPr>
            <w:tcW w:w="5419" w:type="dxa"/>
            <w:tcBorders>
              <w:top w:val="single" w:sz="4" w:space="0" w:color="auto"/>
              <w:left w:val="single" w:sz="4" w:space="0" w:color="auto"/>
              <w:bottom w:val="single" w:sz="4" w:space="0" w:color="auto"/>
              <w:right w:val="single" w:sz="4" w:space="0" w:color="auto"/>
            </w:tcBorders>
            <w:shd w:val="clear" w:color="auto" w:fill="FFCC99"/>
          </w:tcPr>
          <w:p w14:paraId="3E3EC265" w14:textId="77777777" w:rsidR="009A14C7" w:rsidRPr="00E36E4F" w:rsidRDefault="009A14C7">
            <w:pPr>
              <w:spacing w:after="0" w:line="240" w:lineRule="auto"/>
              <w:rPr>
                <w:lang w:val="en-GB"/>
              </w:rPr>
            </w:pPr>
            <w:r>
              <w:rPr>
                <w:lang w:val="en-GB"/>
              </w:rPr>
              <w:t>Initial draft</w:t>
            </w:r>
          </w:p>
        </w:tc>
        <w:tc>
          <w:tcPr>
            <w:tcW w:w="2227" w:type="dxa"/>
            <w:tcBorders>
              <w:top w:val="single" w:sz="4" w:space="0" w:color="auto"/>
              <w:left w:val="single" w:sz="4" w:space="0" w:color="auto"/>
              <w:bottom w:val="single" w:sz="4" w:space="0" w:color="auto"/>
              <w:right w:val="single" w:sz="4" w:space="0" w:color="auto"/>
            </w:tcBorders>
            <w:shd w:val="clear" w:color="auto" w:fill="FFCC99"/>
          </w:tcPr>
          <w:p w14:paraId="08B4800D" w14:textId="77777777" w:rsidR="009A14C7" w:rsidRPr="00E36E4F" w:rsidRDefault="009A14C7">
            <w:pPr>
              <w:spacing w:after="0" w:line="240" w:lineRule="auto"/>
              <w:rPr>
                <w:lang w:val="en-GB"/>
              </w:rPr>
            </w:pPr>
            <w:r>
              <w:rPr>
                <w:bCs/>
              </w:rPr>
              <w:t>27</w:t>
            </w:r>
            <w:r w:rsidR="001A615C">
              <w:rPr>
                <w:bCs/>
              </w:rPr>
              <w:t>.11.</w:t>
            </w:r>
            <w:r>
              <w:rPr>
                <w:bCs/>
              </w:rPr>
              <w:t>2012</w:t>
            </w:r>
          </w:p>
        </w:tc>
      </w:tr>
      <w:tr w:rsidR="009A14C7" w:rsidRPr="00E36E4F" w14:paraId="76A4C207" w14:textId="77777777">
        <w:tc>
          <w:tcPr>
            <w:tcW w:w="1210" w:type="dxa"/>
            <w:tcBorders>
              <w:top w:val="single" w:sz="4" w:space="0" w:color="auto"/>
              <w:left w:val="single" w:sz="4" w:space="0" w:color="auto"/>
              <w:bottom w:val="single" w:sz="4" w:space="0" w:color="auto"/>
              <w:right w:val="single" w:sz="4" w:space="0" w:color="auto"/>
            </w:tcBorders>
            <w:shd w:val="clear" w:color="auto" w:fill="FFCC99"/>
          </w:tcPr>
          <w:p w14:paraId="336E8DC5" w14:textId="77777777" w:rsidR="009A14C7" w:rsidRPr="00E36E4F" w:rsidRDefault="009A14C7">
            <w:pPr>
              <w:spacing w:after="0" w:line="240" w:lineRule="auto"/>
              <w:rPr>
                <w:lang w:val="en-GB"/>
              </w:rPr>
            </w:pPr>
            <w:r>
              <w:rPr>
                <w:lang w:val="en-GB"/>
              </w:rPr>
              <w:t>0.1</w:t>
            </w:r>
          </w:p>
        </w:tc>
        <w:tc>
          <w:tcPr>
            <w:tcW w:w="5419" w:type="dxa"/>
            <w:tcBorders>
              <w:top w:val="single" w:sz="4" w:space="0" w:color="auto"/>
              <w:left w:val="single" w:sz="4" w:space="0" w:color="auto"/>
              <w:bottom w:val="single" w:sz="4" w:space="0" w:color="auto"/>
              <w:right w:val="single" w:sz="4" w:space="0" w:color="auto"/>
            </w:tcBorders>
            <w:shd w:val="clear" w:color="auto" w:fill="FFCC99"/>
          </w:tcPr>
          <w:p w14:paraId="33419602" w14:textId="77777777" w:rsidR="009A14C7" w:rsidRPr="00E36E4F" w:rsidRDefault="009A14C7">
            <w:pPr>
              <w:spacing w:after="0" w:line="240" w:lineRule="auto"/>
              <w:rPr>
                <w:lang w:val="en-GB"/>
              </w:rPr>
            </w:pPr>
            <w:r>
              <w:t>First revision</w:t>
            </w:r>
          </w:p>
        </w:tc>
        <w:tc>
          <w:tcPr>
            <w:tcW w:w="2227" w:type="dxa"/>
            <w:tcBorders>
              <w:top w:val="single" w:sz="4" w:space="0" w:color="auto"/>
              <w:left w:val="single" w:sz="4" w:space="0" w:color="auto"/>
              <w:bottom w:val="single" w:sz="4" w:space="0" w:color="auto"/>
              <w:right w:val="single" w:sz="4" w:space="0" w:color="auto"/>
            </w:tcBorders>
            <w:shd w:val="clear" w:color="auto" w:fill="FFCC99"/>
          </w:tcPr>
          <w:p w14:paraId="7624A397" w14:textId="77777777" w:rsidR="009A14C7" w:rsidRPr="00E36E4F" w:rsidRDefault="009A14C7">
            <w:pPr>
              <w:spacing w:after="0" w:line="240" w:lineRule="auto"/>
              <w:rPr>
                <w:bCs/>
                <w:lang w:val="en-GB"/>
              </w:rPr>
            </w:pPr>
            <w:r>
              <w:rPr>
                <w:bCs/>
              </w:rPr>
              <w:t>03</w:t>
            </w:r>
            <w:r w:rsidR="001A615C">
              <w:rPr>
                <w:bCs/>
              </w:rPr>
              <w:t>.12.</w:t>
            </w:r>
            <w:r>
              <w:rPr>
                <w:bCs/>
              </w:rPr>
              <w:t>2012</w:t>
            </w:r>
          </w:p>
        </w:tc>
      </w:tr>
      <w:tr w:rsidR="009A14C7" w:rsidRPr="00E36E4F" w14:paraId="16121F8E" w14:textId="77777777">
        <w:tc>
          <w:tcPr>
            <w:tcW w:w="1210" w:type="dxa"/>
            <w:tcBorders>
              <w:top w:val="single" w:sz="4" w:space="0" w:color="auto"/>
              <w:left w:val="single" w:sz="4" w:space="0" w:color="auto"/>
              <w:bottom w:val="single" w:sz="4" w:space="0" w:color="auto"/>
              <w:right w:val="single" w:sz="4" w:space="0" w:color="auto"/>
            </w:tcBorders>
            <w:shd w:val="clear" w:color="auto" w:fill="FFCC99"/>
          </w:tcPr>
          <w:p w14:paraId="29B46F38" w14:textId="77777777" w:rsidR="009A14C7" w:rsidRPr="00E36E4F" w:rsidRDefault="009A14C7">
            <w:pPr>
              <w:spacing w:after="0" w:line="240" w:lineRule="auto"/>
              <w:rPr>
                <w:lang w:val="en-GB"/>
              </w:rPr>
            </w:pPr>
            <w:r>
              <w:rPr>
                <w:lang w:val="en-GB"/>
              </w:rPr>
              <w:t>0.2</w:t>
            </w:r>
          </w:p>
        </w:tc>
        <w:tc>
          <w:tcPr>
            <w:tcW w:w="5419" w:type="dxa"/>
            <w:tcBorders>
              <w:top w:val="single" w:sz="4" w:space="0" w:color="auto"/>
              <w:left w:val="single" w:sz="4" w:space="0" w:color="auto"/>
              <w:bottom w:val="single" w:sz="4" w:space="0" w:color="auto"/>
              <w:right w:val="single" w:sz="4" w:space="0" w:color="auto"/>
            </w:tcBorders>
            <w:shd w:val="clear" w:color="auto" w:fill="FFCC99"/>
          </w:tcPr>
          <w:p w14:paraId="0A1B87BF" w14:textId="77777777" w:rsidR="009A14C7" w:rsidRPr="00E36E4F" w:rsidRDefault="009A14C7">
            <w:pPr>
              <w:spacing w:after="0" w:line="240" w:lineRule="auto"/>
              <w:rPr>
                <w:lang w:val="en-GB"/>
              </w:rPr>
            </w:pPr>
            <w:r>
              <w:rPr>
                <w:lang w:val="en-GB"/>
              </w:rPr>
              <w:t>Second revision</w:t>
            </w:r>
          </w:p>
        </w:tc>
        <w:tc>
          <w:tcPr>
            <w:tcW w:w="2227" w:type="dxa"/>
            <w:tcBorders>
              <w:top w:val="single" w:sz="4" w:space="0" w:color="auto"/>
              <w:left w:val="single" w:sz="4" w:space="0" w:color="auto"/>
              <w:bottom w:val="single" w:sz="4" w:space="0" w:color="auto"/>
              <w:right w:val="single" w:sz="4" w:space="0" w:color="auto"/>
            </w:tcBorders>
            <w:shd w:val="clear" w:color="auto" w:fill="FFCC99"/>
          </w:tcPr>
          <w:p w14:paraId="5D335A0A" w14:textId="77777777" w:rsidR="009A14C7" w:rsidRPr="00E36E4F" w:rsidRDefault="009A14C7">
            <w:pPr>
              <w:spacing w:after="0" w:line="240" w:lineRule="auto"/>
              <w:rPr>
                <w:bCs/>
                <w:lang w:val="en-GB"/>
              </w:rPr>
            </w:pPr>
            <w:r>
              <w:rPr>
                <w:bCs/>
                <w:lang w:val="en-GB"/>
              </w:rPr>
              <w:t>04</w:t>
            </w:r>
            <w:r w:rsidR="001A615C">
              <w:rPr>
                <w:bCs/>
                <w:lang w:val="en-GB"/>
              </w:rPr>
              <w:t>.03.</w:t>
            </w:r>
            <w:r>
              <w:rPr>
                <w:bCs/>
                <w:lang w:val="en-GB"/>
              </w:rPr>
              <w:t>2013</w:t>
            </w:r>
          </w:p>
        </w:tc>
      </w:tr>
      <w:tr w:rsidR="009A14C7" w:rsidRPr="00E36E4F" w14:paraId="5BAED25F" w14:textId="77777777">
        <w:tc>
          <w:tcPr>
            <w:tcW w:w="1210" w:type="dxa"/>
            <w:tcBorders>
              <w:top w:val="single" w:sz="4" w:space="0" w:color="auto"/>
              <w:left w:val="single" w:sz="4" w:space="0" w:color="auto"/>
              <w:bottom w:val="single" w:sz="4" w:space="0" w:color="auto"/>
              <w:right w:val="single" w:sz="4" w:space="0" w:color="auto"/>
            </w:tcBorders>
            <w:shd w:val="clear" w:color="auto" w:fill="FFCC99"/>
          </w:tcPr>
          <w:p w14:paraId="50514FF8" w14:textId="77777777" w:rsidR="009A14C7" w:rsidRPr="00E36E4F" w:rsidRDefault="009A14C7">
            <w:pPr>
              <w:spacing w:after="0" w:line="240" w:lineRule="auto"/>
              <w:rPr>
                <w:lang w:val="en-GB"/>
              </w:rPr>
            </w:pPr>
            <w:r>
              <w:rPr>
                <w:lang w:val="en-GB"/>
              </w:rPr>
              <w:t>0.3</w:t>
            </w:r>
          </w:p>
        </w:tc>
        <w:tc>
          <w:tcPr>
            <w:tcW w:w="5419" w:type="dxa"/>
            <w:tcBorders>
              <w:top w:val="single" w:sz="4" w:space="0" w:color="auto"/>
              <w:left w:val="single" w:sz="4" w:space="0" w:color="auto"/>
              <w:bottom w:val="single" w:sz="4" w:space="0" w:color="auto"/>
              <w:right w:val="single" w:sz="4" w:space="0" w:color="auto"/>
            </w:tcBorders>
            <w:shd w:val="clear" w:color="auto" w:fill="FFCC99"/>
          </w:tcPr>
          <w:p w14:paraId="5A75BE93" w14:textId="77777777" w:rsidR="009A14C7" w:rsidRPr="00E36E4F" w:rsidRDefault="009A14C7">
            <w:pPr>
              <w:spacing w:after="0" w:line="240" w:lineRule="auto"/>
              <w:rPr>
                <w:lang w:val="en-GB"/>
              </w:rPr>
            </w:pPr>
            <w:r>
              <w:rPr>
                <w:lang w:val="en-GB"/>
              </w:rPr>
              <w:t>Third revision</w:t>
            </w:r>
          </w:p>
        </w:tc>
        <w:tc>
          <w:tcPr>
            <w:tcW w:w="2227" w:type="dxa"/>
            <w:tcBorders>
              <w:top w:val="single" w:sz="4" w:space="0" w:color="auto"/>
              <w:left w:val="single" w:sz="4" w:space="0" w:color="auto"/>
              <w:bottom w:val="single" w:sz="4" w:space="0" w:color="auto"/>
              <w:right w:val="single" w:sz="4" w:space="0" w:color="auto"/>
            </w:tcBorders>
            <w:shd w:val="clear" w:color="auto" w:fill="FFCC99"/>
          </w:tcPr>
          <w:p w14:paraId="721CF34D" w14:textId="77777777" w:rsidR="009A14C7" w:rsidRPr="00E36E4F" w:rsidRDefault="009A14C7">
            <w:pPr>
              <w:spacing w:after="0" w:line="240" w:lineRule="auto"/>
              <w:rPr>
                <w:bCs/>
                <w:lang w:val="en-GB"/>
              </w:rPr>
            </w:pPr>
            <w:r>
              <w:rPr>
                <w:bCs/>
                <w:lang w:val="en-GB"/>
              </w:rPr>
              <w:t>20</w:t>
            </w:r>
            <w:r w:rsidR="001A615C">
              <w:rPr>
                <w:bCs/>
                <w:lang w:val="en-GB"/>
              </w:rPr>
              <w:t>.03.</w:t>
            </w:r>
            <w:r>
              <w:rPr>
                <w:bCs/>
                <w:lang w:val="en-GB"/>
              </w:rPr>
              <w:t>2013</w:t>
            </w:r>
          </w:p>
        </w:tc>
      </w:tr>
      <w:tr w:rsidR="009A14C7" w:rsidRPr="00E36E4F" w14:paraId="31AFF58B" w14:textId="77777777">
        <w:tc>
          <w:tcPr>
            <w:tcW w:w="1210" w:type="dxa"/>
            <w:tcBorders>
              <w:top w:val="single" w:sz="4" w:space="0" w:color="auto"/>
              <w:left w:val="single" w:sz="4" w:space="0" w:color="auto"/>
              <w:bottom w:val="single" w:sz="4" w:space="0" w:color="auto"/>
              <w:right w:val="single" w:sz="4" w:space="0" w:color="auto"/>
            </w:tcBorders>
            <w:shd w:val="clear" w:color="auto" w:fill="FFCC99"/>
          </w:tcPr>
          <w:p w14:paraId="5CC97B06" w14:textId="77777777" w:rsidR="009A14C7" w:rsidRDefault="009A14C7">
            <w:pPr>
              <w:spacing w:after="0" w:line="240" w:lineRule="auto"/>
              <w:rPr>
                <w:lang w:val="en-GB"/>
              </w:rPr>
            </w:pPr>
            <w:r>
              <w:rPr>
                <w:lang w:val="en-GB"/>
              </w:rPr>
              <w:t>0.4</w:t>
            </w:r>
          </w:p>
        </w:tc>
        <w:tc>
          <w:tcPr>
            <w:tcW w:w="5419" w:type="dxa"/>
            <w:tcBorders>
              <w:top w:val="single" w:sz="4" w:space="0" w:color="auto"/>
              <w:left w:val="single" w:sz="4" w:space="0" w:color="auto"/>
              <w:bottom w:val="single" w:sz="4" w:space="0" w:color="auto"/>
              <w:right w:val="single" w:sz="4" w:space="0" w:color="auto"/>
            </w:tcBorders>
            <w:shd w:val="clear" w:color="auto" w:fill="FFCC99"/>
          </w:tcPr>
          <w:p w14:paraId="38818054" w14:textId="77777777" w:rsidR="009A14C7" w:rsidRDefault="009A14C7">
            <w:pPr>
              <w:spacing w:after="0" w:line="240" w:lineRule="auto"/>
              <w:rPr>
                <w:lang w:val="en-GB"/>
              </w:rPr>
            </w:pPr>
            <w:r>
              <w:rPr>
                <w:lang w:val="en-GB"/>
              </w:rPr>
              <w:t>Fourth revision</w:t>
            </w:r>
          </w:p>
        </w:tc>
        <w:tc>
          <w:tcPr>
            <w:tcW w:w="2227" w:type="dxa"/>
            <w:tcBorders>
              <w:top w:val="single" w:sz="4" w:space="0" w:color="auto"/>
              <w:left w:val="single" w:sz="4" w:space="0" w:color="auto"/>
              <w:bottom w:val="single" w:sz="4" w:space="0" w:color="auto"/>
              <w:right w:val="single" w:sz="4" w:space="0" w:color="auto"/>
            </w:tcBorders>
            <w:shd w:val="clear" w:color="auto" w:fill="FFCC99"/>
          </w:tcPr>
          <w:p w14:paraId="5B24E69D" w14:textId="77777777" w:rsidR="009A14C7" w:rsidRPr="00E96C14" w:rsidRDefault="009A14C7">
            <w:pPr>
              <w:spacing w:after="0" w:line="240" w:lineRule="auto"/>
              <w:rPr>
                <w:lang w:val="en-GB"/>
              </w:rPr>
            </w:pPr>
            <w:r w:rsidRPr="00E96C14">
              <w:rPr>
                <w:lang w:val="en-GB"/>
              </w:rPr>
              <w:t>28</w:t>
            </w:r>
            <w:r w:rsidR="001A615C">
              <w:rPr>
                <w:lang w:val="en-GB"/>
              </w:rPr>
              <w:t>.03.</w:t>
            </w:r>
            <w:r w:rsidRPr="00E96C14">
              <w:rPr>
                <w:lang w:val="en-GB"/>
              </w:rPr>
              <w:t>2013</w:t>
            </w:r>
          </w:p>
        </w:tc>
      </w:tr>
      <w:tr w:rsidR="009A14C7" w:rsidRPr="00E36E4F" w14:paraId="13FD536B" w14:textId="77777777">
        <w:tc>
          <w:tcPr>
            <w:tcW w:w="1210" w:type="dxa"/>
            <w:tcBorders>
              <w:top w:val="single" w:sz="4" w:space="0" w:color="auto"/>
              <w:left w:val="single" w:sz="4" w:space="0" w:color="auto"/>
              <w:bottom w:val="single" w:sz="4" w:space="0" w:color="auto"/>
              <w:right w:val="single" w:sz="4" w:space="0" w:color="auto"/>
            </w:tcBorders>
            <w:shd w:val="clear" w:color="auto" w:fill="FFCC99"/>
          </w:tcPr>
          <w:p w14:paraId="466BAD89" w14:textId="77777777" w:rsidR="009A14C7" w:rsidRDefault="009A14C7">
            <w:pPr>
              <w:spacing w:after="0" w:line="240" w:lineRule="auto"/>
              <w:rPr>
                <w:lang w:val="en-GB"/>
              </w:rPr>
            </w:pPr>
            <w:r>
              <w:rPr>
                <w:lang w:val="en-GB"/>
              </w:rPr>
              <w:t>0.5</w:t>
            </w:r>
          </w:p>
        </w:tc>
        <w:tc>
          <w:tcPr>
            <w:tcW w:w="5419" w:type="dxa"/>
            <w:tcBorders>
              <w:top w:val="single" w:sz="4" w:space="0" w:color="auto"/>
              <w:left w:val="single" w:sz="4" w:space="0" w:color="auto"/>
              <w:bottom w:val="single" w:sz="4" w:space="0" w:color="auto"/>
              <w:right w:val="single" w:sz="4" w:space="0" w:color="auto"/>
            </w:tcBorders>
            <w:shd w:val="clear" w:color="auto" w:fill="FFCC99"/>
          </w:tcPr>
          <w:p w14:paraId="2BED4B05" w14:textId="77777777" w:rsidR="009A14C7" w:rsidRDefault="009A14C7">
            <w:pPr>
              <w:spacing w:after="0" w:line="240" w:lineRule="auto"/>
              <w:rPr>
                <w:lang w:val="en-GB"/>
              </w:rPr>
            </w:pPr>
            <w:r>
              <w:rPr>
                <w:lang w:val="en-GB"/>
              </w:rPr>
              <w:t>Fifth revision</w:t>
            </w:r>
          </w:p>
        </w:tc>
        <w:tc>
          <w:tcPr>
            <w:tcW w:w="2227" w:type="dxa"/>
            <w:tcBorders>
              <w:top w:val="single" w:sz="4" w:space="0" w:color="auto"/>
              <w:left w:val="single" w:sz="4" w:space="0" w:color="auto"/>
              <w:bottom w:val="single" w:sz="4" w:space="0" w:color="auto"/>
              <w:right w:val="single" w:sz="4" w:space="0" w:color="auto"/>
            </w:tcBorders>
            <w:shd w:val="clear" w:color="auto" w:fill="FFCC99"/>
          </w:tcPr>
          <w:p w14:paraId="4963C805" w14:textId="77777777" w:rsidR="009A14C7" w:rsidRPr="00E96C14" w:rsidRDefault="009A14C7">
            <w:pPr>
              <w:spacing w:after="0" w:line="240" w:lineRule="auto"/>
              <w:rPr>
                <w:lang w:val="en-GB"/>
              </w:rPr>
            </w:pPr>
            <w:r>
              <w:rPr>
                <w:lang w:val="en-GB"/>
              </w:rPr>
              <w:t>05</w:t>
            </w:r>
            <w:r w:rsidR="001A615C">
              <w:rPr>
                <w:lang w:val="en-GB"/>
              </w:rPr>
              <w:t>.12.</w:t>
            </w:r>
            <w:r>
              <w:rPr>
                <w:lang w:val="en-GB"/>
              </w:rPr>
              <w:t>2013</w:t>
            </w:r>
          </w:p>
        </w:tc>
      </w:tr>
      <w:tr w:rsidR="009A14C7" w:rsidRPr="00E36E4F" w14:paraId="436EA30C" w14:textId="77777777">
        <w:tc>
          <w:tcPr>
            <w:tcW w:w="1210" w:type="dxa"/>
            <w:tcBorders>
              <w:top w:val="single" w:sz="4" w:space="0" w:color="auto"/>
              <w:left w:val="single" w:sz="4" w:space="0" w:color="auto"/>
              <w:bottom w:val="single" w:sz="4" w:space="0" w:color="auto"/>
              <w:right w:val="single" w:sz="4" w:space="0" w:color="auto"/>
            </w:tcBorders>
            <w:shd w:val="clear" w:color="auto" w:fill="FFCC99"/>
          </w:tcPr>
          <w:p w14:paraId="7875DD0D" w14:textId="77777777" w:rsidR="009A14C7" w:rsidRPr="00E36E4F" w:rsidRDefault="009A14C7" w:rsidP="00215DA3">
            <w:pPr>
              <w:spacing w:after="0" w:line="240" w:lineRule="auto"/>
              <w:rPr>
                <w:lang w:val="en-GB"/>
              </w:rPr>
            </w:pPr>
            <w:r>
              <w:rPr>
                <w:lang w:val="en-GB"/>
              </w:rPr>
              <w:t>0.</w:t>
            </w:r>
            <w:r w:rsidR="00215DA3">
              <w:rPr>
                <w:lang w:val="en-GB"/>
              </w:rPr>
              <w:t>6</w:t>
            </w:r>
          </w:p>
        </w:tc>
        <w:tc>
          <w:tcPr>
            <w:tcW w:w="5419" w:type="dxa"/>
            <w:tcBorders>
              <w:top w:val="single" w:sz="4" w:space="0" w:color="auto"/>
              <w:left w:val="single" w:sz="4" w:space="0" w:color="auto"/>
              <w:bottom w:val="single" w:sz="4" w:space="0" w:color="auto"/>
              <w:right w:val="single" w:sz="4" w:space="0" w:color="auto"/>
            </w:tcBorders>
            <w:shd w:val="clear" w:color="auto" w:fill="FFCC99"/>
          </w:tcPr>
          <w:p w14:paraId="5CAE29DE" w14:textId="77777777" w:rsidR="009A14C7" w:rsidRPr="00E36E4F" w:rsidRDefault="009A14C7">
            <w:pPr>
              <w:spacing w:after="0" w:line="240" w:lineRule="auto"/>
              <w:rPr>
                <w:lang w:val="en-GB"/>
              </w:rPr>
            </w:pPr>
            <w:r>
              <w:rPr>
                <w:lang w:val="en-GB"/>
              </w:rPr>
              <w:t>Revision after Management Team discussion</w:t>
            </w:r>
          </w:p>
        </w:tc>
        <w:tc>
          <w:tcPr>
            <w:tcW w:w="2227" w:type="dxa"/>
            <w:tcBorders>
              <w:top w:val="single" w:sz="4" w:space="0" w:color="auto"/>
              <w:left w:val="single" w:sz="4" w:space="0" w:color="auto"/>
              <w:bottom w:val="single" w:sz="4" w:space="0" w:color="auto"/>
              <w:right w:val="single" w:sz="4" w:space="0" w:color="auto"/>
            </w:tcBorders>
            <w:shd w:val="clear" w:color="auto" w:fill="FFCC99"/>
          </w:tcPr>
          <w:p w14:paraId="20890417" w14:textId="77777777" w:rsidR="009A14C7" w:rsidRPr="00E36E4F" w:rsidRDefault="00215DA3">
            <w:pPr>
              <w:spacing w:after="0" w:line="240" w:lineRule="auto"/>
              <w:rPr>
                <w:b/>
                <w:lang w:val="en-GB"/>
              </w:rPr>
            </w:pPr>
            <w:r>
              <w:t>20</w:t>
            </w:r>
            <w:r w:rsidR="001A615C">
              <w:t>.03.</w:t>
            </w:r>
            <w:r>
              <w:t>2014</w:t>
            </w:r>
          </w:p>
        </w:tc>
      </w:tr>
      <w:tr w:rsidR="009A14C7" w:rsidRPr="00E36E4F" w14:paraId="79EC12FA" w14:textId="77777777">
        <w:tc>
          <w:tcPr>
            <w:tcW w:w="1210" w:type="dxa"/>
            <w:tcBorders>
              <w:top w:val="single" w:sz="4" w:space="0" w:color="auto"/>
              <w:left w:val="single" w:sz="4" w:space="0" w:color="auto"/>
              <w:bottom w:val="single" w:sz="4" w:space="0" w:color="auto"/>
              <w:right w:val="single" w:sz="4" w:space="0" w:color="auto"/>
            </w:tcBorders>
            <w:shd w:val="clear" w:color="auto" w:fill="FFCC99"/>
          </w:tcPr>
          <w:p w14:paraId="0671E226" w14:textId="77777777" w:rsidR="009A14C7" w:rsidRPr="00E36E4F" w:rsidRDefault="009A14C7">
            <w:pPr>
              <w:spacing w:after="0" w:line="240" w:lineRule="auto"/>
              <w:rPr>
                <w:lang w:val="en-GB"/>
              </w:rPr>
            </w:pPr>
            <w:r>
              <w:rPr>
                <w:lang w:val="en-GB"/>
              </w:rPr>
              <w:t>1.0</w:t>
            </w:r>
          </w:p>
        </w:tc>
        <w:tc>
          <w:tcPr>
            <w:tcW w:w="5419" w:type="dxa"/>
            <w:tcBorders>
              <w:top w:val="single" w:sz="4" w:space="0" w:color="auto"/>
              <w:left w:val="single" w:sz="4" w:space="0" w:color="auto"/>
              <w:bottom w:val="single" w:sz="4" w:space="0" w:color="auto"/>
              <w:right w:val="single" w:sz="4" w:space="0" w:color="auto"/>
            </w:tcBorders>
            <w:shd w:val="clear" w:color="auto" w:fill="FFCC99"/>
          </w:tcPr>
          <w:p w14:paraId="59FD76AA" w14:textId="77777777" w:rsidR="009A14C7" w:rsidRPr="00E36E4F" w:rsidRDefault="009A14C7">
            <w:pPr>
              <w:spacing w:after="0" w:line="240" w:lineRule="auto"/>
              <w:rPr>
                <w:lang w:val="en-GB"/>
              </w:rPr>
            </w:pPr>
            <w:r>
              <w:rPr>
                <w:lang w:val="en-GB"/>
              </w:rPr>
              <w:t>First version issued and posted</w:t>
            </w:r>
          </w:p>
        </w:tc>
        <w:tc>
          <w:tcPr>
            <w:tcW w:w="2227" w:type="dxa"/>
            <w:tcBorders>
              <w:top w:val="single" w:sz="4" w:space="0" w:color="auto"/>
              <w:left w:val="single" w:sz="4" w:space="0" w:color="auto"/>
              <w:bottom w:val="single" w:sz="4" w:space="0" w:color="auto"/>
              <w:right w:val="single" w:sz="4" w:space="0" w:color="auto"/>
            </w:tcBorders>
            <w:shd w:val="clear" w:color="auto" w:fill="FFCC99"/>
          </w:tcPr>
          <w:p w14:paraId="6BBE2DB3" w14:textId="77777777" w:rsidR="009A14C7" w:rsidRPr="00E36E4F" w:rsidRDefault="00851D8B">
            <w:pPr>
              <w:spacing w:after="0" w:line="240" w:lineRule="auto"/>
              <w:rPr>
                <w:lang w:val="en-GB"/>
              </w:rPr>
            </w:pPr>
            <w:r>
              <w:rPr>
                <w:lang w:val="en-GB"/>
              </w:rPr>
              <w:t>08.05.2014</w:t>
            </w:r>
          </w:p>
        </w:tc>
      </w:tr>
      <w:tr w:rsidR="00514C71" w:rsidRPr="00E36E4F" w14:paraId="17F68EAF" w14:textId="77777777" w:rsidTr="00514C71">
        <w:tc>
          <w:tcPr>
            <w:tcW w:w="1210" w:type="dxa"/>
            <w:tcBorders>
              <w:top w:val="single" w:sz="4" w:space="0" w:color="auto"/>
              <w:left w:val="single" w:sz="4" w:space="0" w:color="auto"/>
              <w:bottom w:val="single" w:sz="4" w:space="0" w:color="auto"/>
              <w:right w:val="single" w:sz="4" w:space="0" w:color="auto"/>
            </w:tcBorders>
            <w:shd w:val="clear" w:color="auto" w:fill="FFCC99"/>
          </w:tcPr>
          <w:p w14:paraId="70A0F0D6" w14:textId="77777777" w:rsidR="00514C71" w:rsidRPr="00E36E4F" w:rsidRDefault="00514C71" w:rsidP="00AE30F0">
            <w:pPr>
              <w:spacing w:after="0" w:line="240" w:lineRule="auto"/>
              <w:rPr>
                <w:lang w:val="en-GB"/>
              </w:rPr>
            </w:pPr>
            <w:r>
              <w:rPr>
                <w:lang w:val="en-GB"/>
              </w:rPr>
              <w:t>2.0</w:t>
            </w:r>
          </w:p>
        </w:tc>
        <w:tc>
          <w:tcPr>
            <w:tcW w:w="5419" w:type="dxa"/>
            <w:tcBorders>
              <w:top w:val="single" w:sz="4" w:space="0" w:color="auto"/>
              <w:left w:val="single" w:sz="4" w:space="0" w:color="auto"/>
              <w:bottom w:val="single" w:sz="4" w:space="0" w:color="auto"/>
              <w:right w:val="single" w:sz="4" w:space="0" w:color="auto"/>
            </w:tcBorders>
            <w:shd w:val="clear" w:color="auto" w:fill="FFCC99"/>
          </w:tcPr>
          <w:p w14:paraId="694430DC" w14:textId="77777777" w:rsidR="00514C71" w:rsidRPr="00E36E4F" w:rsidRDefault="00514C71" w:rsidP="00AE30F0">
            <w:pPr>
              <w:spacing w:after="0" w:line="240" w:lineRule="auto"/>
              <w:rPr>
                <w:lang w:val="en-GB"/>
              </w:rPr>
            </w:pPr>
            <w:r>
              <w:rPr>
                <w:lang w:val="en-GB"/>
              </w:rPr>
              <w:t>Second version issued and posted</w:t>
            </w:r>
          </w:p>
        </w:tc>
        <w:tc>
          <w:tcPr>
            <w:tcW w:w="2227" w:type="dxa"/>
            <w:tcBorders>
              <w:top w:val="single" w:sz="4" w:space="0" w:color="auto"/>
              <w:left w:val="single" w:sz="4" w:space="0" w:color="auto"/>
              <w:bottom w:val="single" w:sz="4" w:space="0" w:color="auto"/>
              <w:right w:val="single" w:sz="4" w:space="0" w:color="auto"/>
            </w:tcBorders>
            <w:shd w:val="clear" w:color="auto" w:fill="FFCC99"/>
          </w:tcPr>
          <w:p w14:paraId="78135025" w14:textId="77777777" w:rsidR="00514C71" w:rsidRPr="00E36E4F" w:rsidRDefault="00213B6F" w:rsidP="00AE30F0">
            <w:pPr>
              <w:spacing w:after="0" w:line="240" w:lineRule="auto"/>
              <w:rPr>
                <w:lang w:val="en-GB"/>
              </w:rPr>
            </w:pPr>
            <w:r>
              <w:rPr>
                <w:lang w:val="en-GB"/>
              </w:rPr>
              <w:t>22.03.2016</w:t>
            </w:r>
          </w:p>
        </w:tc>
      </w:tr>
      <w:tr w:rsidR="00F967FE" w:rsidRPr="00E36E4F" w14:paraId="344FD8FA" w14:textId="77777777" w:rsidTr="00A8016F">
        <w:tc>
          <w:tcPr>
            <w:tcW w:w="12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8CC9122" w14:textId="77777777" w:rsidR="00F967FE" w:rsidRDefault="00F967FE" w:rsidP="00AE30F0">
            <w:pPr>
              <w:spacing w:after="0" w:line="240" w:lineRule="auto"/>
              <w:rPr>
                <w:lang w:val="en-GB"/>
              </w:rPr>
            </w:pPr>
            <w:r>
              <w:rPr>
                <w:lang w:val="en-GB"/>
              </w:rPr>
              <w:t>2.1</w:t>
            </w:r>
          </w:p>
        </w:tc>
        <w:tc>
          <w:tcPr>
            <w:tcW w:w="541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AE8C316" w14:textId="77777777" w:rsidR="00F967FE" w:rsidRDefault="00F967FE" w:rsidP="00AE30F0">
            <w:pPr>
              <w:spacing w:after="0" w:line="240" w:lineRule="auto"/>
              <w:rPr>
                <w:lang w:val="en-GB"/>
              </w:rPr>
            </w:pPr>
            <w:r>
              <w:rPr>
                <w:lang w:val="en-GB"/>
              </w:rPr>
              <w:t>Technical update of second version</w:t>
            </w:r>
          </w:p>
        </w:tc>
        <w:tc>
          <w:tcPr>
            <w:tcW w:w="22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E90CE87" w14:textId="593C3E0C" w:rsidR="00F967FE" w:rsidRDefault="00A8016F" w:rsidP="00AE30F0">
            <w:pPr>
              <w:spacing w:after="0" w:line="240" w:lineRule="auto"/>
              <w:rPr>
                <w:lang w:val="en-GB"/>
              </w:rPr>
            </w:pPr>
            <w:r>
              <w:rPr>
                <w:lang w:val="en-GB"/>
              </w:rPr>
              <w:t>12.09.2019</w:t>
            </w:r>
          </w:p>
        </w:tc>
      </w:tr>
    </w:tbl>
    <w:p w14:paraId="7643B0AE" w14:textId="77777777" w:rsidR="009A14C7" w:rsidRPr="00E36E4F" w:rsidRDefault="009A14C7">
      <w:pPr>
        <w:autoSpaceDE w:val="0"/>
        <w:autoSpaceDN w:val="0"/>
        <w:adjustRightInd w:val="0"/>
        <w:spacing w:after="0" w:line="240" w:lineRule="auto"/>
        <w:rPr>
          <w:lang w:val="en-GB"/>
        </w:rPr>
      </w:pPr>
    </w:p>
    <w:sectPr w:rsidR="009A14C7" w:rsidRPr="00E36E4F" w:rsidSect="00BF5DB9">
      <w:footerReference w:type="default" r:id="rId9"/>
      <w:footerReference w:type="first" r:id="rId10"/>
      <w:pgSz w:w="11907" w:h="16840" w:code="9"/>
      <w:pgMar w:top="1412" w:right="1412" w:bottom="1412"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1989" w14:textId="77777777" w:rsidR="00B06DC5" w:rsidRDefault="00B06DC5" w:rsidP="00D40E9B">
      <w:pPr>
        <w:spacing w:after="0" w:line="240" w:lineRule="auto"/>
      </w:pPr>
      <w:r>
        <w:separator/>
      </w:r>
    </w:p>
  </w:endnote>
  <w:endnote w:type="continuationSeparator" w:id="0">
    <w:p w14:paraId="1991741A" w14:textId="77777777" w:rsidR="00B06DC5" w:rsidRDefault="00B06DC5" w:rsidP="00D4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AE13" w14:textId="77777777" w:rsidR="00AE30F0" w:rsidRPr="00ED53B2" w:rsidRDefault="00BA6623" w:rsidP="00712602">
    <w:pPr>
      <w:pStyle w:val="Footer"/>
      <w:framePr w:wrap="auto" w:vAnchor="text" w:hAnchor="margin" w:xAlign="center" w:y="1"/>
      <w:rPr>
        <w:rStyle w:val="PageNumber"/>
        <w:rFonts w:ascii="Calibri" w:hAnsi="Calibri" w:cs="Arial"/>
      </w:rPr>
    </w:pPr>
    <w:r w:rsidRPr="00ED53B2">
      <w:rPr>
        <w:rStyle w:val="PageNumber"/>
        <w:rFonts w:ascii="Calibri" w:hAnsi="Calibri" w:cs="Arial"/>
      </w:rPr>
      <w:fldChar w:fldCharType="begin"/>
    </w:r>
    <w:r w:rsidR="00AE30F0" w:rsidRPr="00ED53B2">
      <w:rPr>
        <w:rStyle w:val="PageNumber"/>
        <w:rFonts w:ascii="Calibri" w:hAnsi="Calibri" w:cs="Arial"/>
      </w:rPr>
      <w:instrText xml:space="preserve">PAGE  </w:instrText>
    </w:r>
    <w:r w:rsidRPr="00ED53B2">
      <w:rPr>
        <w:rStyle w:val="PageNumber"/>
        <w:rFonts w:ascii="Calibri" w:hAnsi="Calibri" w:cs="Arial"/>
      </w:rPr>
      <w:fldChar w:fldCharType="separate"/>
    </w:r>
    <w:r w:rsidR="00D05937">
      <w:rPr>
        <w:rStyle w:val="PageNumber"/>
        <w:rFonts w:ascii="Calibri" w:hAnsi="Calibri" w:cs="Arial"/>
        <w:noProof/>
      </w:rPr>
      <w:t>6</w:t>
    </w:r>
    <w:r w:rsidRPr="00ED53B2">
      <w:rPr>
        <w:rStyle w:val="PageNumber"/>
        <w:rFonts w:ascii="Calibri" w:hAnsi="Calibri" w:cs="Arial"/>
      </w:rPr>
      <w:fldChar w:fldCharType="end"/>
    </w:r>
  </w:p>
  <w:p w14:paraId="08C2D903" w14:textId="77777777" w:rsidR="00AE30F0" w:rsidRDefault="00AE3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B305" w14:textId="77777777" w:rsidR="00AE30F0" w:rsidRDefault="00AE30F0" w:rsidP="001A615C">
    <w:pPr>
      <w:pStyle w:val="Footer"/>
      <w:tabs>
        <w:tab w:val="center" w:pos="4680"/>
        <w:tab w:val="left" w:pos="585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2312" w14:textId="77777777" w:rsidR="00B06DC5" w:rsidRDefault="00B06DC5" w:rsidP="00D40E9B">
      <w:pPr>
        <w:spacing w:after="0" w:line="240" w:lineRule="auto"/>
      </w:pPr>
      <w:r>
        <w:separator/>
      </w:r>
    </w:p>
  </w:footnote>
  <w:footnote w:type="continuationSeparator" w:id="0">
    <w:p w14:paraId="71430C38" w14:textId="77777777" w:rsidR="00B06DC5" w:rsidRDefault="00B06DC5" w:rsidP="00D40E9B">
      <w:pPr>
        <w:spacing w:after="0" w:line="240" w:lineRule="auto"/>
      </w:pPr>
      <w:r>
        <w:continuationSeparator/>
      </w:r>
    </w:p>
  </w:footnote>
  <w:footnote w:id="1">
    <w:p w14:paraId="27FA298E" w14:textId="4ACFD39E" w:rsidR="00AE30F0" w:rsidRPr="00055D12" w:rsidRDefault="00AE30F0">
      <w:pPr>
        <w:pStyle w:val="FootnoteText"/>
      </w:pPr>
      <w:r>
        <w:rPr>
          <w:rStyle w:val="FootnoteReference"/>
        </w:rPr>
        <w:footnoteRef/>
      </w:r>
      <w:r>
        <w:t xml:space="preserve"> SOP#2 on “</w:t>
      </w:r>
      <w:r w:rsidRPr="00055D12">
        <w:t xml:space="preserve">Processing of pre-session working documents for the meetings of the conferences of the </w:t>
      </w:r>
      <w:r w:rsidR="0034616D">
        <w:t>P</w:t>
      </w:r>
      <w:r w:rsidRPr="00055D12">
        <w:t>arties and the subsidiary bodies</w:t>
      </w:r>
      <w:r>
        <w:t>”, SOP#3 on “</w:t>
      </w:r>
      <w:r w:rsidRPr="00055D12">
        <w:t xml:space="preserve">In house processing of pre-session information documents (in English only) for meetings of the conferences of the </w:t>
      </w:r>
      <w:r w:rsidR="00147B65">
        <w:t>P</w:t>
      </w:r>
      <w:r w:rsidRPr="00055D12">
        <w:t>arties and the subsidiary bodies</w:t>
      </w:r>
      <w:r>
        <w:t>”, SOP#4 on “</w:t>
      </w:r>
      <w:r w:rsidRPr="00055D12">
        <w:t xml:space="preserve">Preparation of the talking points (president’s notes, chair’s notes and co-chairs’ notes) for meetings of the conferences of the </w:t>
      </w:r>
      <w:r w:rsidR="0034616D">
        <w:t>P</w:t>
      </w:r>
      <w:r w:rsidRPr="00055D12">
        <w:t>arties and the following subsidiary bodies: Basel Convention Open-ended Working Group, Rotterdam Convention Chemical Review Committee and Stockholm Convention Persistent Organic Pollutants Review Committee</w:t>
      </w:r>
      <w:r>
        <w:t>”, SOP#5 on “</w:t>
      </w:r>
      <w:r w:rsidRPr="00055D12">
        <w:t xml:space="preserve">Preparation of the meeting report for meetings of the conferences of the </w:t>
      </w:r>
      <w:r w:rsidR="0034616D">
        <w:t>P</w:t>
      </w:r>
      <w:r w:rsidRPr="00055D12">
        <w:t>arties and the following subsidiary bodies: Basel Convention Open-ended Working Group, Chemical Review Committee and Persistent Organic Pollutants Review Committee</w:t>
      </w:r>
      <w:r>
        <w:t>”,  SOP#7 on “</w:t>
      </w:r>
      <w:r w:rsidRPr="00055D12">
        <w:t xml:space="preserve"> Processing of Conference Room Papers (CRPs) and other related documents during meetings of the conferences of the </w:t>
      </w:r>
      <w:r w:rsidR="0034616D">
        <w:t>P</w:t>
      </w:r>
      <w:r w:rsidRPr="00055D12">
        <w:t xml:space="preserve">arties and the subsidiary bodies </w:t>
      </w:r>
      <w:bookmarkStart w:id="0" w:name="_Hlk16768287"/>
      <w:r w:rsidRPr="00055D12">
        <w:t>(excluding the Implementation and Compliance Committee)</w:t>
      </w:r>
      <w:bookmarkEnd w:id="0"/>
      <w:r>
        <w:t>” and SOP#14 on “</w:t>
      </w:r>
      <w:r w:rsidRPr="00055D12">
        <w:t xml:space="preserve">Information requests to </w:t>
      </w:r>
      <w:r w:rsidR="0034616D">
        <w:t>P</w:t>
      </w:r>
      <w:r w:rsidRPr="00055D12">
        <w:t xml:space="preserve">arties in follow-up to meetings of the conferences of the </w:t>
      </w:r>
      <w:r w:rsidR="0034616D">
        <w:t>P</w:t>
      </w:r>
      <w:r w:rsidRPr="00055D12">
        <w:t>arties and its subsidiary bodies</w:t>
      </w:r>
      <w:r w:rsidRPr="00514C71">
        <w:t>”</w:t>
      </w:r>
      <w:r w:rsidRPr="00514C71">
        <w:rPr>
          <w:rFonts w:cs="Arial"/>
        </w:rPr>
        <w:t>; SOP #25 on “Admission of observers to meetings of Conventions’ bodies and management of Secretariat relationships with observers”</w:t>
      </w:r>
      <w:r w:rsidRPr="00514C71">
        <w:t>.</w:t>
      </w:r>
      <w:r>
        <w:t xml:space="preserve"> </w:t>
      </w:r>
    </w:p>
  </w:footnote>
  <w:footnote w:id="2">
    <w:p w14:paraId="4318FAA9" w14:textId="77777777" w:rsidR="00AE30F0" w:rsidRDefault="00AE30F0" w:rsidP="001A615C">
      <w:pPr>
        <w:pStyle w:val="FootnoteText"/>
        <w:spacing w:after="60"/>
      </w:pPr>
      <w:r>
        <w:rPr>
          <w:rStyle w:val="FootnoteReference"/>
          <w:rFonts w:cs="Arial"/>
        </w:rPr>
        <w:footnoteRef/>
      </w:r>
      <w:r>
        <w:t xml:space="preserve"> </w:t>
      </w:r>
      <w:r w:rsidRPr="00B2504A">
        <w:rPr>
          <w:lang w:val="en-GB"/>
        </w:rPr>
        <w:t>This composition of the intersessional w</w:t>
      </w:r>
      <w:r>
        <w:rPr>
          <w:lang w:val="en-GB"/>
        </w:rPr>
        <w:t>orking groups include</w:t>
      </w:r>
      <w:r w:rsidR="0034616D">
        <w:rPr>
          <w:lang w:val="en-GB"/>
        </w:rPr>
        <w:t>s</w:t>
      </w:r>
      <w:r>
        <w:rPr>
          <w:lang w:val="en-GB"/>
        </w:rPr>
        <w:t xml:space="preserve"> members and observers who participated the POPRC meeting.</w:t>
      </w:r>
    </w:p>
  </w:footnote>
  <w:footnote w:id="3">
    <w:p w14:paraId="30550993" w14:textId="77777777" w:rsidR="00AE30F0" w:rsidRDefault="00AE30F0" w:rsidP="00443F3F">
      <w:pPr>
        <w:pStyle w:val="FootnoteText"/>
      </w:pPr>
      <w:r>
        <w:rPr>
          <w:rStyle w:val="FootnoteReference"/>
          <w:rFonts w:cs="Arial"/>
        </w:rPr>
        <w:footnoteRef/>
      </w:r>
      <w:r>
        <w:t xml:space="preserve"> </w:t>
      </w:r>
      <w:r w:rsidRPr="00EA0AE8">
        <w:rPr>
          <w:lang w:val="en-GB"/>
        </w:rPr>
        <w:t>The additional members could include those who did not participate in the POPRC meeting but were invited by the intersessional working group members.</w:t>
      </w:r>
      <w:r>
        <w:rPr>
          <w:lang w:val="en-GB"/>
        </w:rPr>
        <w:t xml:space="preserve"> They will not appear in the composition of intersessional working groups in the meeting report.</w:t>
      </w:r>
    </w:p>
  </w:footnote>
  <w:footnote w:id="4">
    <w:p w14:paraId="4E846888" w14:textId="16CA731A" w:rsidR="00A42BD0" w:rsidRDefault="00A42BD0" w:rsidP="00A42BD0">
      <w:pPr>
        <w:pStyle w:val="FootnoteText"/>
      </w:pPr>
      <w:r>
        <w:rPr>
          <w:rStyle w:val="FootnoteReference"/>
        </w:rPr>
        <w:footnoteRef/>
      </w:r>
      <w:r>
        <w:t xml:space="preserve"> </w:t>
      </w:r>
      <w:r w:rsidRPr="003E2C7F">
        <w:rPr>
          <w:rFonts w:cs="Arial"/>
          <w:lang w:val="en-GB"/>
        </w:rPr>
        <w:t xml:space="preserve">According to paragraph </w:t>
      </w:r>
      <w:r>
        <w:rPr>
          <w:rFonts w:cs="Arial"/>
          <w:lang w:val="en-GB"/>
        </w:rPr>
        <w:t>9</w:t>
      </w:r>
      <w:r w:rsidRPr="003E2C7F">
        <w:rPr>
          <w:rFonts w:cs="Arial"/>
          <w:lang w:val="en-GB"/>
        </w:rPr>
        <w:t xml:space="preserve"> of decision </w:t>
      </w:r>
      <w:r>
        <w:rPr>
          <w:rFonts w:cs="Arial"/>
          <w:lang w:val="en-GB"/>
        </w:rPr>
        <w:t>S</w:t>
      </w:r>
      <w:r w:rsidRPr="003E2C7F">
        <w:rPr>
          <w:rFonts w:cs="Arial"/>
          <w:lang w:val="en-GB"/>
        </w:rPr>
        <w:t>C-1/</w:t>
      </w:r>
      <w:r>
        <w:rPr>
          <w:rFonts w:cs="Arial"/>
          <w:lang w:val="en-GB"/>
        </w:rPr>
        <w:t>7</w:t>
      </w:r>
      <w:r w:rsidRPr="003E2C7F">
        <w:rPr>
          <w:rFonts w:cs="Arial"/>
          <w:lang w:val="en-GB"/>
        </w:rPr>
        <w:t xml:space="preserve">, any vacancy in the </w:t>
      </w:r>
      <w:r>
        <w:rPr>
          <w:rFonts w:cs="Arial"/>
          <w:lang w:val="en-GB"/>
        </w:rPr>
        <w:t>POPRC</w:t>
      </w:r>
      <w:r w:rsidRPr="003E2C7F">
        <w:rPr>
          <w:rFonts w:cs="Arial"/>
          <w:lang w:val="en-GB"/>
        </w:rPr>
        <w:t xml:space="preserve"> arising during the intersessional period shall be filled </w:t>
      </w:r>
      <w:r>
        <w:t>in accordance with such procedure as the region concerned may determine and the qualifications of the new member shall be circulated to the Parties to the Convention through the Secretariat.</w:t>
      </w:r>
      <w:r w:rsidR="005977A9">
        <w:t xml:space="preserve"> </w:t>
      </w:r>
      <w:r w:rsidR="005977A9">
        <w:rPr>
          <w:rFonts w:cs="Arial"/>
          <w:lang w:val="en-GB"/>
        </w:rPr>
        <w:t>T</w:t>
      </w:r>
      <w:r w:rsidR="005977A9" w:rsidRPr="003E2C7F">
        <w:rPr>
          <w:rFonts w:cs="Arial"/>
          <w:lang w:val="en-GB"/>
        </w:rPr>
        <w:t>he Conference of the Parties shall consider confirmation of such appointment at its next meeting</w:t>
      </w:r>
      <w:r w:rsidR="005977A9">
        <w:rPr>
          <w:rFonts w:cs="Arial"/>
          <w:lang w:val="en-GB"/>
        </w:rPr>
        <w:t xml:space="preserve">. </w:t>
      </w:r>
    </w:p>
  </w:footnote>
  <w:footnote w:id="5">
    <w:p w14:paraId="495D209F" w14:textId="7D7DDEA3" w:rsidR="00AE30F0" w:rsidRPr="00DB01B9" w:rsidRDefault="00AE30F0">
      <w:pPr>
        <w:pStyle w:val="FootnoteText"/>
        <w:rPr>
          <w:lang w:val="en-GB"/>
        </w:rPr>
      </w:pPr>
      <w:r>
        <w:rPr>
          <w:rStyle w:val="FootnoteReference"/>
        </w:rPr>
        <w:footnoteRef/>
      </w:r>
      <w:r>
        <w:t xml:space="preserve"> </w:t>
      </w:r>
      <w:r>
        <w:rPr>
          <w:lang w:val="en-GB"/>
        </w:rPr>
        <w:t xml:space="preserve">The POPRC meetings are paperless, i.e. paper documents are not distributed before, during or after the meeting. </w:t>
      </w:r>
      <w:r w:rsidR="004E1028">
        <w:rPr>
          <w:lang w:val="en-GB"/>
        </w:rPr>
        <w:t xml:space="preserve">CISB </w:t>
      </w:r>
      <w:r>
        <w:rPr>
          <w:lang w:val="en-GB"/>
        </w:rPr>
        <w:t xml:space="preserve">provides services in setting up </w:t>
      </w:r>
      <w:r w:rsidRPr="00330DDF">
        <w:t xml:space="preserve">a website structure for the </w:t>
      </w:r>
      <w:r>
        <w:t xml:space="preserve">paperless </w:t>
      </w:r>
      <w:r w:rsidRPr="00330DDF">
        <w:t>meeting</w:t>
      </w:r>
      <w:r>
        <w:rPr>
          <w:lang w:val="en-GB"/>
        </w:rPr>
        <w:t xml:space="preserve"> and maintaining it up-to-date during the meeting. For details on how this service is organized please refer to the relevant paperless section in the S</w:t>
      </w:r>
      <w:r w:rsidRPr="00851D8B">
        <w:rPr>
          <w:lang w:val="en-GB"/>
        </w:rPr>
        <w:t>OP#26</w:t>
      </w:r>
      <w:r>
        <w:rPr>
          <w:lang w:val="en-GB"/>
        </w:rPr>
        <w:t xml:space="preserve"> on "</w:t>
      </w:r>
      <w:r w:rsidRPr="006D5D67">
        <w:t xml:space="preserve">Organization of the meetings of the conferences of the </w:t>
      </w:r>
      <w:r w:rsidR="00233DFE">
        <w:t>P</w:t>
      </w:r>
      <w:r w:rsidRPr="006D5D67">
        <w:t>arties (COPs) and their subsidiary bodies under the Basel, Rotterdam and Stockholm conventions"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85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B1C0C"/>
    <w:multiLevelType w:val="hybridMultilevel"/>
    <w:tmpl w:val="431E66F8"/>
    <w:lvl w:ilvl="0" w:tplc="5BFE798E">
      <w:start w:val="1"/>
      <w:numFmt w:val="decimal"/>
      <w:lvlText w:val="%1."/>
      <w:lvlJc w:val="left"/>
      <w:pPr>
        <w:ind w:left="927" w:hanging="360"/>
      </w:pPr>
      <w:rPr>
        <w:rFonts w:ascii="Arial" w:hAnsi="Arial" w:cs="Arial" w:hint="default"/>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C3E5F5C"/>
    <w:multiLevelType w:val="hybridMultilevel"/>
    <w:tmpl w:val="1FC4F1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C620551"/>
    <w:multiLevelType w:val="hybridMultilevel"/>
    <w:tmpl w:val="67AE1B24"/>
    <w:lvl w:ilvl="0" w:tplc="5BFE798E">
      <w:start w:val="1"/>
      <w:numFmt w:val="decimal"/>
      <w:lvlText w:val="%1."/>
      <w:lvlJc w:val="left"/>
      <w:pPr>
        <w:ind w:left="927" w:hanging="360"/>
      </w:pPr>
      <w:rPr>
        <w:rFonts w:ascii="Arial" w:hAnsi="Arial" w:cs="Arial" w:hint="default"/>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4C17F66"/>
    <w:multiLevelType w:val="hybridMultilevel"/>
    <w:tmpl w:val="9C4EFCBA"/>
    <w:lvl w:ilvl="0" w:tplc="5BFE798E">
      <w:start w:val="1"/>
      <w:numFmt w:val="decimal"/>
      <w:lvlText w:val="%1."/>
      <w:lvlJc w:val="left"/>
      <w:pPr>
        <w:ind w:left="927" w:hanging="360"/>
      </w:pPr>
      <w:rPr>
        <w:rFonts w:ascii="Arial" w:hAnsi="Arial" w:cs="Arial" w:hint="default"/>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C4E3C1A"/>
    <w:multiLevelType w:val="hybridMultilevel"/>
    <w:tmpl w:val="C3342742"/>
    <w:lvl w:ilvl="0" w:tplc="B6AECBBC">
      <w:start w:val="4"/>
      <w:numFmt w:val="decimal"/>
      <w:lvlText w:val="%1."/>
      <w:lvlJc w:val="left"/>
      <w:pPr>
        <w:ind w:left="720" w:hanging="360"/>
      </w:pPr>
      <w:rPr>
        <w:rFonts w:ascii="Arial" w:hAnsi="Arial" w:cs="Arial"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DBE5150"/>
    <w:multiLevelType w:val="hybridMultilevel"/>
    <w:tmpl w:val="B472E7C4"/>
    <w:lvl w:ilvl="0" w:tplc="5BFE798E">
      <w:start w:val="1"/>
      <w:numFmt w:val="decimal"/>
      <w:lvlText w:val="%1."/>
      <w:lvlJc w:val="left"/>
      <w:pPr>
        <w:ind w:left="927" w:hanging="360"/>
      </w:pPr>
      <w:rPr>
        <w:rFonts w:ascii="Arial" w:hAnsi="Arial" w:cs="Arial" w:hint="default"/>
        <w:b w:val="0"/>
        <w:bCs/>
        <w:sz w:val="22"/>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7" w15:restartNumberingAfterBreak="0">
    <w:nsid w:val="40373DF3"/>
    <w:multiLevelType w:val="hybridMultilevel"/>
    <w:tmpl w:val="BC940BCA"/>
    <w:lvl w:ilvl="0" w:tplc="100C0001">
      <w:start w:val="1"/>
      <w:numFmt w:val="bullet"/>
      <w:lvlText w:val=""/>
      <w:lvlJc w:val="left"/>
      <w:pPr>
        <w:ind w:left="2880" w:hanging="360"/>
      </w:pPr>
      <w:rPr>
        <w:rFonts w:ascii="Symbol" w:hAnsi="Symbol" w:hint="default"/>
      </w:rPr>
    </w:lvl>
    <w:lvl w:ilvl="1" w:tplc="100C0003" w:tentative="1">
      <w:start w:val="1"/>
      <w:numFmt w:val="bullet"/>
      <w:lvlText w:val="o"/>
      <w:lvlJc w:val="left"/>
      <w:pPr>
        <w:ind w:left="3600" w:hanging="360"/>
      </w:pPr>
      <w:rPr>
        <w:rFonts w:ascii="Courier New" w:hAnsi="Courier New" w:cs="Courier New" w:hint="default"/>
      </w:rPr>
    </w:lvl>
    <w:lvl w:ilvl="2" w:tplc="100C0005" w:tentative="1">
      <w:start w:val="1"/>
      <w:numFmt w:val="bullet"/>
      <w:lvlText w:val=""/>
      <w:lvlJc w:val="left"/>
      <w:pPr>
        <w:ind w:left="4320" w:hanging="360"/>
      </w:pPr>
      <w:rPr>
        <w:rFonts w:ascii="Wingdings" w:hAnsi="Wingdings" w:hint="default"/>
      </w:rPr>
    </w:lvl>
    <w:lvl w:ilvl="3" w:tplc="100C0001" w:tentative="1">
      <w:start w:val="1"/>
      <w:numFmt w:val="bullet"/>
      <w:lvlText w:val=""/>
      <w:lvlJc w:val="left"/>
      <w:pPr>
        <w:ind w:left="5040" w:hanging="360"/>
      </w:pPr>
      <w:rPr>
        <w:rFonts w:ascii="Symbol" w:hAnsi="Symbol" w:hint="default"/>
      </w:rPr>
    </w:lvl>
    <w:lvl w:ilvl="4" w:tplc="100C0003" w:tentative="1">
      <w:start w:val="1"/>
      <w:numFmt w:val="bullet"/>
      <w:lvlText w:val="o"/>
      <w:lvlJc w:val="left"/>
      <w:pPr>
        <w:ind w:left="5760" w:hanging="360"/>
      </w:pPr>
      <w:rPr>
        <w:rFonts w:ascii="Courier New" w:hAnsi="Courier New" w:cs="Courier New" w:hint="default"/>
      </w:rPr>
    </w:lvl>
    <w:lvl w:ilvl="5" w:tplc="100C0005" w:tentative="1">
      <w:start w:val="1"/>
      <w:numFmt w:val="bullet"/>
      <w:lvlText w:val=""/>
      <w:lvlJc w:val="left"/>
      <w:pPr>
        <w:ind w:left="6480" w:hanging="360"/>
      </w:pPr>
      <w:rPr>
        <w:rFonts w:ascii="Wingdings" w:hAnsi="Wingdings" w:hint="default"/>
      </w:rPr>
    </w:lvl>
    <w:lvl w:ilvl="6" w:tplc="100C0001" w:tentative="1">
      <w:start w:val="1"/>
      <w:numFmt w:val="bullet"/>
      <w:lvlText w:val=""/>
      <w:lvlJc w:val="left"/>
      <w:pPr>
        <w:ind w:left="7200" w:hanging="360"/>
      </w:pPr>
      <w:rPr>
        <w:rFonts w:ascii="Symbol" w:hAnsi="Symbol" w:hint="default"/>
      </w:rPr>
    </w:lvl>
    <w:lvl w:ilvl="7" w:tplc="100C0003" w:tentative="1">
      <w:start w:val="1"/>
      <w:numFmt w:val="bullet"/>
      <w:lvlText w:val="o"/>
      <w:lvlJc w:val="left"/>
      <w:pPr>
        <w:ind w:left="7920" w:hanging="360"/>
      </w:pPr>
      <w:rPr>
        <w:rFonts w:ascii="Courier New" w:hAnsi="Courier New" w:cs="Courier New" w:hint="default"/>
      </w:rPr>
    </w:lvl>
    <w:lvl w:ilvl="8" w:tplc="100C0005" w:tentative="1">
      <w:start w:val="1"/>
      <w:numFmt w:val="bullet"/>
      <w:lvlText w:val=""/>
      <w:lvlJc w:val="left"/>
      <w:pPr>
        <w:ind w:left="8640" w:hanging="360"/>
      </w:pPr>
      <w:rPr>
        <w:rFonts w:ascii="Wingdings" w:hAnsi="Wingdings" w:hint="default"/>
      </w:rPr>
    </w:lvl>
  </w:abstractNum>
  <w:abstractNum w:abstractNumId="8" w15:restartNumberingAfterBreak="0">
    <w:nsid w:val="503E0ED5"/>
    <w:multiLevelType w:val="hybridMultilevel"/>
    <w:tmpl w:val="7D8A9148"/>
    <w:lvl w:ilvl="0" w:tplc="1D325452">
      <w:start w:val="1"/>
      <w:numFmt w:val="upperLetter"/>
      <w:lvlText w:val="%1."/>
      <w:lvlJc w:val="left"/>
      <w:pPr>
        <w:ind w:left="1020" w:hanging="360"/>
      </w:pPr>
      <w:rPr>
        <w:rFonts w:cs="Times New Roman"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54092631"/>
    <w:multiLevelType w:val="multilevel"/>
    <w:tmpl w:val="F320D234"/>
    <w:lvl w:ilvl="0">
      <w:start w:val="11"/>
      <w:numFmt w:val="decimal"/>
      <w:lvlText w:val="%1."/>
      <w:lvlJc w:val="left"/>
      <w:pPr>
        <w:ind w:left="720" w:hanging="360"/>
      </w:pPr>
      <w:rPr>
        <w:rFonts w:ascii="Arial" w:hAnsi="Arial" w:cs="Arial" w:hint="default"/>
        <w:b w:val="0"/>
        <w:bC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8550172"/>
    <w:multiLevelType w:val="hybridMultilevel"/>
    <w:tmpl w:val="03DECF4A"/>
    <w:lvl w:ilvl="0" w:tplc="A30686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40522"/>
    <w:multiLevelType w:val="hybridMultilevel"/>
    <w:tmpl w:val="1C6E0D92"/>
    <w:lvl w:ilvl="0" w:tplc="0809000F">
      <w:start w:val="1"/>
      <w:numFmt w:val="decimal"/>
      <w:lvlText w:val="%1."/>
      <w:lvlJc w:val="left"/>
      <w:pPr>
        <w:ind w:left="1800" w:hanging="360"/>
      </w:pPr>
      <w:rPr>
        <w:rFonts w:cs="Times New Roman"/>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start w:val="1"/>
      <w:numFmt w:val="decimal"/>
      <w:lvlText w:val="%4."/>
      <w:lvlJc w:val="left"/>
      <w:pPr>
        <w:ind w:left="3960" w:hanging="360"/>
      </w:pPr>
      <w:rPr>
        <w:rFonts w:cs="Times New Roman"/>
      </w:rPr>
    </w:lvl>
    <w:lvl w:ilvl="4" w:tplc="040C0019">
      <w:start w:val="1"/>
      <w:numFmt w:val="lowerLetter"/>
      <w:lvlText w:val="%5."/>
      <w:lvlJc w:val="left"/>
      <w:pPr>
        <w:ind w:left="4680" w:hanging="360"/>
      </w:pPr>
      <w:rPr>
        <w:rFonts w:cs="Times New Roman"/>
      </w:rPr>
    </w:lvl>
    <w:lvl w:ilvl="5" w:tplc="040C001B">
      <w:start w:val="1"/>
      <w:numFmt w:val="lowerRoman"/>
      <w:lvlText w:val="%6."/>
      <w:lvlJc w:val="right"/>
      <w:pPr>
        <w:ind w:left="5400" w:hanging="180"/>
      </w:pPr>
      <w:rPr>
        <w:rFonts w:cs="Times New Roman"/>
      </w:rPr>
    </w:lvl>
    <w:lvl w:ilvl="6" w:tplc="040C000F">
      <w:start w:val="1"/>
      <w:numFmt w:val="decimal"/>
      <w:lvlText w:val="%7."/>
      <w:lvlJc w:val="left"/>
      <w:pPr>
        <w:ind w:left="6120" w:hanging="360"/>
      </w:pPr>
      <w:rPr>
        <w:rFonts w:cs="Times New Roman"/>
      </w:rPr>
    </w:lvl>
    <w:lvl w:ilvl="7" w:tplc="040C0019">
      <w:start w:val="1"/>
      <w:numFmt w:val="lowerLetter"/>
      <w:lvlText w:val="%8."/>
      <w:lvlJc w:val="left"/>
      <w:pPr>
        <w:ind w:left="6840" w:hanging="360"/>
      </w:pPr>
      <w:rPr>
        <w:rFonts w:cs="Times New Roman"/>
      </w:rPr>
    </w:lvl>
    <w:lvl w:ilvl="8" w:tplc="040C001B">
      <w:start w:val="1"/>
      <w:numFmt w:val="lowerRoman"/>
      <w:lvlText w:val="%9."/>
      <w:lvlJc w:val="right"/>
      <w:pPr>
        <w:ind w:left="7560" w:hanging="180"/>
      </w:pPr>
      <w:rPr>
        <w:rFonts w:cs="Times New Roman"/>
      </w:rPr>
    </w:lvl>
  </w:abstractNum>
  <w:abstractNum w:abstractNumId="12" w15:restartNumberingAfterBreak="0">
    <w:nsid w:val="6792212D"/>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05D71F1"/>
    <w:multiLevelType w:val="hybridMultilevel"/>
    <w:tmpl w:val="069832B2"/>
    <w:lvl w:ilvl="0" w:tplc="3A16BFCE">
      <w:start w:val="1"/>
      <w:numFmt w:val="decimal"/>
      <w:lvlText w:val="%1."/>
      <w:lvlJc w:val="left"/>
      <w:pPr>
        <w:ind w:left="720" w:hanging="360"/>
      </w:pPr>
      <w:rPr>
        <w:rFonts w:ascii="Arial" w:hAnsi="Arial" w:cs="Arial"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76A976BE"/>
    <w:multiLevelType w:val="multilevel"/>
    <w:tmpl w:val="B472E7C4"/>
    <w:lvl w:ilvl="0">
      <w:start w:val="1"/>
      <w:numFmt w:val="decimal"/>
      <w:lvlText w:val="%1."/>
      <w:lvlJc w:val="left"/>
      <w:pPr>
        <w:ind w:left="927" w:hanging="360"/>
      </w:pPr>
      <w:rPr>
        <w:rFonts w:ascii="Arial" w:hAnsi="Arial" w:cs="Arial" w:hint="default"/>
        <w:b w:val="0"/>
        <w:bCs/>
        <w:sz w:val="22"/>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5" w15:restartNumberingAfterBreak="0">
    <w:nsid w:val="7C2B5125"/>
    <w:multiLevelType w:val="multilevel"/>
    <w:tmpl w:val="B472E7C4"/>
    <w:lvl w:ilvl="0">
      <w:start w:val="1"/>
      <w:numFmt w:val="decimal"/>
      <w:lvlText w:val="%1."/>
      <w:lvlJc w:val="left"/>
      <w:pPr>
        <w:ind w:left="927" w:hanging="360"/>
      </w:pPr>
      <w:rPr>
        <w:rFonts w:ascii="Arial" w:hAnsi="Arial" w:cs="Arial" w:hint="default"/>
        <w:b w:val="0"/>
        <w:bCs/>
        <w:sz w:val="22"/>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8"/>
  </w:num>
  <w:num w:numId="2">
    <w:abstractNumId w:val="2"/>
  </w:num>
  <w:num w:numId="3">
    <w:abstractNumId w:val="11"/>
  </w:num>
  <w:num w:numId="4">
    <w:abstractNumId w:val="13"/>
  </w:num>
  <w:num w:numId="5">
    <w:abstractNumId w:val="5"/>
  </w:num>
  <w:num w:numId="6">
    <w:abstractNumId w:val="6"/>
  </w:num>
  <w:num w:numId="7">
    <w:abstractNumId w:val="9"/>
  </w:num>
  <w:num w:numId="8">
    <w:abstractNumId w:val="15"/>
  </w:num>
  <w:num w:numId="9">
    <w:abstractNumId w:val="4"/>
  </w:num>
  <w:num w:numId="10">
    <w:abstractNumId w:val="12"/>
  </w:num>
  <w:num w:numId="11">
    <w:abstractNumId w:val="1"/>
  </w:num>
  <w:num w:numId="12">
    <w:abstractNumId w:val="14"/>
  </w:num>
  <w:num w:numId="13">
    <w:abstractNumId w:val="3"/>
  </w:num>
  <w:num w:numId="14">
    <w:abstractNumId w:val="7"/>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88"/>
    <w:rsid w:val="000015B9"/>
    <w:rsid w:val="0000189C"/>
    <w:rsid w:val="000020C9"/>
    <w:rsid w:val="0000272D"/>
    <w:rsid w:val="00004AB3"/>
    <w:rsid w:val="00005C02"/>
    <w:rsid w:val="00007416"/>
    <w:rsid w:val="00007810"/>
    <w:rsid w:val="00007F91"/>
    <w:rsid w:val="0001191B"/>
    <w:rsid w:val="00013503"/>
    <w:rsid w:val="000149AA"/>
    <w:rsid w:val="00017C06"/>
    <w:rsid w:val="00020AE9"/>
    <w:rsid w:val="00020DE7"/>
    <w:rsid w:val="0002421A"/>
    <w:rsid w:val="00025D5E"/>
    <w:rsid w:val="000314D4"/>
    <w:rsid w:val="0003249C"/>
    <w:rsid w:val="000349D5"/>
    <w:rsid w:val="0003521D"/>
    <w:rsid w:val="00037847"/>
    <w:rsid w:val="00037B89"/>
    <w:rsid w:val="00040DCE"/>
    <w:rsid w:val="00040DD1"/>
    <w:rsid w:val="00047AF0"/>
    <w:rsid w:val="00055D12"/>
    <w:rsid w:val="00056ADA"/>
    <w:rsid w:val="00061F9C"/>
    <w:rsid w:val="00062266"/>
    <w:rsid w:val="000630F0"/>
    <w:rsid w:val="00065490"/>
    <w:rsid w:val="0006660D"/>
    <w:rsid w:val="00074B0D"/>
    <w:rsid w:val="000768AB"/>
    <w:rsid w:val="0007760F"/>
    <w:rsid w:val="000906C8"/>
    <w:rsid w:val="00091C53"/>
    <w:rsid w:val="000933EA"/>
    <w:rsid w:val="000957F5"/>
    <w:rsid w:val="000962D8"/>
    <w:rsid w:val="000A25DA"/>
    <w:rsid w:val="000A35F5"/>
    <w:rsid w:val="000A3E25"/>
    <w:rsid w:val="000A5CF1"/>
    <w:rsid w:val="000B0B6C"/>
    <w:rsid w:val="000B2E08"/>
    <w:rsid w:val="000B46AA"/>
    <w:rsid w:val="000B5141"/>
    <w:rsid w:val="000C04C5"/>
    <w:rsid w:val="000C309F"/>
    <w:rsid w:val="000C3404"/>
    <w:rsid w:val="000C3D01"/>
    <w:rsid w:val="000D2DBE"/>
    <w:rsid w:val="000D3D83"/>
    <w:rsid w:val="000D3E97"/>
    <w:rsid w:val="000D5624"/>
    <w:rsid w:val="000E2970"/>
    <w:rsid w:val="000E3D99"/>
    <w:rsid w:val="000E3F86"/>
    <w:rsid w:val="000E6226"/>
    <w:rsid w:val="000E6EE0"/>
    <w:rsid w:val="000E7FFE"/>
    <w:rsid w:val="000F1CEC"/>
    <w:rsid w:val="000F2CC2"/>
    <w:rsid w:val="000F497A"/>
    <w:rsid w:val="000F4AEF"/>
    <w:rsid w:val="000F6F03"/>
    <w:rsid w:val="001004E6"/>
    <w:rsid w:val="001024A7"/>
    <w:rsid w:val="00102E63"/>
    <w:rsid w:val="001036D6"/>
    <w:rsid w:val="001043D4"/>
    <w:rsid w:val="0010459C"/>
    <w:rsid w:val="00106048"/>
    <w:rsid w:val="00106088"/>
    <w:rsid w:val="00106E70"/>
    <w:rsid w:val="00107EA4"/>
    <w:rsid w:val="00111FB8"/>
    <w:rsid w:val="0011770A"/>
    <w:rsid w:val="00120E42"/>
    <w:rsid w:val="0012225C"/>
    <w:rsid w:val="00124F23"/>
    <w:rsid w:val="001265F6"/>
    <w:rsid w:val="001276CE"/>
    <w:rsid w:val="00134658"/>
    <w:rsid w:val="00135756"/>
    <w:rsid w:val="001405DD"/>
    <w:rsid w:val="00142438"/>
    <w:rsid w:val="00147B65"/>
    <w:rsid w:val="00153648"/>
    <w:rsid w:val="00153AD6"/>
    <w:rsid w:val="0015595C"/>
    <w:rsid w:val="001561DF"/>
    <w:rsid w:val="001562D4"/>
    <w:rsid w:val="00157218"/>
    <w:rsid w:val="00163F24"/>
    <w:rsid w:val="0016453B"/>
    <w:rsid w:val="0016560A"/>
    <w:rsid w:val="0016651D"/>
    <w:rsid w:val="00170ABD"/>
    <w:rsid w:val="00172094"/>
    <w:rsid w:val="00172315"/>
    <w:rsid w:val="001753CD"/>
    <w:rsid w:val="00175BB5"/>
    <w:rsid w:val="0018231A"/>
    <w:rsid w:val="00182EF5"/>
    <w:rsid w:val="00183670"/>
    <w:rsid w:val="00184CB4"/>
    <w:rsid w:val="00186F0C"/>
    <w:rsid w:val="001917F4"/>
    <w:rsid w:val="00191F29"/>
    <w:rsid w:val="0019234F"/>
    <w:rsid w:val="001945D4"/>
    <w:rsid w:val="00194881"/>
    <w:rsid w:val="00195D81"/>
    <w:rsid w:val="001A00DC"/>
    <w:rsid w:val="001A261F"/>
    <w:rsid w:val="001A32B8"/>
    <w:rsid w:val="001A3702"/>
    <w:rsid w:val="001A3F41"/>
    <w:rsid w:val="001A615C"/>
    <w:rsid w:val="001B4BCD"/>
    <w:rsid w:val="001C12E3"/>
    <w:rsid w:val="001C1AE2"/>
    <w:rsid w:val="001C49D1"/>
    <w:rsid w:val="001C70F3"/>
    <w:rsid w:val="001C74CD"/>
    <w:rsid w:val="001D0030"/>
    <w:rsid w:val="001D3B20"/>
    <w:rsid w:val="001D5691"/>
    <w:rsid w:val="001D7AE4"/>
    <w:rsid w:val="001E12FF"/>
    <w:rsid w:val="001E2348"/>
    <w:rsid w:val="001E5E32"/>
    <w:rsid w:val="001F27A2"/>
    <w:rsid w:val="001F56CA"/>
    <w:rsid w:val="001F7391"/>
    <w:rsid w:val="00203520"/>
    <w:rsid w:val="0020356A"/>
    <w:rsid w:val="00205842"/>
    <w:rsid w:val="00206C50"/>
    <w:rsid w:val="002072EE"/>
    <w:rsid w:val="00207A68"/>
    <w:rsid w:val="00212715"/>
    <w:rsid w:val="00213146"/>
    <w:rsid w:val="00213B6F"/>
    <w:rsid w:val="00214231"/>
    <w:rsid w:val="00215DA3"/>
    <w:rsid w:val="002171C8"/>
    <w:rsid w:val="00217ECC"/>
    <w:rsid w:val="00222DAE"/>
    <w:rsid w:val="00223EA6"/>
    <w:rsid w:val="0022445B"/>
    <w:rsid w:val="00224C2E"/>
    <w:rsid w:val="002275BF"/>
    <w:rsid w:val="00231A63"/>
    <w:rsid w:val="0023388F"/>
    <w:rsid w:val="00233DFE"/>
    <w:rsid w:val="00240F6C"/>
    <w:rsid w:val="002415C5"/>
    <w:rsid w:val="00245082"/>
    <w:rsid w:val="00247B38"/>
    <w:rsid w:val="00256BFB"/>
    <w:rsid w:val="002574CE"/>
    <w:rsid w:val="00257B7C"/>
    <w:rsid w:val="002602F7"/>
    <w:rsid w:val="00262D53"/>
    <w:rsid w:val="00265414"/>
    <w:rsid w:val="00266C0E"/>
    <w:rsid w:val="00271076"/>
    <w:rsid w:val="002747AF"/>
    <w:rsid w:val="002754FF"/>
    <w:rsid w:val="00276684"/>
    <w:rsid w:val="00276E1A"/>
    <w:rsid w:val="0028101D"/>
    <w:rsid w:val="00283833"/>
    <w:rsid w:val="0028455E"/>
    <w:rsid w:val="0028589D"/>
    <w:rsid w:val="00285D3D"/>
    <w:rsid w:val="0029745C"/>
    <w:rsid w:val="002A3741"/>
    <w:rsid w:val="002B135F"/>
    <w:rsid w:val="002B1BA3"/>
    <w:rsid w:val="002B2ED1"/>
    <w:rsid w:val="002B406A"/>
    <w:rsid w:val="002B5EB7"/>
    <w:rsid w:val="002B64CC"/>
    <w:rsid w:val="002B6ED2"/>
    <w:rsid w:val="002C04EF"/>
    <w:rsid w:val="002C1551"/>
    <w:rsid w:val="002C20E9"/>
    <w:rsid w:val="002C537B"/>
    <w:rsid w:val="002D256B"/>
    <w:rsid w:val="002D40E9"/>
    <w:rsid w:val="002D59B2"/>
    <w:rsid w:val="002E160D"/>
    <w:rsid w:val="002E5BF3"/>
    <w:rsid w:val="002E6991"/>
    <w:rsid w:val="002F123C"/>
    <w:rsid w:val="002F4184"/>
    <w:rsid w:val="0030164E"/>
    <w:rsid w:val="003024D5"/>
    <w:rsid w:val="00306D9A"/>
    <w:rsid w:val="00314046"/>
    <w:rsid w:val="00316E47"/>
    <w:rsid w:val="00317AB8"/>
    <w:rsid w:val="0032074F"/>
    <w:rsid w:val="00325D5E"/>
    <w:rsid w:val="003265A8"/>
    <w:rsid w:val="00331E84"/>
    <w:rsid w:val="00334E72"/>
    <w:rsid w:val="003350BC"/>
    <w:rsid w:val="003450E3"/>
    <w:rsid w:val="003459EC"/>
    <w:rsid w:val="00345FDE"/>
    <w:rsid w:val="0034616D"/>
    <w:rsid w:val="00354021"/>
    <w:rsid w:val="0035500B"/>
    <w:rsid w:val="0035518D"/>
    <w:rsid w:val="003638B2"/>
    <w:rsid w:val="00364479"/>
    <w:rsid w:val="00365557"/>
    <w:rsid w:val="00365697"/>
    <w:rsid w:val="00367DF8"/>
    <w:rsid w:val="00372FA5"/>
    <w:rsid w:val="00373569"/>
    <w:rsid w:val="003745AA"/>
    <w:rsid w:val="003754B2"/>
    <w:rsid w:val="00375BBB"/>
    <w:rsid w:val="00377B69"/>
    <w:rsid w:val="00380366"/>
    <w:rsid w:val="00381C2A"/>
    <w:rsid w:val="00384C6F"/>
    <w:rsid w:val="0038510B"/>
    <w:rsid w:val="00386246"/>
    <w:rsid w:val="00387214"/>
    <w:rsid w:val="003922AE"/>
    <w:rsid w:val="00393C3D"/>
    <w:rsid w:val="00396C75"/>
    <w:rsid w:val="00397A12"/>
    <w:rsid w:val="003A409B"/>
    <w:rsid w:val="003A6E2C"/>
    <w:rsid w:val="003B32CC"/>
    <w:rsid w:val="003C2176"/>
    <w:rsid w:val="003C2F81"/>
    <w:rsid w:val="003C39EF"/>
    <w:rsid w:val="003C50D8"/>
    <w:rsid w:val="003C662F"/>
    <w:rsid w:val="003D3ED2"/>
    <w:rsid w:val="003D4D05"/>
    <w:rsid w:val="003D581D"/>
    <w:rsid w:val="003D6B5D"/>
    <w:rsid w:val="003E0AAD"/>
    <w:rsid w:val="003E253C"/>
    <w:rsid w:val="003E2969"/>
    <w:rsid w:val="003E7213"/>
    <w:rsid w:val="003E7DFD"/>
    <w:rsid w:val="003F54CF"/>
    <w:rsid w:val="003F59FF"/>
    <w:rsid w:val="004032A3"/>
    <w:rsid w:val="00405008"/>
    <w:rsid w:val="00413068"/>
    <w:rsid w:val="00415191"/>
    <w:rsid w:val="00415F0C"/>
    <w:rsid w:val="0042089B"/>
    <w:rsid w:val="00426705"/>
    <w:rsid w:val="00431B07"/>
    <w:rsid w:val="00442ECA"/>
    <w:rsid w:val="00443893"/>
    <w:rsid w:val="00443F3F"/>
    <w:rsid w:val="00444A96"/>
    <w:rsid w:val="00446C0C"/>
    <w:rsid w:val="00451B1C"/>
    <w:rsid w:val="00453131"/>
    <w:rsid w:val="004606EA"/>
    <w:rsid w:val="00464126"/>
    <w:rsid w:val="00466AFC"/>
    <w:rsid w:val="00467266"/>
    <w:rsid w:val="00472FC3"/>
    <w:rsid w:val="0047542D"/>
    <w:rsid w:val="00482D81"/>
    <w:rsid w:val="00487D73"/>
    <w:rsid w:val="004A0091"/>
    <w:rsid w:val="004A1BEC"/>
    <w:rsid w:val="004A1D7D"/>
    <w:rsid w:val="004A62EF"/>
    <w:rsid w:val="004B3022"/>
    <w:rsid w:val="004B723B"/>
    <w:rsid w:val="004C3C68"/>
    <w:rsid w:val="004C5D0A"/>
    <w:rsid w:val="004C6FFC"/>
    <w:rsid w:val="004C798B"/>
    <w:rsid w:val="004D4EC0"/>
    <w:rsid w:val="004D597A"/>
    <w:rsid w:val="004D60B9"/>
    <w:rsid w:val="004D7C03"/>
    <w:rsid w:val="004E1028"/>
    <w:rsid w:val="004E1887"/>
    <w:rsid w:val="004E4C68"/>
    <w:rsid w:val="004E578C"/>
    <w:rsid w:val="004E66D0"/>
    <w:rsid w:val="004E73C7"/>
    <w:rsid w:val="004E7A71"/>
    <w:rsid w:val="004F0968"/>
    <w:rsid w:val="004F1012"/>
    <w:rsid w:val="004F1083"/>
    <w:rsid w:val="004F4E78"/>
    <w:rsid w:val="004F737C"/>
    <w:rsid w:val="0050089C"/>
    <w:rsid w:val="0050250F"/>
    <w:rsid w:val="00502C4B"/>
    <w:rsid w:val="0050408D"/>
    <w:rsid w:val="00504EDA"/>
    <w:rsid w:val="00505809"/>
    <w:rsid w:val="00505890"/>
    <w:rsid w:val="005123E1"/>
    <w:rsid w:val="00513F02"/>
    <w:rsid w:val="00514862"/>
    <w:rsid w:val="00514C71"/>
    <w:rsid w:val="00521967"/>
    <w:rsid w:val="005239BF"/>
    <w:rsid w:val="00526416"/>
    <w:rsid w:val="00526483"/>
    <w:rsid w:val="00527C1A"/>
    <w:rsid w:val="00530BDB"/>
    <w:rsid w:val="00535FCC"/>
    <w:rsid w:val="005371B5"/>
    <w:rsid w:val="005375BB"/>
    <w:rsid w:val="00537C4F"/>
    <w:rsid w:val="005413B2"/>
    <w:rsid w:val="00541709"/>
    <w:rsid w:val="00547752"/>
    <w:rsid w:val="0055003C"/>
    <w:rsid w:val="00551B34"/>
    <w:rsid w:val="005534BD"/>
    <w:rsid w:val="0055499F"/>
    <w:rsid w:val="00555064"/>
    <w:rsid w:val="005604C9"/>
    <w:rsid w:val="00567CEC"/>
    <w:rsid w:val="00572907"/>
    <w:rsid w:val="00576B0D"/>
    <w:rsid w:val="00577FF2"/>
    <w:rsid w:val="005813A9"/>
    <w:rsid w:val="00582EFF"/>
    <w:rsid w:val="00584D06"/>
    <w:rsid w:val="00587240"/>
    <w:rsid w:val="005977A9"/>
    <w:rsid w:val="005A02D6"/>
    <w:rsid w:val="005A3637"/>
    <w:rsid w:val="005A5679"/>
    <w:rsid w:val="005A69F8"/>
    <w:rsid w:val="005A7244"/>
    <w:rsid w:val="005A782C"/>
    <w:rsid w:val="005B074A"/>
    <w:rsid w:val="005B098A"/>
    <w:rsid w:val="005C2F7B"/>
    <w:rsid w:val="005C43AB"/>
    <w:rsid w:val="005C4B81"/>
    <w:rsid w:val="005C51E6"/>
    <w:rsid w:val="005C70CF"/>
    <w:rsid w:val="005C7A87"/>
    <w:rsid w:val="005D13B0"/>
    <w:rsid w:val="005D46F6"/>
    <w:rsid w:val="005D5440"/>
    <w:rsid w:val="005D5A3C"/>
    <w:rsid w:val="005D71A1"/>
    <w:rsid w:val="005E1770"/>
    <w:rsid w:val="005E1EFD"/>
    <w:rsid w:val="005E318B"/>
    <w:rsid w:val="005E620A"/>
    <w:rsid w:val="005E7FB1"/>
    <w:rsid w:val="005F1035"/>
    <w:rsid w:val="005F19BF"/>
    <w:rsid w:val="005F55B2"/>
    <w:rsid w:val="006002F1"/>
    <w:rsid w:val="00603268"/>
    <w:rsid w:val="00614034"/>
    <w:rsid w:val="006228B5"/>
    <w:rsid w:val="006265F8"/>
    <w:rsid w:val="00633710"/>
    <w:rsid w:val="006357A7"/>
    <w:rsid w:val="00641055"/>
    <w:rsid w:val="00642118"/>
    <w:rsid w:val="00646017"/>
    <w:rsid w:val="00662F19"/>
    <w:rsid w:val="00666E57"/>
    <w:rsid w:val="00666EB6"/>
    <w:rsid w:val="006670ED"/>
    <w:rsid w:val="00672BEC"/>
    <w:rsid w:val="006732AC"/>
    <w:rsid w:val="00673D6A"/>
    <w:rsid w:val="00674F4B"/>
    <w:rsid w:val="00675A70"/>
    <w:rsid w:val="0068112B"/>
    <w:rsid w:val="00683211"/>
    <w:rsid w:val="00686549"/>
    <w:rsid w:val="00694FF9"/>
    <w:rsid w:val="006A05A2"/>
    <w:rsid w:val="006A2165"/>
    <w:rsid w:val="006A2450"/>
    <w:rsid w:val="006A3A23"/>
    <w:rsid w:val="006A431F"/>
    <w:rsid w:val="006A45C3"/>
    <w:rsid w:val="006A678D"/>
    <w:rsid w:val="006A77C2"/>
    <w:rsid w:val="006B1C39"/>
    <w:rsid w:val="006B5335"/>
    <w:rsid w:val="006B62BB"/>
    <w:rsid w:val="006C08D5"/>
    <w:rsid w:val="006C0E25"/>
    <w:rsid w:val="006C7AFC"/>
    <w:rsid w:val="006D0834"/>
    <w:rsid w:val="006D0E1A"/>
    <w:rsid w:val="006D5D67"/>
    <w:rsid w:val="006D744B"/>
    <w:rsid w:val="006F0992"/>
    <w:rsid w:val="006F1CB5"/>
    <w:rsid w:val="006F30E4"/>
    <w:rsid w:val="006F6088"/>
    <w:rsid w:val="00701893"/>
    <w:rsid w:val="00703340"/>
    <w:rsid w:val="00712602"/>
    <w:rsid w:val="00712ADB"/>
    <w:rsid w:val="0072029E"/>
    <w:rsid w:val="00720E5A"/>
    <w:rsid w:val="00721506"/>
    <w:rsid w:val="007224F9"/>
    <w:rsid w:val="007231AE"/>
    <w:rsid w:val="00726277"/>
    <w:rsid w:val="00726FCB"/>
    <w:rsid w:val="00727FC1"/>
    <w:rsid w:val="00732354"/>
    <w:rsid w:val="007374EF"/>
    <w:rsid w:val="00737F0E"/>
    <w:rsid w:val="00740D35"/>
    <w:rsid w:val="00741238"/>
    <w:rsid w:val="007430FA"/>
    <w:rsid w:val="00743546"/>
    <w:rsid w:val="00745901"/>
    <w:rsid w:val="00746733"/>
    <w:rsid w:val="007470FB"/>
    <w:rsid w:val="007501D0"/>
    <w:rsid w:val="00750AA5"/>
    <w:rsid w:val="00754A11"/>
    <w:rsid w:val="00754ED1"/>
    <w:rsid w:val="0075539A"/>
    <w:rsid w:val="00756B3A"/>
    <w:rsid w:val="00757AD0"/>
    <w:rsid w:val="00762772"/>
    <w:rsid w:val="00762D2A"/>
    <w:rsid w:val="00770FD1"/>
    <w:rsid w:val="00772186"/>
    <w:rsid w:val="00772287"/>
    <w:rsid w:val="0077254E"/>
    <w:rsid w:val="00772B6D"/>
    <w:rsid w:val="00774B57"/>
    <w:rsid w:val="00781B76"/>
    <w:rsid w:val="00783AEB"/>
    <w:rsid w:val="007845D0"/>
    <w:rsid w:val="00785481"/>
    <w:rsid w:val="007900CD"/>
    <w:rsid w:val="00790E68"/>
    <w:rsid w:val="00794C4A"/>
    <w:rsid w:val="007A31D7"/>
    <w:rsid w:val="007A31EC"/>
    <w:rsid w:val="007A3394"/>
    <w:rsid w:val="007A378B"/>
    <w:rsid w:val="007A5F87"/>
    <w:rsid w:val="007A61EC"/>
    <w:rsid w:val="007A6D0D"/>
    <w:rsid w:val="007A7C3C"/>
    <w:rsid w:val="007B3EED"/>
    <w:rsid w:val="007B426B"/>
    <w:rsid w:val="007B4C41"/>
    <w:rsid w:val="007B59DE"/>
    <w:rsid w:val="007B5FE8"/>
    <w:rsid w:val="007B776A"/>
    <w:rsid w:val="007C04DD"/>
    <w:rsid w:val="007C0AEF"/>
    <w:rsid w:val="007C288F"/>
    <w:rsid w:val="007C6E15"/>
    <w:rsid w:val="007C7345"/>
    <w:rsid w:val="007C7489"/>
    <w:rsid w:val="007C7BDB"/>
    <w:rsid w:val="007D0290"/>
    <w:rsid w:val="007D6104"/>
    <w:rsid w:val="007D6679"/>
    <w:rsid w:val="007D69EC"/>
    <w:rsid w:val="007E22F0"/>
    <w:rsid w:val="007E2D9D"/>
    <w:rsid w:val="007E306E"/>
    <w:rsid w:val="007E6E99"/>
    <w:rsid w:val="007F7F48"/>
    <w:rsid w:val="00802E08"/>
    <w:rsid w:val="00813ACF"/>
    <w:rsid w:val="00820F0C"/>
    <w:rsid w:val="00821BAB"/>
    <w:rsid w:val="008222B8"/>
    <w:rsid w:val="00823590"/>
    <w:rsid w:val="00825354"/>
    <w:rsid w:val="00826574"/>
    <w:rsid w:val="00826F43"/>
    <w:rsid w:val="00827615"/>
    <w:rsid w:val="00827A72"/>
    <w:rsid w:val="00830035"/>
    <w:rsid w:val="0083244F"/>
    <w:rsid w:val="00832D7D"/>
    <w:rsid w:val="008338D1"/>
    <w:rsid w:val="00834334"/>
    <w:rsid w:val="00834853"/>
    <w:rsid w:val="00836C15"/>
    <w:rsid w:val="00844377"/>
    <w:rsid w:val="008516E1"/>
    <w:rsid w:val="00851D8B"/>
    <w:rsid w:val="0085248E"/>
    <w:rsid w:val="00852D7B"/>
    <w:rsid w:val="00853695"/>
    <w:rsid w:val="00853EBA"/>
    <w:rsid w:val="00854418"/>
    <w:rsid w:val="00860FF1"/>
    <w:rsid w:val="00862311"/>
    <w:rsid w:val="00863BCE"/>
    <w:rsid w:val="00866C8D"/>
    <w:rsid w:val="00872D69"/>
    <w:rsid w:val="00873140"/>
    <w:rsid w:val="00873D83"/>
    <w:rsid w:val="00877C09"/>
    <w:rsid w:val="00880842"/>
    <w:rsid w:val="00880A8E"/>
    <w:rsid w:val="008830F5"/>
    <w:rsid w:val="00884A26"/>
    <w:rsid w:val="00885B03"/>
    <w:rsid w:val="00886A81"/>
    <w:rsid w:val="00897EB0"/>
    <w:rsid w:val="008A0D67"/>
    <w:rsid w:val="008A19B3"/>
    <w:rsid w:val="008A22E6"/>
    <w:rsid w:val="008B3261"/>
    <w:rsid w:val="008B3878"/>
    <w:rsid w:val="008B5BB2"/>
    <w:rsid w:val="008B5FCD"/>
    <w:rsid w:val="008C3C5E"/>
    <w:rsid w:val="008C3DB9"/>
    <w:rsid w:val="008C5B28"/>
    <w:rsid w:val="008C6258"/>
    <w:rsid w:val="008C7781"/>
    <w:rsid w:val="008D26CA"/>
    <w:rsid w:val="008D30C1"/>
    <w:rsid w:val="008D30E7"/>
    <w:rsid w:val="008D645B"/>
    <w:rsid w:val="008D6DCB"/>
    <w:rsid w:val="008E00DF"/>
    <w:rsid w:val="008E2D8D"/>
    <w:rsid w:val="008F12CB"/>
    <w:rsid w:val="008F56D6"/>
    <w:rsid w:val="009002DB"/>
    <w:rsid w:val="0090786A"/>
    <w:rsid w:val="009133BC"/>
    <w:rsid w:val="009207A1"/>
    <w:rsid w:val="00920B80"/>
    <w:rsid w:val="0092246A"/>
    <w:rsid w:val="009239D3"/>
    <w:rsid w:val="0092523B"/>
    <w:rsid w:val="009256A0"/>
    <w:rsid w:val="00926128"/>
    <w:rsid w:val="00927B45"/>
    <w:rsid w:val="00930B01"/>
    <w:rsid w:val="00930C3A"/>
    <w:rsid w:val="00931F9E"/>
    <w:rsid w:val="00933357"/>
    <w:rsid w:val="00936A90"/>
    <w:rsid w:val="00936B5C"/>
    <w:rsid w:val="00937B2C"/>
    <w:rsid w:val="009472D9"/>
    <w:rsid w:val="00947D15"/>
    <w:rsid w:val="0095365D"/>
    <w:rsid w:val="00954866"/>
    <w:rsid w:val="00954C93"/>
    <w:rsid w:val="00955D7D"/>
    <w:rsid w:val="0096074D"/>
    <w:rsid w:val="009614FD"/>
    <w:rsid w:val="00962479"/>
    <w:rsid w:val="0097319D"/>
    <w:rsid w:val="00973465"/>
    <w:rsid w:val="009749DD"/>
    <w:rsid w:val="00974E55"/>
    <w:rsid w:val="00980661"/>
    <w:rsid w:val="00981559"/>
    <w:rsid w:val="00987F18"/>
    <w:rsid w:val="0099443F"/>
    <w:rsid w:val="009A14C7"/>
    <w:rsid w:val="009A3D01"/>
    <w:rsid w:val="009A511D"/>
    <w:rsid w:val="009A6191"/>
    <w:rsid w:val="009A7016"/>
    <w:rsid w:val="009B2A8D"/>
    <w:rsid w:val="009B33F3"/>
    <w:rsid w:val="009B4A6F"/>
    <w:rsid w:val="009B74E8"/>
    <w:rsid w:val="009C566D"/>
    <w:rsid w:val="009C743D"/>
    <w:rsid w:val="009C7785"/>
    <w:rsid w:val="009C7BD3"/>
    <w:rsid w:val="009D2D33"/>
    <w:rsid w:val="009D4006"/>
    <w:rsid w:val="009D5ED1"/>
    <w:rsid w:val="009D674E"/>
    <w:rsid w:val="009D68E8"/>
    <w:rsid w:val="009D755E"/>
    <w:rsid w:val="009E0A9F"/>
    <w:rsid w:val="009F0421"/>
    <w:rsid w:val="009F0620"/>
    <w:rsid w:val="009F12AC"/>
    <w:rsid w:val="009F2650"/>
    <w:rsid w:val="009F452D"/>
    <w:rsid w:val="00A05714"/>
    <w:rsid w:val="00A07FEE"/>
    <w:rsid w:val="00A12D9B"/>
    <w:rsid w:val="00A163F9"/>
    <w:rsid w:val="00A17521"/>
    <w:rsid w:val="00A20C15"/>
    <w:rsid w:val="00A21D61"/>
    <w:rsid w:val="00A22200"/>
    <w:rsid w:val="00A22DD0"/>
    <w:rsid w:val="00A27465"/>
    <w:rsid w:val="00A31EFA"/>
    <w:rsid w:val="00A33185"/>
    <w:rsid w:val="00A42BD0"/>
    <w:rsid w:val="00A50AF2"/>
    <w:rsid w:val="00A50EE2"/>
    <w:rsid w:val="00A50FE3"/>
    <w:rsid w:val="00A5141B"/>
    <w:rsid w:val="00A52B4D"/>
    <w:rsid w:val="00A54BBC"/>
    <w:rsid w:val="00A640EB"/>
    <w:rsid w:val="00A66AA7"/>
    <w:rsid w:val="00A7044E"/>
    <w:rsid w:val="00A7608E"/>
    <w:rsid w:val="00A76DF0"/>
    <w:rsid w:val="00A779F2"/>
    <w:rsid w:val="00A8016F"/>
    <w:rsid w:val="00A8060A"/>
    <w:rsid w:val="00A81E69"/>
    <w:rsid w:val="00A8431D"/>
    <w:rsid w:val="00A878CB"/>
    <w:rsid w:val="00A91584"/>
    <w:rsid w:val="00A97A47"/>
    <w:rsid w:val="00A97E89"/>
    <w:rsid w:val="00AA118F"/>
    <w:rsid w:val="00AA197C"/>
    <w:rsid w:val="00AA32B0"/>
    <w:rsid w:val="00AA3DF1"/>
    <w:rsid w:val="00AA756F"/>
    <w:rsid w:val="00AB134B"/>
    <w:rsid w:val="00AB1646"/>
    <w:rsid w:val="00AB2738"/>
    <w:rsid w:val="00AB47BF"/>
    <w:rsid w:val="00AB6A30"/>
    <w:rsid w:val="00AC2B06"/>
    <w:rsid w:val="00AC4F1C"/>
    <w:rsid w:val="00AD59E6"/>
    <w:rsid w:val="00AD64E2"/>
    <w:rsid w:val="00AD6CD0"/>
    <w:rsid w:val="00AD7566"/>
    <w:rsid w:val="00AE035C"/>
    <w:rsid w:val="00AE0C50"/>
    <w:rsid w:val="00AE12EB"/>
    <w:rsid w:val="00AE30F0"/>
    <w:rsid w:val="00AE31B9"/>
    <w:rsid w:val="00AE56BB"/>
    <w:rsid w:val="00AE6268"/>
    <w:rsid w:val="00AE71A1"/>
    <w:rsid w:val="00AF19B2"/>
    <w:rsid w:val="00AF35E4"/>
    <w:rsid w:val="00B01E22"/>
    <w:rsid w:val="00B02B7B"/>
    <w:rsid w:val="00B06DC5"/>
    <w:rsid w:val="00B073AF"/>
    <w:rsid w:val="00B10D18"/>
    <w:rsid w:val="00B11455"/>
    <w:rsid w:val="00B11FC0"/>
    <w:rsid w:val="00B12C9E"/>
    <w:rsid w:val="00B12DB2"/>
    <w:rsid w:val="00B15DEB"/>
    <w:rsid w:val="00B16320"/>
    <w:rsid w:val="00B21A96"/>
    <w:rsid w:val="00B228FD"/>
    <w:rsid w:val="00B23A93"/>
    <w:rsid w:val="00B24DF4"/>
    <w:rsid w:val="00B2504A"/>
    <w:rsid w:val="00B26259"/>
    <w:rsid w:val="00B31C4D"/>
    <w:rsid w:val="00B32037"/>
    <w:rsid w:val="00B3423C"/>
    <w:rsid w:val="00B35A64"/>
    <w:rsid w:val="00B36A17"/>
    <w:rsid w:val="00B41BE2"/>
    <w:rsid w:val="00B425C5"/>
    <w:rsid w:val="00B42828"/>
    <w:rsid w:val="00B52286"/>
    <w:rsid w:val="00B53585"/>
    <w:rsid w:val="00B54E5E"/>
    <w:rsid w:val="00B719D5"/>
    <w:rsid w:val="00B71C45"/>
    <w:rsid w:val="00B74E2E"/>
    <w:rsid w:val="00B82D51"/>
    <w:rsid w:val="00B83E3D"/>
    <w:rsid w:val="00B85D1D"/>
    <w:rsid w:val="00B97FBC"/>
    <w:rsid w:val="00BA067F"/>
    <w:rsid w:val="00BA2046"/>
    <w:rsid w:val="00BA6623"/>
    <w:rsid w:val="00BA6736"/>
    <w:rsid w:val="00BA680D"/>
    <w:rsid w:val="00BB1E37"/>
    <w:rsid w:val="00BB37FC"/>
    <w:rsid w:val="00BB3B51"/>
    <w:rsid w:val="00BB3EF6"/>
    <w:rsid w:val="00BB7009"/>
    <w:rsid w:val="00BB72DA"/>
    <w:rsid w:val="00BC0D68"/>
    <w:rsid w:val="00BC3FDB"/>
    <w:rsid w:val="00BC6715"/>
    <w:rsid w:val="00BD0A71"/>
    <w:rsid w:val="00BD3230"/>
    <w:rsid w:val="00BD41DB"/>
    <w:rsid w:val="00BD4EF7"/>
    <w:rsid w:val="00BD51E6"/>
    <w:rsid w:val="00BD59C7"/>
    <w:rsid w:val="00BE01CA"/>
    <w:rsid w:val="00BE0435"/>
    <w:rsid w:val="00BE1B35"/>
    <w:rsid w:val="00BE2C73"/>
    <w:rsid w:val="00BE3870"/>
    <w:rsid w:val="00BE4275"/>
    <w:rsid w:val="00BE68F8"/>
    <w:rsid w:val="00BE73FB"/>
    <w:rsid w:val="00BF09B6"/>
    <w:rsid w:val="00BF4DA1"/>
    <w:rsid w:val="00BF589C"/>
    <w:rsid w:val="00BF5DB9"/>
    <w:rsid w:val="00C01266"/>
    <w:rsid w:val="00C0330F"/>
    <w:rsid w:val="00C05503"/>
    <w:rsid w:val="00C0760D"/>
    <w:rsid w:val="00C10AE8"/>
    <w:rsid w:val="00C20D78"/>
    <w:rsid w:val="00C2607E"/>
    <w:rsid w:val="00C2609E"/>
    <w:rsid w:val="00C35617"/>
    <w:rsid w:val="00C37C2A"/>
    <w:rsid w:val="00C40D6F"/>
    <w:rsid w:val="00C41E4D"/>
    <w:rsid w:val="00C4425D"/>
    <w:rsid w:val="00C45C25"/>
    <w:rsid w:val="00C46E6B"/>
    <w:rsid w:val="00C53FDB"/>
    <w:rsid w:val="00C54A26"/>
    <w:rsid w:val="00C64E3D"/>
    <w:rsid w:val="00C7353B"/>
    <w:rsid w:val="00C7549D"/>
    <w:rsid w:val="00C76F4B"/>
    <w:rsid w:val="00C77E1E"/>
    <w:rsid w:val="00C81988"/>
    <w:rsid w:val="00C836F0"/>
    <w:rsid w:val="00C8585A"/>
    <w:rsid w:val="00C90809"/>
    <w:rsid w:val="00C953F3"/>
    <w:rsid w:val="00C97693"/>
    <w:rsid w:val="00CA11C8"/>
    <w:rsid w:val="00CA1423"/>
    <w:rsid w:val="00CA7378"/>
    <w:rsid w:val="00CB31C9"/>
    <w:rsid w:val="00CC016D"/>
    <w:rsid w:val="00CC1C22"/>
    <w:rsid w:val="00CC291D"/>
    <w:rsid w:val="00CC5967"/>
    <w:rsid w:val="00CC6A24"/>
    <w:rsid w:val="00CC75A2"/>
    <w:rsid w:val="00CD0583"/>
    <w:rsid w:val="00CD67E9"/>
    <w:rsid w:val="00CD7310"/>
    <w:rsid w:val="00CD7445"/>
    <w:rsid w:val="00CE0EA6"/>
    <w:rsid w:val="00CE55BB"/>
    <w:rsid w:val="00CE74E7"/>
    <w:rsid w:val="00CF101F"/>
    <w:rsid w:val="00CF2517"/>
    <w:rsid w:val="00CF3655"/>
    <w:rsid w:val="00CF386E"/>
    <w:rsid w:val="00CF7D4E"/>
    <w:rsid w:val="00D003DA"/>
    <w:rsid w:val="00D01414"/>
    <w:rsid w:val="00D01D87"/>
    <w:rsid w:val="00D021DB"/>
    <w:rsid w:val="00D03876"/>
    <w:rsid w:val="00D03B85"/>
    <w:rsid w:val="00D0401E"/>
    <w:rsid w:val="00D05937"/>
    <w:rsid w:val="00D07F15"/>
    <w:rsid w:val="00D10477"/>
    <w:rsid w:val="00D141C2"/>
    <w:rsid w:val="00D16168"/>
    <w:rsid w:val="00D1651D"/>
    <w:rsid w:val="00D229C5"/>
    <w:rsid w:val="00D24CA9"/>
    <w:rsid w:val="00D259DC"/>
    <w:rsid w:val="00D26943"/>
    <w:rsid w:val="00D307D7"/>
    <w:rsid w:val="00D3336C"/>
    <w:rsid w:val="00D373F8"/>
    <w:rsid w:val="00D4080F"/>
    <w:rsid w:val="00D40E9B"/>
    <w:rsid w:val="00D412FD"/>
    <w:rsid w:val="00D41B23"/>
    <w:rsid w:val="00D42023"/>
    <w:rsid w:val="00D426C6"/>
    <w:rsid w:val="00D43A8D"/>
    <w:rsid w:val="00D43BFD"/>
    <w:rsid w:val="00D45990"/>
    <w:rsid w:val="00D46622"/>
    <w:rsid w:val="00D5119A"/>
    <w:rsid w:val="00D5320E"/>
    <w:rsid w:val="00D53A64"/>
    <w:rsid w:val="00D53E19"/>
    <w:rsid w:val="00D55D5B"/>
    <w:rsid w:val="00D56124"/>
    <w:rsid w:val="00D56486"/>
    <w:rsid w:val="00D6112A"/>
    <w:rsid w:val="00D63FE5"/>
    <w:rsid w:val="00D6452E"/>
    <w:rsid w:val="00D700DF"/>
    <w:rsid w:val="00D70380"/>
    <w:rsid w:val="00D70C82"/>
    <w:rsid w:val="00D751A9"/>
    <w:rsid w:val="00D8099C"/>
    <w:rsid w:val="00D81161"/>
    <w:rsid w:val="00D822B9"/>
    <w:rsid w:val="00D826A9"/>
    <w:rsid w:val="00D832DC"/>
    <w:rsid w:val="00D87C6D"/>
    <w:rsid w:val="00D87EB3"/>
    <w:rsid w:val="00D91531"/>
    <w:rsid w:val="00D915EA"/>
    <w:rsid w:val="00D93894"/>
    <w:rsid w:val="00DA074C"/>
    <w:rsid w:val="00DA2D91"/>
    <w:rsid w:val="00DA647E"/>
    <w:rsid w:val="00DB01B9"/>
    <w:rsid w:val="00DB0E94"/>
    <w:rsid w:val="00DB1344"/>
    <w:rsid w:val="00DC0762"/>
    <w:rsid w:val="00DC2102"/>
    <w:rsid w:val="00DC23C1"/>
    <w:rsid w:val="00DC37E0"/>
    <w:rsid w:val="00DC3974"/>
    <w:rsid w:val="00DD690C"/>
    <w:rsid w:val="00DD7669"/>
    <w:rsid w:val="00DD7E0E"/>
    <w:rsid w:val="00DE2CEC"/>
    <w:rsid w:val="00DE32B3"/>
    <w:rsid w:val="00DE4885"/>
    <w:rsid w:val="00DE5BCF"/>
    <w:rsid w:val="00DE5C99"/>
    <w:rsid w:val="00DF0EF9"/>
    <w:rsid w:val="00DF23F2"/>
    <w:rsid w:val="00DF6BD8"/>
    <w:rsid w:val="00DF766F"/>
    <w:rsid w:val="00E0004B"/>
    <w:rsid w:val="00E003B8"/>
    <w:rsid w:val="00E02FBE"/>
    <w:rsid w:val="00E02FDC"/>
    <w:rsid w:val="00E042D3"/>
    <w:rsid w:val="00E05F70"/>
    <w:rsid w:val="00E12A63"/>
    <w:rsid w:val="00E179F2"/>
    <w:rsid w:val="00E21804"/>
    <w:rsid w:val="00E22792"/>
    <w:rsid w:val="00E245AB"/>
    <w:rsid w:val="00E2687F"/>
    <w:rsid w:val="00E30E36"/>
    <w:rsid w:val="00E3419C"/>
    <w:rsid w:val="00E36E4F"/>
    <w:rsid w:val="00E37E01"/>
    <w:rsid w:val="00E37F7B"/>
    <w:rsid w:val="00E4665E"/>
    <w:rsid w:val="00E47182"/>
    <w:rsid w:val="00E47C01"/>
    <w:rsid w:val="00E47F2A"/>
    <w:rsid w:val="00E5089D"/>
    <w:rsid w:val="00E50CCF"/>
    <w:rsid w:val="00E5169A"/>
    <w:rsid w:val="00E54F1D"/>
    <w:rsid w:val="00E55392"/>
    <w:rsid w:val="00E5592A"/>
    <w:rsid w:val="00E577BB"/>
    <w:rsid w:val="00E61A20"/>
    <w:rsid w:val="00E6477D"/>
    <w:rsid w:val="00E657F3"/>
    <w:rsid w:val="00E670F8"/>
    <w:rsid w:val="00E724B5"/>
    <w:rsid w:val="00E72F3D"/>
    <w:rsid w:val="00E73ECB"/>
    <w:rsid w:val="00E73EE5"/>
    <w:rsid w:val="00E74085"/>
    <w:rsid w:val="00E77647"/>
    <w:rsid w:val="00E779F6"/>
    <w:rsid w:val="00E80754"/>
    <w:rsid w:val="00E87340"/>
    <w:rsid w:val="00E93498"/>
    <w:rsid w:val="00E93962"/>
    <w:rsid w:val="00E96C14"/>
    <w:rsid w:val="00EA0AE8"/>
    <w:rsid w:val="00EA47EA"/>
    <w:rsid w:val="00EA5E05"/>
    <w:rsid w:val="00EA7AD7"/>
    <w:rsid w:val="00EB1C91"/>
    <w:rsid w:val="00EC0C08"/>
    <w:rsid w:val="00EC75EE"/>
    <w:rsid w:val="00EC798E"/>
    <w:rsid w:val="00EC7CF0"/>
    <w:rsid w:val="00EC7D4F"/>
    <w:rsid w:val="00ED1437"/>
    <w:rsid w:val="00ED4D6F"/>
    <w:rsid w:val="00ED53B2"/>
    <w:rsid w:val="00ED5BF3"/>
    <w:rsid w:val="00ED77BC"/>
    <w:rsid w:val="00EE1FD4"/>
    <w:rsid w:val="00EE31E7"/>
    <w:rsid w:val="00EE3CF3"/>
    <w:rsid w:val="00EE4168"/>
    <w:rsid w:val="00EE525A"/>
    <w:rsid w:val="00EE5839"/>
    <w:rsid w:val="00EE617A"/>
    <w:rsid w:val="00EF4BFC"/>
    <w:rsid w:val="00F01B2B"/>
    <w:rsid w:val="00F05137"/>
    <w:rsid w:val="00F10738"/>
    <w:rsid w:val="00F114DB"/>
    <w:rsid w:val="00F15974"/>
    <w:rsid w:val="00F223AF"/>
    <w:rsid w:val="00F22B23"/>
    <w:rsid w:val="00F246D9"/>
    <w:rsid w:val="00F25771"/>
    <w:rsid w:val="00F308BC"/>
    <w:rsid w:val="00F33401"/>
    <w:rsid w:val="00F33B4E"/>
    <w:rsid w:val="00F34A72"/>
    <w:rsid w:val="00F36459"/>
    <w:rsid w:val="00F41686"/>
    <w:rsid w:val="00F420FB"/>
    <w:rsid w:val="00F5082D"/>
    <w:rsid w:val="00F519DF"/>
    <w:rsid w:val="00F5732F"/>
    <w:rsid w:val="00F63832"/>
    <w:rsid w:val="00F65DBC"/>
    <w:rsid w:val="00F67B6F"/>
    <w:rsid w:val="00F70D46"/>
    <w:rsid w:val="00F72365"/>
    <w:rsid w:val="00F74B09"/>
    <w:rsid w:val="00F75CA0"/>
    <w:rsid w:val="00F762FE"/>
    <w:rsid w:val="00F77A3D"/>
    <w:rsid w:val="00F80852"/>
    <w:rsid w:val="00F8280D"/>
    <w:rsid w:val="00F82F4D"/>
    <w:rsid w:val="00F848FC"/>
    <w:rsid w:val="00F84B96"/>
    <w:rsid w:val="00F84E6B"/>
    <w:rsid w:val="00F916AC"/>
    <w:rsid w:val="00F967FE"/>
    <w:rsid w:val="00FA40A9"/>
    <w:rsid w:val="00FA4EDD"/>
    <w:rsid w:val="00FA69C0"/>
    <w:rsid w:val="00FA6C79"/>
    <w:rsid w:val="00FB1868"/>
    <w:rsid w:val="00FB4F4F"/>
    <w:rsid w:val="00FB6B9A"/>
    <w:rsid w:val="00FC0980"/>
    <w:rsid w:val="00FC498B"/>
    <w:rsid w:val="00FC5071"/>
    <w:rsid w:val="00FD1E66"/>
    <w:rsid w:val="00FD1EC6"/>
    <w:rsid w:val="00FD264B"/>
    <w:rsid w:val="00FD7F90"/>
    <w:rsid w:val="00FD7FE6"/>
    <w:rsid w:val="00FE015C"/>
    <w:rsid w:val="00FE208F"/>
    <w:rsid w:val="00FE28DC"/>
    <w:rsid w:val="00FE2AA5"/>
    <w:rsid w:val="00FE6828"/>
    <w:rsid w:val="00FF054A"/>
    <w:rsid w:val="00FF16F1"/>
    <w:rsid w:val="00FF1F52"/>
    <w:rsid w:val="00FF29D0"/>
    <w:rsid w:val="00FF309E"/>
    <w:rsid w:val="00FF68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9DEB9C"/>
  <w15:docId w15:val="{35D2F4B9-F1A6-472C-8C22-2C981DB6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 w:hAnsi="Calibri" w:cs="Arial"/>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6EB6"/>
    <w:pPr>
      <w:spacing w:after="200"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6EB6"/>
    <w:pPr>
      <w:tabs>
        <w:tab w:val="center" w:pos="4320"/>
        <w:tab w:val="right" w:pos="8640"/>
      </w:tabs>
    </w:pPr>
    <w:rPr>
      <w:rFonts w:cs="Times New Roman"/>
      <w:sz w:val="20"/>
      <w:szCs w:val="20"/>
    </w:rPr>
  </w:style>
  <w:style w:type="character" w:customStyle="1" w:styleId="FooterChar">
    <w:name w:val="Footer Char"/>
    <w:link w:val="Footer"/>
    <w:locked/>
    <w:rsid w:val="00C81988"/>
    <w:rPr>
      <w:rFonts w:ascii="Arial" w:hAnsi="Arial" w:cs="Arial"/>
      <w:lang w:val="en-US" w:eastAsia="en-US"/>
    </w:rPr>
  </w:style>
  <w:style w:type="character" w:styleId="PageNumber">
    <w:name w:val="page number"/>
    <w:rsid w:val="00C81988"/>
    <w:rPr>
      <w:rFonts w:cs="Times New Roman"/>
    </w:rPr>
  </w:style>
  <w:style w:type="paragraph" w:customStyle="1" w:styleId="ColorfulList-Accent11">
    <w:name w:val="Colorful List - Accent 11"/>
    <w:basedOn w:val="Normal"/>
    <w:uiPriority w:val="34"/>
    <w:qFormat/>
    <w:rsid w:val="00666EB6"/>
    <w:pPr>
      <w:spacing w:after="0" w:line="240" w:lineRule="auto"/>
      <w:ind w:left="720"/>
    </w:pPr>
    <w:rPr>
      <w:rFonts w:eastAsia="Times New Roman" w:cs="Calibri"/>
      <w:sz w:val="24"/>
      <w:szCs w:val="24"/>
      <w:lang w:val="fr-CH" w:eastAsia="fr-CH"/>
    </w:rPr>
  </w:style>
  <w:style w:type="table" w:styleId="TableGrid">
    <w:name w:val="Table Grid"/>
    <w:basedOn w:val="TableNormal"/>
    <w:rsid w:val="008338D1"/>
    <w:rPr>
      <w:rFonts w:eastAsia="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F739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1F7391"/>
    <w:rPr>
      <w:rFonts w:ascii="Tahoma" w:hAnsi="Tahoma" w:cs="Tahoma"/>
      <w:sz w:val="16"/>
      <w:szCs w:val="16"/>
      <w:lang w:val="en-US" w:eastAsia="en-US"/>
    </w:rPr>
  </w:style>
  <w:style w:type="character" w:styleId="CommentReference">
    <w:name w:val="annotation reference"/>
    <w:uiPriority w:val="99"/>
    <w:semiHidden/>
    <w:rsid w:val="00D53A64"/>
    <w:rPr>
      <w:rFonts w:cs="Times New Roman"/>
      <w:sz w:val="16"/>
      <w:szCs w:val="16"/>
    </w:rPr>
  </w:style>
  <w:style w:type="paragraph" w:styleId="CommentText">
    <w:name w:val="annotation text"/>
    <w:basedOn w:val="Normal"/>
    <w:link w:val="CommentTextChar"/>
    <w:uiPriority w:val="99"/>
    <w:rsid w:val="00666EB6"/>
    <w:pPr>
      <w:spacing w:line="240" w:lineRule="auto"/>
    </w:pPr>
    <w:rPr>
      <w:rFonts w:cs="Times New Roman"/>
      <w:sz w:val="20"/>
      <w:szCs w:val="20"/>
    </w:rPr>
  </w:style>
  <w:style w:type="character" w:customStyle="1" w:styleId="CommentTextChar">
    <w:name w:val="Comment Text Char"/>
    <w:link w:val="CommentText"/>
    <w:uiPriority w:val="99"/>
    <w:locked/>
    <w:rsid w:val="00D53A64"/>
    <w:rPr>
      <w:rFonts w:ascii="Arial" w:hAnsi="Arial" w:cs="Arial"/>
      <w:sz w:val="20"/>
      <w:szCs w:val="20"/>
      <w:lang w:val="en-US" w:eastAsia="en-US"/>
    </w:rPr>
  </w:style>
  <w:style w:type="paragraph" w:styleId="CommentSubject">
    <w:name w:val="annotation subject"/>
    <w:basedOn w:val="CommentText"/>
    <w:next w:val="CommentText"/>
    <w:link w:val="CommentSubjectChar"/>
    <w:semiHidden/>
    <w:rsid w:val="00666EB6"/>
    <w:rPr>
      <w:b/>
      <w:bCs/>
    </w:rPr>
  </w:style>
  <w:style w:type="character" w:customStyle="1" w:styleId="CommentSubjectChar">
    <w:name w:val="Comment Subject Char"/>
    <w:link w:val="CommentSubject"/>
    <w:semiHidden/>
    <w:locked/>
    <w:rsid w:val="00D53A64"/>
    <w:rPr>
      <w:rFonts w:ascii="Arial" w:hAnsi="Arial" w:cs="Arial"/>
      <w:b/>
      <w:bCs/>
      <w:sz w:val="20"/>
      <w:szCs w:val="20"/>
      <w:lang w:val="en-US" w:eastAsia="en-US"/>
    </w:rPr>
  </w:style>
  <w:style w:type="paragraph" w:customStyle="1" w:styleId="ColorfulShading-Accent11">
    <w:name w:val="Colorful Shading - Accent 11"/>
    <w:hidden/>
    <w:semiHidden/>
    <w:rsid w:val="00D53A64"/>
    <w:rPr>
      <w:rFonts w:cs="Courier New"/>
      <w:sz w:val="22"/>
      <w:szCs w:val="22"/>
    </w:rPr>
  </w:style>
  <w:style w:type="character" w:styleId="Hyperlink">
    <w:name w:val="Hyperlink"/>
    <w:rsid w:val="00E245AB"/>
    <w:rPr>
      <w:rFonts w:cs="Times New Roman"/>
      <w:color w:val="0000FF"/>
      <w:u w:val="single"/>
    </w:rPr>
  </w:style>
  <w:style w:type="paragraph" w:styleId="Header">
    <w:name w:val="header"/>
    <w:basedOn w:val="Normal"/>
    <w:link w:val="HeaderChar"/>
    <w:semiHidden/>
    <w:rsid w:val="00666EB6"/>
    <w:pPr>
      <w:tabs>
        <w:tab w:val="center" w:pos="4536"/>
        <w:tab w:val="right" w:pos="9072"/>
      </w:tabs>
      <w:spacing w:after="0" w:line="240" w:lineRule="auto"/>
    </w:pPr>
    <w:rPr>
      <w:rFonts w:cs="Times New Roman"/>
      <w:sz w:val="20"/>
      <w:szCs w:val="20"/>
    </w:rPr>
  </w:style>
  <w:style w:type="character" w:customStyle="1" w:styleId="HeaderChar">
    <w:name w:val="Header Char"/>
    <w:link w:val="Header"/>
    <w:semiHidden/>
    <w:locked/>
    <w:rsid w:val="00666EB6"/>
    <w:rPr>
      <w:rFonts w:ascii="Arial" w:hAnsi="Arial" w:cs="Arial"/>
      <w:lang w:val="en-US" w:eastAsia="en-US"/>
    </w:rPr>
  </w:style>
  <w:style w:type="paragraph" w:styleId="FootnoteText">
    <w:name w:val="footnote text"/>
    <w:basedOn w:val="Normal"/>
    <w:link w:val="FootnoteTextChar"/>
    <w:semiHidden/>
    <w:rsid w:val="00526416"/>
    <w:pPr>
      <w:spacing w:after="0" w:line="240" w:lineRule="auto"/>
    </w:pPr>
    <w:rPr>
      <w:rFonts w:cs="Times New Roman"/>
      <w:sz w:val="20"/>
      <w:szCs w:val="20"/>
    </w:rPr>
  </w:style>
  <w:style w:type="character" w:customStyle="1" w:styleId="FootnoteTextChar">
    <w:name w:val="Footnote Text Char"/>
    <w:link w:val="FootnoteText"/>
    <w:semiHidden/>
    <w:locked/>
    <w:rsid w:val="00526416"/>
    <w:rPr>
      <w:rFonts w:ascii="Arial" w:hAnsi="Arial" w:cs="Arial"/>
      <w:sz w:val="20"/>
      <w:szCs w:val="20"/>
      <w:lang w:val="en-US" w:eastAsia="en-US"/>
    </w:rPr>
  </w:style>
  <w:style w:type="character" w:styleId="FootnoteReference">
    <w:name w:val="footnote reference"/>
    <w:semiHidden/>
    <w:rsid w:val="00526416"/>
    <w:rPr>
      <w:rFonts w:cs="Times New Roman"/>
      <w:vertAlign w:val="superscript"/>
    </w:rPr>
  </w:style>
  <w:style w:type="paragraph" w:styleId="Revision">
    <w:name w:val="Revision"/>
    <w:hidden/>
    <w:uiPriority w:val="99"/>
    <w:semiHidden/>
    <w:rsid w:val="00AE30F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827406">
      <w:bodyDiv w:val="1"/>
      <w:marLeft w:val="0"/>
      <w:marRight w:val="0"/>
      <w:marTop w:val="0"/>
      <w:marBottom w:val="0"/>
      <w:divBdr>
        <w:top w:val="none" w:sz="0" w:space="0" w:color="auto"/>
        <w:left w:val="none" w:sz="0" w:space="0" w:color="auto"/>
        <w:bottom w:val="none" w:sz="0" w:space="0" w:color="auto"/>
        <w:right w:val="none" w:sz="0" w:space="0" w:color="auto"/>
      </w:divBdr>
    </w:div>
    <w:div w:id="898519682">
      <w:bodyDiv w:val="1"/>
      <w:marLeft w:val="0"/>
      <w:marRight w:val="0"/>
      <w:marTop w:val="0"/>
      <w:marBottom w:val="0"/>
      <w:divBdr>
        <w:top w:val="none" w:sz="0" w:space="0" w:color="auto"/>
        <w:left w:val="none" w:sz="0" w:space="0" w:color="auto"/>
        <w:bottom w:val="none" w:sz="0" w:space="0" w:color="auto"/>
        <w:right w:val="none" w:sz="0" w:space="0" w:color="auto"/>
      </w:divBdr>
    </w:div>
    <w:div w:id="14414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CCF31-F070-47B2-A1DC-69C3A1F6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dc:creator>
  <cp:lastModifiedBy>David Ogden</cp:lastModifiedBy>
  <cp:revision>3</cp:revision>
  <cp:lastPrinted>2015-12-18T12:06:00Z</cp:lastPrinted>
  <dcterms:created xsi:type="dcterms:W3CDTF">2019-09-13T13:33:00Z</dcterms:created>
  <dcterms:modified xsi:type="dcterms:W3CDTF">2019-09-13T13:36:00Z</dcterms:modified>
</cp:coreProperties>
</file>