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CD" w:rsidRPr="00A64B50" w:rsidRDefault="00A867CD" w:rsidP="00A867CD">
      <w:pPr>
        <w:widowControl w:val="0"/>
        <w:tabs>
          <w:tab w:val="clear" w:pos="1814"/>
          <w:tab w:val="clear" w:pos="2381"/>
          <w:tab w:val="left" w:pos="1800"/>
          <w:tab w:val="left" w:pos="2520"/>
        </w:tabs>
        <w:spacing w:before="240" w:after="120"/>
        <w:ind w:left="1267"/>
        <w:rPr>
          <w:rFonts w:eastAsia="SimHei"/>
          <w:b/>
          <w:spacing w:val="6"/>
          <w:sz w:val="28"/>
          <w:szCs w:val="24"/>
          <w:lang w:eastAsia="zh-CN"/>
        </w:rPr>
      </w:pPr>
      <w:r w:rsidRPr="00A64B50">
        <w:rPr>
          <w:rFonts w:eastAsia="SimHei"/>
          <w:b/>
          <w:spacing w:val="6"/>
          <w:sz w:val="28"/>
          <w:szCs w:val="24"/>
          <w:lang w:eastAsia="zh-CN"/>
        </w:rPr>
        <w:t>BC-13/18</w:t>
      </w:r>
      <w:r w:rsidRPr="00A64B50">
        <w:rPr>
          <w:rFonts w:eastAsia="SimHei"/>
          <w:b/>
          <w:spacing w:val="6"/>
          <w:sz w:val="28"/>
          <w:szCs w:val="24"/>
          <w:lang w:eastAsia="zh-CN"/>
        </w:rPr>
        <w:t>：加强巴塞尔公约、鹿特丹公约和斯德哥尔摩公约之间的合作与协调</w:t>
      </w:r>
    </w:p>
    <w:p w:rsidR="00A867CD" w:rsidRPr="00A64B50" w:rsidRDefault="00A867CD" w:rsidP="00A867CD">
      <w:pPr>
        <w:pStyle w:val="NormalNonumber"/>
        <w:tabs>
          <w:tab w:val="clear" w:pos="1247"/>
          <w:tab w:val="clear" w:pos="1814"/>
          <w:tab w:val="clear" w:pos="2381"/>
          <w:tab w:val="clear" w:pos="2948"/>
          <w:tab w:val="clear" w:pos="3515"/>
          <w:tab w:val="left" w:pos="624"/>
        </w:tabs>
        <w:ind w:firstLine="624"/>
        <w:rPr>
          <w:rFonts w:eastAsia="KaiTi"/>
          <w:i/>
          <w:sz w:val="24"/>
          <w:szCs w:val="24"/>
          <w:lang w:eastAsia="zh-CN"/>
        </w:rPr>
      </w:pPr>
      <w:r w:rsidRPr="00A64B50">
        <w:rPr>
          <w:rFonts w:eastAsia="KaiTi"/>
          <w:sz w:val="24"/>
          <w:szCs w:val="24"/>
          <w:lang w:val="zh-CN" w:eastAsia="zh-CN"/>
        </w:rPr>
        <w:t>缔约方大会，</w:t>
      </w:r>
    </w:p>
    <w:p w:rsidR="00A867CD" w:rsidRPr="00A64B50" w:rsidRDefault="00A867CD" w:rsidP="00A867CD">
      <w:pPr>
        <w:pStyle w:val="NormalNonumber"/>
        <w:tabs>
          <w:tab w:val="clear" w:pos="1247"/>
          <w:tab w:val="clear" w:pos="1814"/>
          <w:tab w:val="clear" w:pos="2381"/>
          <w:tab w:val="clear" w:pos="2948"/>
          <w:tab w:val="clear" w:pos="3515"/>
          <w:tab w:val="left" w:pos="624"/>
        </w:tabs>
        <w:ind w:firstLine="624"/>
        <w:jc w:val="both"/>
        <w:rPr>
          <w:sz w:val="24"/>
          <w:szCs w:val="24"/>
          <w:lang w:eastAsia="zh-CN"/>
        </w:rPr>
      </w:pPr>
      <w:r w:rsidRPr="00A64B50">
        <w:rPr>
          <w:rFonts w:eastAsia="KaiTi"/>
          <w:sz w:val="24"/>
          <w:szCs w:val="24"/>
          <w:lang w:val="zh-CN" w:eastAsia="zh-CN"/>
        </w:rPr>
        <w:t>念及</w:t>
      </w:r>
      <w:r w:rsidRPr="00A64B50">
        <w:rPr>
          <w:sz w:val="24"/>
          <w:szCs w:val="24"/>
          <w:lang w:val="zh-CN" w:eastAsia="zh-CN"/>
        </w:rPr>
        <w:t>控制危险废物越境转移及其处置巴塞尔公约、关于在国际贸易中对某些危险化学品和农药采用事先知情同意程序的鹿特丹公约和关于持久性有机污染物的斯德哥尔摩公约各自具有的法律自主权，</w:t>
      </w:r>
    </w:p>
    <w:p w:rsidR="00A867CD" w:rsidRPr="00A64B50" w:rsidRDefault="00A867CD" w:rsidP="00A867CD">
      <w:pPr>
        <w:pStyle w:val="NormalNonumber"/>
        <w:tabs>
          <w:tab w:val="clear" w:pos="1247"/>
          <w:tab w:val="clear" w:pos="1814"/>
          <w:tab w:val="clear" w:pos="2381"/>
          <w:tab w:val="clear" w:pos="2948"/>
          <w:tab w:val="clear" w:pos="3515"/>
          <w:tab w:val="left" w:pos="624"/>
        </w:tabs>
        <w:ind w:firstLine="624"/>
        <w:jc w:val="both"/>
        <w:rPr>
          <w:sz w:val="24"/>
          <w:szCs w:val="24"/>
          <w:lang w:eastAsia="zh-CN"/>
        </w:rPr>
      </w:pPr>
      <w:r w:rsidRPr="00A64B50">
        <w:rPr>
          <w:rFonts w:eastAsia="KaiTi"/>
          <w:sz w:val="24"/>
          <w:szCs w:val="24"/>
          <w:lang w:val="zh-CN" w:eastAsia="zh-CN"/>
        </w:rPr>
        <w:t>重申</w:t>
      </w:r>
      <w:r w:rsidRPr="00A64B50">
        <w:rPr>
          <w:sz w:val="24"/>
          <w:szCs w:val="24"/>
          <w:lang w:val="zh-CN" w:eastAsia="zh-CN"/>
        </w:rPr>
        <w:t>为加强协调与合作采取的行动应着眼于加强三项公约在国家、区域和全球各级的贯彻实施，促进连贯一致的政策指导，提高向缔约方提供支持的效率，减轻其行政负担，并使各级的资源最大程度地得到切实有效的利用，在行动中应酌情考虑到国家一级的活动、情况和优先事项，</w:t>
      </w:r>
    </w:p>
    <w:p w:rsidR="00A867CD" w:rsidRPr="00A64B50" w:rsidRDefault="00A867CD" w:rsidP="00A867CD">
      <w:pPr>
        <w:pStyle w:val="NormalNonumber"/>
        <w:tabs>
          <w:tab w:val="clear" w:pos="1247"/>
          <w:tab w:val="clear" w:pos="1814"/>
          <w:tab w:val="clear" w:pos="2381"/>
          <w:tab w:val="clear" w:pos="2948"/>
          <w:tab w:val="clear" w:pos="3515"/>
          <w:tab w:val="left" w:pos="624"/>
        </w:tabs>
        <w:ind w:firstLine="624"/>
        <w:jc w:val="both"/>
        <w:rPr>
          <w:sz w:val="24"/>
          <w:szCs w:val="24"/>
          <w:lang w:eastAsia="zh-CN"/>
        </w:rPr>
      </w:pPr>
      <w:r w:rsidRPr="00A64B50">
        <w:rPr>
          <w:rFonts w:eastAsia="KaiTi"/>
          <w:spacing w:val="6"/>
          <w:sz w:val="24"/>
          <w:szCs w:val="24"/>
          <w:lang w:val="zh-CN" w:eastAsia="zh-CN"/>
        </w:rPr>
        <w:t>念及</w:t>
      </w:r>
      <w:r w:rsidRPr="00A64B50">
        <w:rPr>
          <w:spacing w:val="6"/>
          <w:sz w:val="24"/>
          <w:szCs w:val="24"/>
          <w:lang w:val="zh-CN" w:eastAsia="zh-CN"/>
        </w:rPr>
        <w:t>针对按照</w:t>
      </w:r>
      <w:r w:rsidRPr="00A64B50">
        <w:rPr>
          <w:spacing w:val="6"/>
          <w:sz w:val="24"/>
          <w:szCs w:val="24"/>
          <w:lang w:val="zh-CN" w:eastAsia="zh-CN"/>
        </w:rPr>
        <w:t>BC-12/20</w:t>
      </w:r>
      <w:r w:rsidRPr="00A64B50">
        <w:rPr>
          <w:spacing w:val="6"/>
          <w:sz w:val="24"/>
          <w:szCs w:val="24"/>
          <w:lang w:val="zh-CN" w:eastAsia="zh-CN"/>
        </w:rPr>
        <w:t>、</w:t>
      </w:r>
      <w:r w:rsidRPr="00A64B50">
        <w:rPr>
          <w:spacing w:val="6"/>
          <w:sz w:val="24"/>
          <w:szCs w:val="24"/>
          <w:lang w:val="zh-CN" w:eastAsia="zh-CN"/>
        </w:rPr>
        <w:t>RC-7/10</w:t>
      </w:r>
      <w:r w:rsidRPr="00A64B50">
        <w:rPr>
          <w:spacing w:val="6"/>
          <w:sz w:val="24"/>
          <w:szCs w:val="24"/>
          <w:lang w:val="zh-CN" w:eastAsia="zh-CN"/>
        </w:rPr>
        <w:t>和</w:t>
      </w:r>
      <w:r w:rsidRPr="00A64B50">
        <w:rPr>
          <w:spacing w:val="6"/>
          <w:sz w:val="24"/>
          <w:szCs w:val="24"/>
          <w:lang w:val="zh-CN" w:eastAsia="zh-CN"/>
        </w:rPr>
        <w:t>SC-7/28</w:t>
      </w:r>
      <w:r w:rsidRPr="00A64B50">
        <w:rPr>
          <w:spacing w:val="6"/>
          <w:sz w:val="24"/>
          <w:szCs w:val="24"/>
          <w:lang w:val="zh-CN" w:eastAsia="zh-CN"/>
        </w:rPr>
        <w:t>号决定要求提交的审查报告</w:t>
      </w:r>
      <w:r w:rsidRPr="00A64B50">
        <w:rPr>
          <w:sz w:val="24"/>
          <w:szCs w:val="24"/>
          <w:vertAlign w:val="superscript"/>
          <w:lang w:val="zh-CN"/>
        </w:rPr>
        <w:footnoteReference w:id="1"/>
      </w:r>
      <w:r w:rsidRPr="00A64B50">
        <w:rPr>
          <w:sz w:val="24"/>
          <w:szCs w:val="24"/>
          <w:lang w:val="zh-CN" w:eastAsia="zh-CN"/>
        </w:rPr>
        <w:t>中提出的建议，三个缔约方大会在</w:t>
      </w:r>
      <w:r w:rsidRPr="00A64B50">
        <w:rPr>
          <w:sz w:val="24"/>
          <w:szCs w:val="24"/>
          <w:lang w:val="zh-CN" w:eastAsia="zh-CN"/>
        </w:rPr>
        <w:t>2017</w:t>
      </w:r>
      <w:r w:rsidRPr="00A64B50">
        <w:rPr>
          <w:sz w:val="24"/>
          <w:szCs w:val="24"/>
          <w:lang w:val="zh-CN" w:eastAsia="zh-CN"/>
        </w:rPr>
        <w:t>年联会通过的各项决定中提出了若干后续行动，</w:t>
      </w:r>
    </w:p>
    <w:p w:rsidR="00A867CD" w:rsidRPr="00A64B50" w:rsidRDefault="00A867CD" w:rsidP="00A867CD">
      <w:pPr>
        <w:pStyle w:val="Normalnumber"/>
        <w:numPr>
          <w:ilvl w:val="0"/>
          <w:numId w:val="2"/>
        </w:numPr>
        <w:tabs>
          <w:tab w:val="clear" w:pos="1247"/>
          <w:tab w:val="clear" w:pos="1814"/>
          <w:tab w:val="clear" w:pos="2381"/>
          <w:tab w:val="clear" w:pos="2948"/>
          <w:tab w:val="clear" w:pos="3515"/>
          <w:tab w:val="clear" w:pos="4082"/>
          <w:tab w:val="left" w:pos="2340"/>
        </w:tabs>
        <w:ind w:firstLine="643"/>
        <w:jc w:val="both"/>
        <w:rPr>
          <w:sz w:val="24"/>
          <w:szCs w:val="24"/>
          <w:lang w:eastAsia="zh-CN"/>
        </w:rPr>
      </w:pPr>
      <w:r w:rsidRPr="00A64B50">
        <w:rPr>
          <w:rFonts w:eastAsia="KaiTi"/>
          <w:sz w:val="24"/>
          <w:szCs w:val="24"/>
          <w:lang w:val="zh-CN" w:eastAsia="zh-CN"/>
        </w:rPr>
        <w:t>欢迎</w:t>
      </w:r>
      <w:r w:rsidRPr="008E46A5">
        <w:rPr>
          <w:rFonts w:ascii="SimSun" w:eastAsia="SimSun" w:hAnsi="SimSun"/>
          <w:sz w:val="24"/>
          <w:szCs w:val="24"/>
          <w:lang w:val="zh-CN" w:eastAsia="zh-CN"/>
        </w:rPr>
        <w:t>关于对协同增效安排进行进一步审查的报告</w:t>
      </w:r>
      <w:r w:rsidRPr="00A64B50">
        <w:rPr>
          <w:sz w:val="24"/>
          <w:szCs w:val="24"/>
          <w:lang w:val="zh-CN" w:eastAsia="zh-CN"/>
        </w:rPr>
        <w:t>；</w:t>
      </w:r>
      <w:r w:rsidRPr="00A64B50">
        <w:rPr>
          <w:sz w:val="24"/>
          <w:szCs w:val="24"/>
          <w:vertAlign w:val="superscript"/>
          <w:lang w:val="zh-CN"/>
        </w:rPr>
        <w:footnoteReference w:id="2"/>
      </w:r>
    </w:p>
    <w:p w:rsidR="00A867CD" w:rsidRPr="00A64B50" w:rsidRDefault="00A867CD" w:rsidP="00A867CD">
      <w:pPr>
        <w:pStyle w:val="Normalnumber"/>
        <w:numPr>
          <w:ilvl w:val="0"/>
          <w:numId w:val="2"/>
        </w:numPr>
        <w:tabs>
          <w:tab w:val="clear" w:pos="1247"/>
          <w:tab w:val="clear" w:pos="1814"/>
          <w:tab w:val="clear" w:pos="2381"/>
          <w:tab w:val="clear" w:pos="2948"/>
          <w:tab w:val="clear" w:pos="3515"/>
          <w:tab w:val="clear" w:pos="4082"/>
          <w:tab w:val="left" w:pos="2340"/>
        </w:tabs>
        <w:ind w:firstLine="624"/>
        <w:jc w:val="both"/>
        <w:rPr>
          <w:sz w:val="24"/>
          <w:szCs w:val="24"/>
          <w:lang w:eastAsia="zh-CN"/>
        </w:rPr>
      </w:pPr>
      <w:r w:rsidRPr="00A64B50">
        <w:rPr>
          <w:rFonts w:eastAsia="KaiTi"/>
          <w:sz w:val="24"/>
          <w:szCs w:val="24"/>
          <w:lang w:val="zh-CN" w:eastAsia="zh-CN"/>
        </w:rPr>
        <w:t>又欢迎</w:t>
      </w:r>
      <w:r w:rsidRPr="008E46A5">
        <w:rPr>
          <w:rFonts w:eastAsia="SimSun"/>
          <w:sz w:val="24"/>
          <w:szCs w:val="24"/>
          <w:lang w:val="zh-CN" w:eastAsia="zh-CN"/>
        </w:rPr>
        <w:t>关于基于矩阵管理办法和组织结构进行审查的报告，</w:t>
      </w:r>
      <w:r w:rsidRPr="008E46A5">
        <w:rPr>
          <w:rFonts w:eastAsia="SimSun"/>
          <w:sz w:val="24"/>
          <w:szCs w:val="24"/>
          <w:vertAlign w:val="superscript"/>
          <w:lang w:val="zh-CN"/>
        </w:rPr>
        <w:footnoteReference w:id="3"/>
      </w:r>
      <w:r w:rsidRPr="008E46A5">
        <w:rPr>
          <w:rFonts w:eastAsia="SimSun"/>
          <w:sz w:val="24"/>
          <w:szCs w:val="24"/>
          <w:lang w:val="zh-CN" w:eastAsia="zh-CN"/>
        </w:rPr>
        <w:t>该审查由执行主任在与联合国粮食及农业组织总干事磋商的基础上开展</w:t>
      </w:r>
      <w:r w:rsidRPr="00A64B50">
        <w:rPr>
          <w:sz w:val="24"/>
          <w:szCs w:val="24"/>
          <w:lang w:val="zh-CN" w:eastAsia="zh-CN"/>
        </w:rPr>
        <w:t>；</w:t>
      </w:r>
    </w:p>
    <w:p w:rsidR="00A867CD" w:rsidRPr="00A64B50" w:rsidRDefault="00A867CD" w:rsidP="00A867CD">
      <w:pPr>
        <w:pStyle w:val="Normalnumber"/>
        <w:numPr>
          <w:ilvl w:val="0"/>
          <w:numId w:val="2"/>
        </w:numPr>
        <w:tabs>
          <w:tab w:val="clear" w:pos="1247"/>
          <w:tab w:val="clear" w:pos="1814"/>
          <w:tab w:val="clear" w:pos="2381"/>
          <w:tab w:val="clear" w:pos="2948"/>
          <w:tab w:val="clear" w:pos="3515"/>
          <w:tab w:val="clear" w:pos="4082"/>
          <w:tab w:val="left" w:pos="2340"/>
        </w:tabs>
        <w:ind w:firstLine="624"/>
        <w:jc w:val="both"/>
        <w:rPr>
          <w:sz w:val="24"/>
          <w:szCs w:val="24"/>
          <w:lang w:eastAsia="zh-CN"/>
        </w:rPr>
      </w:pPr>
      <w:r w:rsidRPr="00A64B50">
        <w:rPr>
          <w:rFonts w:eastAsia="KaiTi"/>
          <w:sz w:val="24"/>
          <w:szCs w:val="24"/>
          <w:lang w:val="zh-CN" w:eastAsia="zh-CN"/>
        </w:rPr>
        <w:t>还欢迎</w:t>
      </w:r>
      <w:r w:rsidRPr="008E46A5">
        <w:rPr>
          <w:rFonts w:ascii="SimSun" w:eastAsia="SimSun" w:hAnsi="SimSun"/>
          <w:sz w:val="24"/>
          <w:szCs w:val="24"/>
          <w:lang w:val="zh-CN" w:eastAsia="zh-CN"/>
        </w:rPr>
        <w:t>有关审查关于鹿特丹公约秘书处设于联合国粮食及农业组织部分的组织与运作的秘书处说明所载的提升协同增效安排的提案的报告</w:t>
      </w:r>
      <w:r w:rsidRPr="00A64B50">
        <w:rPr>
          <w:sz w:val="24"/>
          <w:szCs w:val="24"/>
          <w:lang w:val="zh-CN" w:eastAsia="zh-CN"/>
        </w:rPr>
        <w:t>；</w:t>
      </w:r>
      <w:r w:rsidRPr="00A64B50">
        <w:rPr>
          <w:sz w:val="24"/>
          <w:szCs w:val="24"/>
          <w:vertAlign w:val="superscript"/>
          <w:lang w:val="zh-CN"/>
        </w:rPr>
        <w:footnoteReference w:id="4"/>
      </w:r>
    </w:p>
    <w:p w:rsidR="00A867CD" w:rsidRPr="00A64B50" w:rsidRDefault="00A867CD" w:rsidP="00A867CD">
      <w:pPr>
        <w:pStyle w:val="Normalnumber"/>
        <w:numPr>
          <w:ilvl w:val="0"/>
          <w:numId w:val="2"/>
        </w:numPr>
        <w:tabs>
          <w:tab w:val="clear" w:pos="1247"/>
          <w:tab w:val="clear" w:pos="1814"/>
          <w:tab w:val="clear" w:pos="2381"/>
          <w:tab w:val="clear" w:pos="2948"/>
          <w:tab w:val="clear" w:pos="3515"/>
          <w:tab w:val="clear" w:pos="4082"/>
          <w:tab w:val="left" w:pos="2340"/>
        </w:tabs>
        <w:ind w:firstLine="624"/>
        <w:jc w:val="both"/>
        <w:rPr>
          <w:iCs/>
          <w:sz w:val="24"/>
          <w:szCs w:val="24"/>
          <w:lang w:eastAsia="zh-CN"/>
        </w:rPr>
      </w:pPr>
      <w:r w:rsidRPr="00A64B50">
        <w:rPr>
          <w:rFonts w:eastAsia="KaiTi"/>
          <w:sz w:val="24"/>
          <w:szCs w:val="24"/>
          <w:lang w:val="zh-CN" w:eastAsia="zh-CN"/>
        </w:rPr>
        <w:t>请</w:t>
      </w:r>
      <w:r w:rsidRPr="008E46A5">
        <w:rPr>
          <w:rFonts w:ascii="SimSun" w:eastAsia="SimSun" w:hAnsi="SimSun"/>
          <w:sz w:val="24"/>
          <w:szCs w:val="24"/>
          <w:lang w:val="zh-CN" w:eastAsia="zh-CN"/>
        </w:rPr>
        <w:t>秘书处继续寻找机会，加强巴塞尔公约、鹿特丹公约和斯德哥尔摩公约之间的协调与合作，确保政策一致性并提高效率，从而减轻行政负担，并使各级的资源最大程度地得到切实有效的利用；</w:t>
      </w:r>
    </w:p>
    <w:p w:rsidR="00A867CD" w:rsidRPr="008E46A5" w:rsidRDefault="00A867CD" w:rsidP="00A867CD">
      <w:pPr>
        <w:pStyle w:val="Normalnumber"/>
        <w:numPr>
          <w:ilvl w:val="0"/>
          <w:numId w:val="2"/>
        </w:numPr>
        <w:tabs>
          <w:tab w:val="clear" w:pos="1247"/>
          <w:tab w:val="clear" w:pos="1814"/>
          <w:tab w:val="clear" w:pos="2381"/>
          <w:tab w:val="clear" w:pos="2948"/>
          <w:tab w:val="clear" w:pos="3515"/>
          <w:tab w:val="clear" w:pos="4082"/>
          <w:tab w:val="left" w:pos="2340"/>
        </w:tabs>
        <w:ind w:firstLine="624"/>
        <w:jc w:val="both"/>
        <w:rPr>
          <w:rFonts w:eastAsia="SimSun"/>
          <w:iCs/>
          <w:sz w:val="24"/>
          <w:szCs w:val="24"/>
          <w:lang w:eastAsia="zh-CN"/>
        </w:rPr>
      </w:pPr>
      <w:r w:rsidRPr="00A64B50">
        <w:rPr>
          <w:rFonts w:eastAsia="KaiTi"/>
          <w:sz w:val="24"/>
          <w:szCs w:val="24"/>
          <w:lang w:val="zh-CN" w:eastAsia="zh-CN"/>
        </w:rPr>
        <w:t>邀请</w:t>
      </w:r>
      <w:r w:rsidRPr="008E46A5">
        <w:rPr>
          <w:rFonts w:eastAsia="SimSun"/>
          <w:sz w:val="24"/>
          <w:szCs w:val="24"/>
          <w:lang w:val="zh-CN" w:eastAsia="zh-CN"/>
        </w:rPr>
        <w:t>各缔约方于</w:t>
      </w:r>
      <w:r w:rsidRPr="008E46A5">
        <w:rPr>
          <w:rFonts w:eastAsia="SimSun"/>
          <w:sz w:val="24"/>
          <w:szCs w:val="24"/>
          <w:lang w:val="zh-CN" w:eastAsia="zh-CN"/>
        </w:rPr>
        <w:t>2018</w:t>
      </w:r>
      <w:r w:rsidRPr="008E46A5">
        <w:rPr>
          <w:rFonts w:eastAsia="SimSun"/>
          <w:sz w:val="24"/>
          <w:szCs w:val="24"/>
          <w:lang w:val="zh-CN" w:eastAsia="zh-CN"/>
        </w:rPr>
        <w:t>年</w:t>
      </w:r>
      <w:r w:rsidRPr="008E46A5">
        <w:rPr>
          <w:rFonts w:eastAsia="SimSun"/>
          <w:sz w:val="24"/>
          <w:szCs w:val="24"/>
          <w:lang w:val="zh-CN" w:eastAsia="zh-CN"/>
        </w:rPr>
        <w:t>6</w:t>
      </w:r>
      <w:r w:rsidRPr="008E46A5">
        <w:rPr>
          <w:rFonts w:eastAsia="SimSun"/>
          <w:sz w:val="24"/>
          <w:szCs w:val="24"/>
          <w:lang w:val="zh-CN" w:eastAsia="zh-CN"/>
        </w:rPr>
        <w:t>月</w:t>
      </w:r>
      <w:r w:rsidRPr="008E46A5">
        <w:rPr>
          <w:rFonts w:eastAsia="SimSun"/>
          <w:sz w:val="24"/>
          <w:szCs w:val="24"/>
          <w:lang w:val="zh-CN" w:eastAsia="zh-CN"/>
        </w:rPr>
        <w:t>30</w:t>
      </w:r>
      <w:r w:rsidRPr="008E46A5">
        <w:rPr>
          <w:rFonts w:eastAsia="SimSun"/>
          <w:sz w:val="24"/>
          <w:szCs w:val="24"/>
          <w:lang w:val="zh-CN" w:eastAsia="zh-CN"/>
        </w:rPr>
        <w:t>日前向秘书处提交可能采取的进一步行动的建议，以加强巴塞尔公约、鹿特丹公约和斯德哥尔摩公约之间的协调与合作，并请秘书处将收到的具体建议纳入相关文件提交缔约方大会，供其下一次会议在各相关议程项目下审议；</w:t>
      </w:r>
    </w:p>
    <w:p w:rsidR="00A867CD" w:rsidRDefault="00A867CD" w:rsidP="00A867CD">
      <w:pPr>
        <w:pStyle w:val="Normalnumber"/>
        <w:numPr>
          <w:ilvl w:val="0"/>
          <w:numId w:val="2"/>
        </w:numPr>
        <w:tabs>
          <w:tab w:val="clear" w:pos="1247"/>
          <w:tab w:val="clear" w:pos="1814"/>
          <w:tab w:val="clear" w:pos="2381"/>
          <w:tab w:val="clear" w:pos="2948"/>
          <w:tab w:val="clear" w:pos="3515"/>
          <w:tab w:val="clear" w:pos="4082"/>
          <w:tab w:val="left" w:pos="2340"/>
        </w:tabs>
        <w:ind w:firstLine="624"/>
        <w:jc w:val="both"/>
        <w:rPr>
          <w:rFonts w:ascii="SimSun" w:eastAsia="SimSun" w:hAnsi="SimSun"/>
          <w:sz w:val="24"/>
          <w:szCs w:val="24"/>
          <w:lang w:val="zh-CN" w:eastAsia="zh-CN"/>
        </w:rPr>
      </w:pPr>
      <w:r w:rsidRPr="00A64B50">
        <w:rPr>
          <w:rFonts w:eastAsia="KaiTi"/>
          <w:sz w:val="24"/>
          <w:szCs w:val="24"/>
          <w:lang w:val="zh-CN" w:eastAsia="zh-CN"/>
        </w:rPr>
        <w:t>请</w:t>
      </w:r>
      <w:r w:rsidRPr="008E46A5">
        <w:rPr>
          <w:rFonts w:ascii="SimSun" w:eastAsia="SimSun" w:hAnsi="SimSun"/>
          <w:sz w:val="24"/>
          <w:szCs w:val="24"/>
          <w:lang w:val="zh-CN" w:eastAsia="zh-CN"/>
        </w:rPr>
        <w:t>秘书处将加强合作与协调所取得的进展方面的信息纳入相关决定的执行情况报告中。</w:t>
      </w:r>
    </w:p>
    <w:p w:rsidR="00087D33" w:rsidRPr="00A867CD" w:rsidRDefault="00087D33" w:rsidP="00A867CD">
      <w:pPr>
        <w:tabs>
          <w:tab w:val="clear" w:pos="1247"/>
          <w:tab w:val="clear" w:pos="1814"/>
          <w:tab w:val="clear" w:pos="2381"/>
          <w:tab w:val="clear" w:pos="2948"/>
          <w:tab w:val="clear" w:pos="3515"/>
        </w:tabs>
        <w:spacing w:after="200" w:line="276" w:lineRule="auto"/>
        <w:rPr>
          <w:rFonts w:ascii="SimSun" w:hAnsi="SimSun"/>
          <w:sz w:val="24"/>
          <w:szCs w:val="24"/>
          <w:lang w:val="en-US" w:eastAsia="zh-CN"/>
        </w:rPr>
      </w:pPr>
    </w:p>
    <w:sectPr w:rsidR="00087D33" w:rsidRPr="00A867CD" w:rsidSect="00087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A43" w:rsidRDefault="007D6A43" w:rsidP="00A867CD">
      <w:r>
        <w:separator/>
      </w:r>
    </w:p>
  </w:endnote>
  <w:endnote w:type="continuationSeparator" w:id="0">
    <w:p w:rsidR="007D6A43" w:rsidRDefault="007D6A43" w:rsidP="00A86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A43" w:rsidRDefault="007D6A43" w:rsidP="00A867CD">
      <w:r>
        <w:separator/>
      </w:r>
    </w:p>
  </w:footnote>
  <w:footnote w:type="continuationSeparator" w:id="0">
    <w:p w:rsidR="007D6A43" w:rsidRDefault="007D6A43" w:rsidP="00A867CD">
      <w:r>
        <w:continuationSeparator/>
      </w:r>
    </w:p>
  </w:footnote>
  <w:footnote w:id="1">
    <w:p w:rsidR="00A867CD" w:rsidRPr="00976F92" w:rsidRDefault="00A867CD" w:rsidP="00A867CD">
      <w:pPr>
        <w:pStyle w:val="Normal-pool"/>
        <w:tabs>
          <w:tab w:val="clear" w:pos="1247"/>
          <w:tab w:val="clear" w:pos="1814"/>
          <w:tab w:val="clear" w:pos="2381"/>
          <w:tab w:val="clear" w:pos="2948"/>
          <w:tab w:val="clear" w:pos="3515"/>
          <w:tab w:val="left" w:pos="624"/>
        </w:tabs>
        <w:spacing w:before="20" w:after="40"/>
        <w:ind w:left="1253"/>
        <w:contextualSpacing/>
        <w:rPr>
          <w:szCs w:val="18"/>
          <w:lang w:eastAsia="zh-CN"/>
        </w:rPr>
      </w:pPr>
      <w:r w:rsidRPr="00976F92">
        <w:rPr>
          <w:rStyle w:val="FootnoteReference"/>
          <w:lang w:val="zh-CN"/>
        </w:rPr>
        <w:footnoteRef/>
      </w:r>
      <w:r w:rsidRPr="00976F92">
        <w:rPr>
          <w:lang w:val="en-US"/>
        </w:rPr>
        <w:t xml:space="preserve"> UNEP/CHW.13/22/Add.1-UNEP/FAO/RC/COP.8/21/Add.1-UNEP/POPS/COP.8/25/Add.1</w:t>
      </w:r>
      <w:r w:rsidRPr="00976F92">
        <w:rPr>
          <w:rFonts w:hint="eastAsia"/>
          <w:lang w:val="en-US" w:eastAsia="zh-CN"/>
        </w:rPr>
        <w:t>。</w:t>
      </w:r>
    </w:p>
  </w:footnote>
  <w:footnote w:id="2">
    <w:p w:rsidR="00A867CD" w:rsidRPr="00976F92" w:rsidRDefault="00A867CD" w:rsidP="00A867CD">
      <w:pPr>
        <w:pStyle w:val="Normal-pool"/>
        <w:tabs>
          <w:tab w:val="clear" w:pos="1247"/>
          <w:tab w:val="clear" w:pos="1814"/>
          <w:tab w:val="clear" w:pos="2381"/>
          <w:tab w:val="clear" w:pos="2948"/>
          <w:tab w:val="clear" w:pos="3515"/>
          <w:tab w:val="left" w:pos="624"/>
        </w:tabs>
        <w:spacing w:before="20" w:after="40"/>
        <w:ind w:left="1253"/>
        <w:contextualSpacing/>
        <w:rPr>
          <w:spacing w:val="-2"/>
          <w:szCs w:val="18"/>
        </w:rPr>
      </w:pPr>
      <w:r w:rsidRPr="00976F92">
        <w:rPr>
          <w:rStyle w:val="FootnoteReference"/>
          <w:lang w:val="zh-CN"/>
        </w:rPr>
        <w:footnoteRef/>
      </w:r>
      <w:r w:rsidRPr="00976F92">
        <w:rPr>
          <w:lang w:val="en-US"/>
        </w:rPr>
        <w:t xml:space="preserve"> </w:t>
      </w:r>
      <w:r w:rsidRPr="00976F92">
        <w:rPr>
          <w:spacing w:val="-2"/>
          <w:lang w:val="en-US"/>
        </w:rPr>
        <w:t>UNEP/CHW.13/INF/43-UNEP/FAO/RC/COP.8/INF/29-UNEP/POPS/COP.8/INF/46，</w:t>
      </w:r>
      <w:r w:rsidRPr="00976F92">
        <w:rPr>
          <w:spacing w:val="-2"/>
          <w:lang w:val="zh-CN"/>
        </w:rPr>
        <w:t>附件。</w:t>
      </w:r>
    </w:p>
  </w:footnote>
  <w:footnote w:id="3">
    <w:p w:rsidR="00A867CD" w:rsidRPr="00976F92" w:rsidRDefault="00A867CD" w:rsidP="00A867CD">
      <w:pPr>
        <w:pStyle w:val="Normal-pool"/>
        <w:tabs>
          <w:tab w:val="clear" w:pos="1247"/>
          <w:tab w:val="clear" w:pos="1814"/>
          <w:tab w:val="clear" w:pos="2381"/>
          <w:tab w:val="clear" w:pos="2948"/>
          <w:tab w:val="clear" w:pos="3515"/>
          <w:tab w:val="left" w:pos="624"/>
        </w:tabs>
        <w:spacing w:before="20" w:after="40"/>
        <w:ind w:left="1253"/>
        <w:contextualSpacing/>
        <w:rPr>
          <w:spacing w:val="-2"/>
          <w:szCs w:val="18"/>
        </w:rPr>
      </w:pPr>
      <w:r w:rsidRPr="002A00B0">
        <w:rPr>
          <w:rStyle w:val="FootnoteReference"/>
          <w:lang w:val="zh-CN"/>
        </w:rPr>
        <w:footnoteRef/>
      </w:r>
      <w:r w:rsidRPr="00976F92">
        <w:rPr>
          <w:spacing w:val="-2"/>
          <w:lang w:val="en-US"/>
        </w:rPr>
        <w:t xml:space="preserve"> UNEP/CHW.13/INF/44-UNEP/FAO/RC/COP.8/INF/30-UNEP/POPS/COP.8/INF/47，</w:t>
      </w:r>
      <w:r w:rsidRPr="00976F92">
        <w:rPr>
          <w:spacing w:val="-2"/>
          <w:lang w:val="zh-CN"/>
        </w:rPr>
        <w:t>附件。</w:t>
      </w:r>
    </w:p>
  </w:footnote>
  <w:footnote w:id="4">
    <w:p w:rsidR="00A867CD" w:rsidRPr="00976F92" w:rsidRDefault="00A867CD" w:rsidP="00A867CD">
      <w:pPr>
        <w:pStyle w:val="Normal-pool"/>
        <w:tabs>
          <w:tab w:val="clear" w:pos="1247"/>
          <w:tab w:val="clear" w:pos="1814"/>
          <w:tab w:val="clear" w:pos="2381"/>
          <w:tab w:val="clear" w:pos="2948"/>
          <w:tab w:val="clear" w:pos="3515"/>
          <w:tab w:val="left" w:pos="624"/>
        </w:tabs>
        <w:spacing w:before="20" w:after="40"/>
        <w:ind w:left="1253"/>
        <w:contextualSpacing/>
        <w:rPr>
          <w:spacing w:val="-2"/>
          <w:szCs w:val="18"/>
        </w:rPr>
      </w:pPr>
      <w:r w:rsidRPr="002A00B0">
        <w:rPr>
          <w:rStyle w:val="FootnoteReference"/>
          <w:lang w:val="zh-CN"/>
        </w:rPr>
        <w:footnoteRef/>
      </w:r>
      <w:r w:rsidRPr="002A00B0">
        <w:rPr>
          <w:lang w:val="en-US"/>
        </w:rPr>
        <w:t xml:space="preserve"> </w:t>
      </w:r>
      <w:r w:rsidRPr="00976F92">
        <w:rPr>
          <w:spacing w:val="-2"/>
          <w:lang w:val="en-US"/>
        </w:rPr>
        <w:t>UNEP/CHW.13/INF/45-UNEP/FAO/RC/COP.8/INF/31-UNEP/POPS/COP.8/INF/48，</w:t>
      </w:r>
      <w:r w:rsidRPr="00976F92">
        <w:rPr>
          <w:spacing w:val="-2"/>
          <w:lang w:val="zh-CN"/>
        </w:rPr>
        <w:t>附件。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66A9D"/>
    <w:multiLevelType w:val="multilevel"/>
    <w:tmpl w:val="EE5859EC"/>
    <w:styleLink w:val="Normallist"/>
    <w:lvl w:ilvl="0">
      <w:start w:val="1"/>
      <w:numFmt w:val="decimal"/>
      <w:pStyle w:val="Normalnumber"/>
      <w:lvlText w:val="%1."/>
      <w:lvlJc w:val="left"/>
      <w:pPr>
        <w:tabs>
          <w:tab w:val="num" w:pos="2677"/>
        </w:tabs>
        <w:ind w:left="2790" w:firstLine="0"/>
      </w:pPr>
      <w:rPr>
        <w:rFonts w:hint="default"/>
      </w:rPr>
    </w:lvl>
    <w:lvl w:ilvl="1">
      <w:start w:val="1"/>
      <w:numFmt w:val="lowerLetter"/>
      <w:lvlText w:val="(%2)"/>
      <w:lvlJc w:val="left"/>
      <w:pPr>
        <w:tabs>
          <w:tab w:val="num" w:pos="1300"/>
        </w:tabs>
        <w:ind w:left="1413"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nsid w:val="570D5F61"/>
    <w:multiLevelType w:val="multilevel"/>
    <w:tmpl w:val="9BFEDE96"/>
    <w:lvl w:ilvl="0">
      <w:start w:val="1"/>
      <w:numFmt w:val="decimal"/>
      <w:lvlText w:val="%1."/>
      <w:lvlJc w:val="left"/>
      <w:pPr>
        <w:tabs>
          <w:tab w:val="num" w:pos="567"/>
        </w:tabs>
        <w:ind w:left="1247" w:firstLine="0"/>
      </w:pPr>
      <w:rPr>
        <w:rFonts w:hint="default"/>
        <w:b w:val="0"/>
        <w:sz w:val="24"/>
        <w:szCs w:val="24"/>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A867CD"/>
    <w:rsid w:val="00087D33"/>
    <w:rsid w:val="007D6A43"/>
    <w:rsid w:val="00A86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CD"/>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list">
    <w:name w:val="Normal_list"/>
    <w:basedOn w:val="NoList"/>
    <w:rsid w:val="00A867CD"/>
    <w:pPr>
      <w:numPr>
        <w:numId w:val="1"/>
      </w:numPr>
    </w:pPr>
  </w:style>
  <w:style w:type="paragraph" w:customStyle="1" w:styleId="Normalnumber">
    <w:name w:val="Normal_number"/>
    <w:basedOn w:val="Normal"/>
    <w:link w:val="NormalnumberChar"/>
    <w:qFormat/>
    <w:rsid w:val="00A867CD"/>
    <w:pPr>
      <w:numPr>
        <w:numId w:val="1"/>
      </w:numPr>
      <w:tabs>
        <w:tab w:val="left" w:pos="4082"/>
      </w:tabs>
      <w:spacing w:after="120"/>
    </w:pPr>
    <w:rPr>
      <w:rFonts w:eastAsiaTheme="minorEastAsia"/>
      <w:lang/>
    </w:rPr>
  </w:style>
  <w:style w:type="character" w:customStyle="1" w:styleId="NormalnumberChar">
    <w:name w:val="Normal_number Char"/>
    <w:link w:val="Normalnumber"/>
    <w:qFormat/>
    <w:locked/>
    <w:rsid w:val="00A867CD"/>
    <w:rPr>
      <w:rFonts w:ascii="Times New Roman" w:eastAsiaTheme="minorEastAsia" w:hAnsi="Times New Roman" w:cs="Times New Roman"/>
      <w:sz w:val="20"/>
      <w:szCs w:val="20"/>
      <w:lang/>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A867CD"/>
    <w:rPr>
      <w:rFonts w:ascii="Times New Roman" w:eastAsia="SimSun" w:hAnsi="Times New Roman"/>
      <w:color w:val="000000"/>
      <w:spacing w:val="-5"/>
      <w:w w:val="130"/>
      <w:position w:val="-4"/>
      <w:sz w:val="20"/>
      <w:szCs w:val="18"/>
      <w:vertAlign w:val="superscript"/>
    </w:rPr>
  </w:style>
  <w:style w:type="paragraph" w:customStyle="1" w:styleId="NormalNonumber">
    <w:name w:val="Normal_No_number"/>
    <w:basedOn w:val="Normal"/>
    <w:link w:val="NormalNonumberChar"/>
    <w:rsid w:val="00A867CD"/>
    <w:pPr>
      <w:spacing w:after="120"/>
      <w:ind w:left="1247"/>
    </w:pPr>
    <w:rPr>
      <w:lang w:eastAsia="en-GB"/>
    </w:rPr>
  </w:style>
  <w:style w:type="paragraph" w:customStyle="1" w:styleId="Normal-pool">
    <w:name w:val="Normal-pool"/>
    <w:link w:val="Normal-poolChar"/>
    <w:rsid w:val="00A867CD"/>
    <w:pPr>
      <w:tabs>
        <w:tab w:val="left" w:pos="1247"/>
        <w:tab w:val="left" w:pos="1814"/>
        <w:tab w:val="left" w:pos="2381"/>
        <w:tab w:val="left" w:pos="2948"/>
        <w:tab w:val="left" w:pos="3515"/>
      </w:tabs>
      <w:spacing w:after="0" w:line="240" w:lineRule="auto"/>
    </w:pPr>
    <w:rPr>
      <w:rFonts w:ascii="Times New Roman" w:eastAsiaTheme="minorEastAsia" w:hAnsi="Times New Roman" w:cs="Times New Roman"/>
      <w:sz w:val="20"/>
      <w:szCs w:val="20"/>
      <w:lang w:val="en-GB"/>
    </w:rPr>
  </w:style>
  <w:style w:type="character" w:customStyle="1" w:styleId="Normal-poolChar">
    <w:name w:val="Normal-pool Char"/>
    <w:link w:val="Normal-pool"/>
    <w:rsid w:val="00A867CD"/>
    <w:rPr>
      <w:rFonts w:ascii="Times New Roman" w:eastAsiaTheme="minorEastAsia" w:hAnsi="Times New Roman" w:cs="Times New Roman"/>
      <w:sz w:val="20"/>
      <w:szCs w:val="20"/>
      <w:lang w:val="en-GB"/>
    </w:rPr>
  </w:style>
  <w:style w:type="character" w:customStyle="1" w:styleId="NormalNonumberChar">
    <w:name w:val="Normal_No_number Char"/>
    <w:link w:val="NormalNonumber"/>
    <w:rsid w:val="00A867CD"/>
    <w:rPr>
      <w:rFonts w:ascii="Times New Roman" w:eastAsia="SimSun" w:hAnsi="Times New Roman"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Company>BRS</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2017-12-28T10:36:00Z</dcterms:created>
  <dcterms:modified xsi:type="dcterms:W3CDTF">2017-12-28T10:37:00Z</dcterms:modified>
</cp:coreProperties>
</file>