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E5" w:rsidRPr="007F7A83" w:rsidRDefault="004A3FE5" w:rsidP="004A3FE5">
      <w:pPr>
        <w:spacing w:after="0" w:line="240" w:lineRule="auto"/>
        <w:jc w:val="center"/>
        <w:rPr>
          <w:rFonts w:ascii="Times New Roman" w:eastAsia="Calibri" w:hAnsi="Times New Roman" w:cs="Times New Roman"/>
          <w:b/>
          <w:bCs/>
          <w:color w:val="002060"/>
          <w:sz w:val="26"/>
          <w:szCs w:val="26"/>
        </w:rPr>
      </w:pPr>
      <w:r w:rsidRPr="007F7A83">
        <w:rPr>
          <w:rFonts w:ascii="Times New Roman" w:eastAsia="Calibri" w:hAnsi="Times New Roman" w:cs="Times New Roman"/>
          <w:b/>
          <w:color w:val="002060"/>
          <w:sz w:val="26"/>
          <w:szCs w:val="26"/>
        </w:rPr>
        <w:t>Working document for Annex IX.B1110</w:t>
      </w:r>
    </w:p>
    <w:p w:rsidR="004A3FE5" w:rsidRPr="0072648B" w:rsidRDefault="004A3FE5" w:rsidP="004A3FE5">
      <w:pPr>
        <w:spacing w:after="0" w:line="240" w:lineRule="auto"/>
        <w:rPr>
          <w:rFonts w:ascii="Times New Roman" w:eastAsia="Calibri" w:hAnsi="Times New Roman" w:cs="Times New Roman"/>
          <w:b/>
          <w:bCs/>
          <w:sz w:val="28"/>
          <w:szCs w:val="28"/>
        </w:rPr>
      </w:pPr>
    </w:p>
    <w:p w:rsidR="00E56FE2" w:rsidRPr="00E56FE2" w:rsidRDefault="00E56FE2" w:rsidP="00E56FE2">
      <w:pPr>
        <w:spacing w:before="60" w:after="60" w:line="240" w:lineRule="auto"/>
        <w:ind w:left="-709"/>
        <w:rPr>
          <w:rFonts w:ascii="Times New Roman" w:eastAsia="Calibri" w:hAnsi="Times New Roman" w:cs="Times New Roman"/>
        </w:rPr>
      </w:pPr>
      <w:r w:rsidRPr="00E56FE2">
        <w:rPr>
          <w:rFonts w:ascii="Times New Roman" w:eastAsia="Calibri" w:hAnsi="Times New Roman" w:cs="Times New Roman"/>
          <w:b/>
        </w:rPr>
        <w:t>Decision BC-13/2:</w:t>
      </w:r>
      <w:r w:rsidRPr="00E56FE2">
        <w:rPr>
          <w:rFonts w:ascii="Times New Roman" w:eastAsia="Calibri" w:hAnsi="Times New Roman" w:cs="Times New Roman"/>
        </w:rPr>
        <w:t xml:space="preserve"> Mandate for the review of Annex IV and the related aspects of Annex IX </w:t>
      </w:r>
    </w:p>
    <w:p w:rsidR="00E56FE2" w:rsidRPr="00E56FE2" w:rsidRDefault="00E56FE2" w:rsidP="00E56FE2">
      <w:pPr>
        <w:spacing w:before="60" w:after="120" w:line="240" w:lineRule="auto"/>
        <w:ind w:left="-709"/>
        <w:rPr>
          <w:rFonts w:ascii="Times New Roman" w:eastAsia="Calibri" w:hAnsi="Times New Roman" w:cs="Times New Roman"/>
        </w:rPr>
      </w:pPr>
      <w:r w:rsidRPr="00E56FE2">
        <w:rPr>
          <w:rFonts w:ascii="Times New Roman" w:eastAsia="Calibri" w:hAnsi="Times New Roman" w:cs="Times New Roman"/>
        </w:rPr>
        <w:t>(iii)</w:t>
      </w:r>
      <w:r w:rsidRPr="00E56FE2">
        <w:rPr>
          <w:rFonts w:ascii="Times New Roman" w:eastAsia="Calibri" w:hAnsi="Times New Roman" w:cs="Times New Roman"/>
          <w:b/>
        </w:rPr>
        <w:t xml:space="preserve"> </w:t>
      </w:r>
      <w:r w:rsidRPr="00E56FE2">
        <w:rPr>
          <w:rFonts w:ascii="Times New Roman" w:eastAsia="Calibri" w:hAnsi="Times New Roman" w:cs="Times New Roman"/>
          <w:b/>
        </w:rPr>
        <w:tab/>
      </w:r>
      <w:r w:rsidRPr="00E56FE2">
        <w:rPr>
          <w:rFonts w:ascii="Times New Roman" w:eastAsia="Calibri" w:hAnsi="Times New Roman" w:cs="Times New Roman"/>
        </w:rPr>
        <w:t>C</w:t>
      </w:r>
      <w:r w:rsidRPr="00E56FE2">
        <w:rPr>
          <w:rFonts w:ascii="Times New Roman" w:eastAsia="Calibri" w:hAnsi="Times New Roman" w:cs="Times New Roman"/>
          <w:bCs/>
        </w:rPr>
        <w:t>larify the descriptions in Annex IV and in Annex IX (B1110) to address conflicts or overlaps.</w:t>
      </w:r>
    </w:p>
    <w:p w:rsidR="004A3FE5" w:rsidRPr="00E56FE2" w:rsidRDefault="004A3FE5" w:rsidP="004A3FE5">
      <w:pPr>
        <w:spacing w:after="0" w:line="240" w:lineRule="auto"/>
        <w:ind w:left="-709"/>
        <w:rPr>
          <w:rFonts w:ascii="Times New Roman" w:eastAsia="Calibri" w:hAnsi="Times New Roman" w:cs="Times New Roman"/>
          <w:b/>
        </w:rPr>
      </w:pPr>
    </w:p>
    <w:p w:rsidR="0072648B" w:rsidRPr="00E56FE2" w:rsidRDefault="00EC4F31" w:rsidP="00EC4F31">
      <w:pPr>
        <w:ind w:left="-709"/>
        <w:rPr>
          <w:rFonts w:ascii="Times New Roman" w:eastAsia="Calibri" w:hAnsi="Times New Roman" w:cs="Times New Roman"/>
        </w:rPr>
      </w:pPr>
      <w:r w:rsidRPr="00E56FE2">
        <w:rPr>
          <w:rFonts w:ascii="Times New Roman" w:hAnsi="Times New Roman" w:cs="Times New Roman"/>
          <w:b/>
          <w:bCs/>
        </w:rPr>
        <w:t>How to use this document:</w:t>
      </w:r>
      <w:r w:rsidRPr="00E56FE2">
        <w:rPr>
          <w:rFonts w:ascii="Times New Roman" w:hAnsi="Times New Roman" w:cs="Times New Roman"/>
        </w:rPr>
        <w:t xml:space="preserve"> Please complete the table with your comments, including ‘problem statement’, ‘proposed change’ and ‘rationale’. Leave blank if no</w:t>
      </w:r>
      <w:r w:rsidRPr="00E56FE2">
        <w:rPr>
          <w:rFonts w:ascii="Times New Roman" w:eastAsia="Calibri" w:hAnsi="Times New Roman" w:cs="Times New Roman"/>
        </w:rPr>
        <w:t xml:space="preserve"> change is required. </w:t>
      </w:r>
      <w:r w:rsidRPr="00E56FE2">
        <w:rPr>
          <w:rFonts w:ascii="Times New Roman" w:hAnsi="Times New Roman" w:cs="Times New Roman"/>
          <w:b/>
          <w:bCs/>
          <w:color w:val="000000"/>
          <w:u w:val="single"/>
        </w:rPr>
        <w:t>Bold</w:t>
      </w:r>
      <w:r w:rsidRPr="00E56FE2">
        <w:rPr>
          <w:rFonts w:ascii="Times New Roman" w:hAnsi="Times New Roman" w:cs="Times New Roman"/>
          <w:color w:val="000000"/>
          <w:u w:val="single"/>
        </w:rPr>
        <w:t xml:space="preserve"> </w:t>
      </w:r>
      <w:r w:rsidRPr="00E56FE2">
        <w:rPr>
          <w:rFonts w:ascii="Times New Roman" w:hAnsi="Times New Roman" w:cs="Times New Roman"/>
          <w:b/>
          <w:bCs/>
          <w:color w:val="000000"/>
          <w:u w:val="single"/>
        </w:rPr>
        <w:t>and</w:t>
      </w:r>
      <w:r w:rsidRPr="00E56FE2">
        <w:rPr>
          <w:rFonts w:ascii="Times New Roman" w:hAnsi="Times New Roman" w:cs="Times New Roman"/>
          <w:color w:val="000000"/>
          <w:u w:val="single"/>
        </w:rPr>
        <w:t xml:space="preserve"> </w:t>
      </w:r>
      <w:r w:rsidRPr="00E56FE2">
        <w:rPr>
          <w:rFonts w:ascii="Times New Roman" w:hAnsi="Times New Roman" w:cs="Times New Roman"/>
          <w:b/>
          <w:bCs/>
          <w:color w:val="000000"/>
          <w:u w:val="single"/>
        </w:rPr>
        <w:t>underline</w:t>
      </w:r>
      <w:r w:rsidRPr="00E56FE2">
        <w:rPr>
          <w:rFonts w:ascii="Times New Roman" w:hAnsi="Times New Roman" w:cs="Times New Roman"/>
          <w:bCs/>
          <w:color w:val="000000"/>
        </w:rPr>
        <w:t xml:space="preserve"> </w:t>
      </w:r>
      <w:r w:rsidRPr="00E56FE2">
        <w:rPr>
          <w:rFonts w:ascii="Times New Roman" w:hAnsi="Times New Roman" w:cs="Times New Roman"/>
          <w:color w:val="000000"/>
        </w:rPr>
        <w:t>for additions and</w:t>
      </w:r>
      <w:r w:rsidRPr="00E56FE2">
        <w:rPr>
          <w:rFonts w:ascii="Times New Roman" w:eastAsia="Calibri" w:hAnsi="Times New Roman" w:cs="Times New Roman"/>
        </w:rPr>
        <w:t xml:space="preserve"> s</w:t>
      </w:r>
      <w:r w:rsidRPr="00E56FE2">
        <w:rPr>
          <w:rFonts w:ascii="Times New Roman" w:hAnsi="Times New Roman" w:cs="Times New Roman"/>
          <w:color w:val="000000"/>
        </w:rPr>
        <w:t xml:space="preserve">trikethrough (e.g., </w:t>
      </w:r>
      <w:r w:rsidRPr="00E56FE2">
        <w:rPr>
          <w:rFonts w:ascii="Times New Roman" w:hAnsi="Times New Roman" w:cs="Times New Roman"/>
          <w:strike/>
          <w:color w:val="000000"/>
        </w:rPr>
        <w:t>strikethrough</w:t>
      </w:r>
      <w:r w:rsidRPr="00E56FE2">
        <w:rPr>
          <w:rFonts w:ascii="Times New Roman" w:hAnsi="Times New Roman" w:cs="Times New Roman"/>
          <w:color w:val="000000"/>
        </w:rPr>
        <w:t>) for deletion of text.</w:t>
      </w:r>
    </w:p>
    <w:p w:rsidR="0072648B" w:rsidRPr="00A35FB9" w:rsidRDefault="0072648B" w:rsidP="0072648B">
      <w:pPr>
        <w:spacing w:after="0" w:line="240" w:lineRule="auto"/>
        <w:ind w:left="-709"/>
        <w:rPr>
          <w:rFonts w:ascii="Times New Roman" w:hAnsi="Times New Roman" w:cs="Times New Roman"/>
          <w:b/>
          <w:bCs/>
          <w:color w:val="002060"/>
          <w:sz w:val="26"/>
          <w:szCs w:val="26"/>
        </w:rPr>
      </w:pPr>
      <w:r w:rsidRPr="00A35FB9">
        <w:rPr>
          <w:rFonts w:ascii="Times New Roman" w:hAnsi="Times New Roman" w:cs="Times New Roman"/>
          <w:b/>
          <w:bCs/>
          <w:color w:val="002060"/>
          <w:sz w:val="26"/>
          <w:szCs w:val="26"/>
        </w:rPr>
        <w:t>Submitting member/observer:</w:t>
      </w:r>
      <w:r w:rsidR="00914270">
        <w:rPr>
          <w:rFonts w:ascii="Times New Roman" w:hAnsi="Times New Roman" w:cs="Times New Roman"/>
          <w:b/>
          <w:bCs/>
          <w:color w:val="002060"/>
          <w:sz w:val="26"/>
          <w:szCs w:val="26"/>
        </w:rPr>
        <w:t xml:space="preserve"> Owen Cox</w:t>
      </w:r>
    </w:p>
    <w:tbl>
      <w:tblPr>
        <w:tblStyle w:val="TableGrid2"/>
        <w:tblW w:w="15026" w:type="dxa"/>
        <w:tblInd w:w="-601" w:type="dxa"/>
        <w:tblLayout w:type="fixed"/>
        <w:tblLook w:val="04A0" w:firstRow="1" w:lastRow="0" w:firstColumn="1" w:lastColumn="0" w:noHBand="0" w:noVBand="1"/>
      </w:tblPr>
      <w:tblGrid>
        <w:gridCol w:w="4537"/>
        <w:gridCol w:w="2409"/>
        <w:gridCol w:w="2694"/>
        <w:gridCol w:w="2835"/>
        <w:gridCol w:w="2551"/>
      </w:tblGrid>
      <w:tr w:rsidR="00EC4F31" w:rsidRPr="006F6ED4" w:rsidTr="00663AAB">
        <w:trPr>
          <w:trHeight w:val="264"/>
        </w:trPr>
        <w:tc>
          <w:tcPr>
            <w:tcW w:w="4537" w:type="dxa"/>
            <w:tcBorders>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A</w:t>
            </w:r>
          </w:p>
        </w:tc>
        <w:tc>
          <w:tcPr>
            <w:tcW w:w="2409" w:type="dxa"/>
            <w:tcBorders>
              <w:left w:val="nil"/>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B</w:t>
            </w:r>
          </w:p>
        </w:tc>
        <w:tc>
          <w:tcPr>
            <w:tcW w:w="2694" w:type="dxa"/>
            <w:tcBorders>
              <w:left w:val="nil"/>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C</w:t>
            </w:r>
          </w:p>
        </w:tc>
        <w:tc>
          <w:tcPr>
            <w:tcW w:w="2835" w:type="dxa"/>
            <w:tcBorders>
              <w:left w:val="nil"/>
              <w:bottom w:val="single" w:sz="4" w:space="0" w:color="000000"/>
              <w:right w:val="nil"/>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D</w:t>
            </w:r>
          </w:p>
        </w:tc>
        <w:tc>
          <w:tcPr>
            <w:tcW w:w="2551" w:type="dxa"/>
            <w:tcBorders>
              <w:left w:val="nil"/>
              <w:bottom w:val="single" w:sz="4" w:space="0" w:color="000000"/>
            </w:tcBorders>
            <w:shd w:val="clear" w:color="auto" w:fill="D6E3BC" w:themeFill="accent3" w:themeFillTint="66"/>
          </w:tcPr>
          <w:p w:rsidR="00EC4F31" w:rsidRPr="006F6ED4" w:rsidRDefault="00EC4F31" w:rsidP="00EC4F31">
            <w:pPr>
              <w:tabs>
                <w:tab w:val="center" w:pos="7405"/>
                <w:tab w:val="left" w:pos="9762"/>
              </w:tabs>
              <w:autoSpaceDE w:val="0"/>
              <w:autoSpaceDN w:val="0"/>
              <w:adjustRightInd w:val="0"/>
              <w:jc w:val="center"/>
              <w:rPr>
                <w:b/>
                <w:bCs/>
                <w:sz w:val="24"/>
                <w:szCs w:val="24"/>
              </w:rPr>
            </w:pPr>
            <w:r>
              <w:rPr>
                <w:b/>
                <w:bCs/>
                <w:sz w:val="24"/>
                <w:szCs w:val="24"/>
              </w:rPr>
              <w:t>E</w:t>
            </w:r>
          </w:p>
        </w:tc>
      </w:tr>
      <w:tr w:rsidR="0072648B" w:rsidRPr="006F6ED4" w:rsidTr="00663AAB">
        <w:tc>
          <w:tcPr>
            <w:tcW w:w="4537" w:type="dxa"/>
            <w:tcBorders>
              <w:top w:val="single" w:sz="4" w:space="0" w:color="000000"/>
            </w:tcBorders>
          </w:tcPr>
          <w:p w:rsidR="00B22DFA" w:rsidRPr="00DA7741" w:rsidRDefault="00B22DFA" w:rsidP="001E5527">
            <w:pPr>
              <w:autoSpaceDE w:val="0"/>
              <w:autoSpaceDN w:val="0"/>
              <w:adjustRightInd w:val="0"/>
              <w:rPr>
                <w:b/>
                <w:sz w:val="24"/>
                <w:szCs w:val="22"/>
              </w:rPr>
            </w:pPr>
            <w:r w:rsidRPr="00DA7741">
              <w:rPr>
                <w:b/>
                <w:sz w:val="24"/>
                <w:szCs w:val="22"/>
              </w:rPr>
              <w:t xml:space="preserve">B1110 </w:t>
            </w:r>
          </w:p>
          <w:p w:rsidR="0072648B" w:rsidRPr="00E20690" w:rsidRDefault="00B22DFA" w:rsidP="001E5527">
            <w:pPr>
              <w:autoSpaceDE w:val="0"/>
              <w:autoSpaceDN w:val="0"/>
              <w:adjustRightInd w:val="0"/>
              <w:rPr>
                <w:sz w:val="22"/>
                <w:szCs w:val="22"/>
              </w:rPr>
            </w:pPr>
            <w:r w:rsidRPr="00DA7741">
              <w:rPr>
                <w:b/>
                <w:sz w:val="24"/>
                <w:szCs w:val="22"/>
              </w:rPr>
              <w:t>Electrical and electronic assemblies:</w:t>
            </w:r>
          </w:p>
        </w:tc>
        <w:tc>
          <w:tcPr>
            <w:tcW w:w="2409" w:type="dxa"/>
            <w:tcBorders>
              <w:top w:val="single" w:sz="4" w:space="0" w:color="000000"/>
            </w:tcBorders>
          </w:tcPr>
          <w:p w:rsidR="0072648B" w:rsidRPr="006F6ED4" w:rsidRDefault="0072648B" w:rsidP="001E5527">
            <w:pPr>
              <w:autoSpaceDE w:val="0"/>
              <w:autoSpaceDN w:val="0"/>
              <w:adjustRightInd w:val="0"/>
              <w:jc w:val="center"/>
              <w:rPr>
                <w:b/>
                <w:bCs/>
                <w:sz w:val="24"/>
                <w:szCs w:val="24"/>
              </w:rPr>
            </w:pPr>
            <w:r w:rsidRPr="006F6ED4">
              <w:rPr>
                <w:b/>
                <w:bCs/>
                <w:sz w:val="24"/>
                <w:szCs w:val="24"/>
              </w:rPr>
              <w:t>Problem statement</w:t>
            </w:r>
          </w:p>
        </w:tc>
        <w:tc>
          <w:tcPr>
            <w:tcW w:w="2694" w:type="dxa"/>
            <w:tcBorders>
              <w:top w:val="single" w:sz="4" w:space="0" w:color="000000"/>
            </w:tcBorders>
          </w:tcPr>
          <w:p w:rsidR="0072648B" w:rsidRPr="006F6ED4" w:rsidRDefault="0072648B" w:rsidP="001E5527">
            <w:pPr>
              <w:autoSpaceDE w:val="0"/>
              <w:autoSpaceDN w:val="0"/>
              <w:adjustRightInd w:val="0"/>
              <w:jc w:val="center"/>
              <w:rPr>
                <w:b/>
                <w:bCs/>
                <w:sz w:val="24"/>
                <w:szCs w:val="24"/>
              </w:rPr>
            </w:pPr>
            <w:r w:rsidRPr="006F6ED4">
              <w:rPr>
                <w:b/>
                <w:bCs/>
                <w:sz w:val="24"/>
                <w:szCs w:val="24"/>
              </w:rPr>
              <w:t>Proposed change</w:t>
            </w:r>
          </w:p>
        </w:tc>
        <w:tc>
          <w:tcPr>
            <w:tcW w:w="2835" w:type="dxa"/>
            <w:tcBorders>
              <w:top w:val="single" w:sz="4" w:space="0" w:color="000000"/>
            </w:tcBorders>
          </w:tcPr>
          <w:p w:rsidR="0072648B" w:rsidRPr="006F6ED4" w:rsidRDefault="0072648B" w:rsidP="001E5527">
            <w:pPr>
              <w:autoSpaceDE w:val="0"/>
              <w:autoSpaceDN w:val="0"/>
              <w:adjustRightInd w:val="0"/>
              <w:jc w:val="center"/>
              <w:rPr>
                <w:b/>
                <w:bCs/>
                <w:sz w:val="24"/>
                <w:szCs w:val="24"/>
              </w:rPr>
            </w:pPr>
            <w:r w:rsidRPr="006F6ED4">
              <w:rPr>
                <w:b/>
                <w:bCs/>
                <w:sz w:val="24"/>
                <w:szCs w:val="24"/>
              </w:rPr>
              <w:t>Rationale</w:t>
            </w:r>
          </w:p>
        </w:tc>
        <w:tc>
          <w:tcPr>
            <w:tcW w:w="2551" w:type="dxa"/>
            <w:tcBorders>
              <w:top w:val="single" w:sz="4" w:space="0" w:color="000000"/>
            </w:tcBorders>
          </w:tcPr>
          <w:p w:rsidR="0072648B" w:rsidRPr="006F6ED4" w:rsidRDefault="004A3FE5" w:rsidP="001E5527">
            <w:pPr>
              <w:autoSpaceDE w:val="0"/>
              <w:autoSpaceDN w:val="0"/>
              <w:adjustRightInd w:val="0"/>
              <w:jc w:val="center"/>
              <w:rPr>
                <w:b/>
                <w:bCs/>
                <w:sz w:val="24"/>
                <w:szCs w:val="24"/>
              </w:rPr>
            </w:pPr>
            <w:r w:rsidRPr="004A3FE5">
              <w:rPr>
                <w:b/>
                <w:bCs/>
                <w:sz w:val="24"/>
                <w:szCs w:val="22"/>
              </w:rPr>
              <w:t>General comments</w:t>
            </w:r>
          </w:p>
        </w:tc>
      </w:tr>
      <w:tr w:rsidR="00E20690" w:rsidRPr="006F6ED4" w:rsidTr="00E53C71">
        <w:trPr>
          <w:trHeight w:val="729"/>
        </w:trPr>
        <w:tc>
          <w:tcPr>
            <w:tcW w:w="4537" w:type="dxa"/>
          </w:tcPr>
          <w:p w:rsidR="00E20690" w:rsidRPr="00E20690" w:rsidRDefault="00E20690" w:rsidP="001E5527">
            <w:pPr>
              <w:autoSpaceDE w:val="0"/>
              <w:autoSpaceDN w:val="0"/>
              <w:adjustRightInd w:val="0"/>
              <w:rPr>
                <w:sz w:val="22"/>
                <w:szCs w:val="22"/>
              </w:rPr>
            </w:pPr>
            <w:r w:rsidRPr="00E20690">
              <w:rPr>
                <w:sz w:val="22"/>
                <w:szCs w:val="22"/>
              </w:rPr>
              <w:t>Electronic assemblies consisting only of metals or alloys</w:t>
            </w:r>
          </w:p>
        </w:tc>
        <w:tc>
          <w:tcPr>
            <w:tcW w:w="2409" w:type="dxa"/>
          </w:tcPr>
          <w:p w:rsidR="00E20690" w:rsidRPr="006F6ED4" w:rsidRDefault="00E20690" w:rsidP="001E5527">
            <w:pPr>
              <w:rPr>
                <w:rFonts w:eastAsia="Times New Roman"/>
                <w:sz w:val="22"/>
                <w:szCs w:val="22"/>
              </w:rPr>
            </w:pPr>
          </w:p>
        </w:tc>
        <w:tc>
          <w:tcPr>
            <w:tcW w:w="2694" w:type="dxa"/>
          </w:tcPr>
          <w:p w:rsidR="00E20690" w:rsidRPr="006F6ED4" w:rsidRDefault="00E20690" w:rsidP="001E5527">
            <w:pPr>
              <w:rPr>
                <w:rFonts w:eastAsia="Times New Roman"/>
                <w:sz w:val="22"/>
                <w:szCs w:val="22"/>
              </w:rPr>
            </w:pPr>
          </w:p>
        </w:tc>
        <w:tc>
          <w:tcPr>
            <w:tcW w:w="2835" w:type="dxa"/>
          </w:tcPr>
          <w:p w:rsidR="00E20690" w:rsidRPr="006F6ED4" w:rsidRDefault="00E20690" w:rsidP="001E5527"/>
        </w:tc>
        <w:tc>
          <w:tcPr>
            <w:tcW w:w="2551" w:type="dxa"/>
          </w:tcPr>
          <w:p w:rsidR="00E20690" w:rsidRPr="006F6ED4" w:rsidRDefault="00E20690" w:rsidP="001E5527"/>
        </w:tc>
      </w:tr>
      <w:tr w:rsidR="00E20690" w:rsidRPr="006F6ED4" w:rsidTr="000474B6">
        <w:trPr>
          <w:trHeight w:val="3373"/>
        </w:trPr>
        <w:tc>
          <w:tcPr>
            <w:tcW w:w="4537" w:type="dxa"/>
          </w:tcPr>
          <w:p w:rsidR="00E20690" w:rsidRPr="00E20690" w:rsidRDefault="00E20690" w:rsidP="001E5527">
            <w:pPr>
              <w:autoSpaceDE w:val="0"/>
              <w:autoSpaceDN w:val="0"/>
              <w:adjustRightInd w:val="0"/>
              <w:rPr>
                <w:sz w:val="22"/>
                <w:szCs w:val="22"/>
              </w:rPr>
            </w:pPr>
            <w:r w:rsidRPr="00E20690">
              <w:rPr>
                <w:sz w:val="22"/>
                <w:szCs w:val="22"/>
              </w:rPr>
              <w:t>Waste electrical and electronic assemblies or scrap</w:t>
            </w:r>
            <w:r w:rsidRPr="00E20690">
              <w:rPr>
                <w:sz w:val="22"/>
                <w:szCs w:val="22"/>
                <w:vertAlign w:val="superscript"/>
              </w:rPr>
              <w:t>19</w:t>
            </w:r>
            <w:r w:rsidRPr="00E20690">
              <w:rPr>
                <w:sz w:val="22"/>
                <w:szCs w:val="22"/>
              </w:rPr>
              <w:t xml:space="preserve"> (including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tc>
        <w:tc>
          <w:tcPr>
            <w:tcW w:w="2409" w:type="dxa"/>
          </w:tcPr>
          <w:p w:rsidR="00E20690" w:rsidRPr="006F6ED4" w:rsidRDefault="00E20690" w:rsidP="001E5527">
            <w:pPr>
              <w:rPr>
                <w:rFonts w:eastAsia="Times New Roman"/>
                <w:sz w:val="22"/>
                <w:szCs w:val="22"/>
              </w:rPr>
            </w:pPr>
          </w:p>
        </w:tc>
        <w:tc>
          <w:tcPr>
            <w:tcW w:w="2694" w:type="dxa"/>
          </w:tcPr>
          <w:p w:rsidR="00E20690" w:rsidRPr="006F6ED4" w:rsidRDefault="00E20690" w:rsidP="001E5527">
            <w:pPr>
              <w:rPr>
                <w:rFonts w:eastAsia="Times New Roman"/>
                <w:sz w:val="22"/>
                <w:szCs w:val="22"/>
              </w:rPr>
            </w:pPr>
          </w:p>
        </w:tc>
        <w:tc>
          <w:tcPr>
            <w:tcW w:w="2835" w:type="dxa"/>
          </w:tcPr>
          <w:p w:rsidR="00E20690" w:rsidRPr="006F6ED4" w:rsidRDefault="00E20690" w:rsidP="001E5527">
            <w:pPr>
              <w:autoSpaceDE w:val="0"/>
              <w:autoSpaceDN w:val="0"/>
              <w:adjustRightInd w:val="0"/>
              <w:rPr>
                <w:b/>
                <w:bCs/>
                <w:sz w:val="28"/>
                <w:szCs w:val="28"/>
              </w:rPr>
            </w:pPr>
          </w:p>
        </w:tc>
        <w:tc>
          <w:tcPr>
            <w:tcW w:w="2551" w:type="dxa"/>
          </w:tcPr>
          <w:p w:rsidR="00E20690" w:rsidRPr="006F6ED4" w:rsidRDefault="008315E3" w:rsidP="008315E3">
            <w:pPr>
              <w:autoSpaceDE w:val="0"/>
              <w:autoSpaceDN w:val="0"/>
              <w:adjustRightInd w:val="0"/>
              <w:rPr>
                <w:b/>
                <w:bCs/>
                <w:sz w:val="28"/>
                <w:szCs w:val="28"/>
              </w:rPr>
            </w:pPr>
            <w:r w:rsidRPr="008315E3">
              <w:rPr>
                <w:sz w:val="22"/>
                <w:szCs w:val="22"/>
              </w:rPr>
              <w:t>This doesn’t provide much guidance that isn’t already in the description for A1180. The difficulty with e-waste is determining whether the levels of Annex 1 constituents (lead, cadmium, beryllium, organohalogen compounds) are</w:t>
            </w:r>
            <w:r>
              <w:rPr>
                <w:b/>
                <w:bCs/>
                <w:sz w:val="28"/>
                <w:szCs w:val="28"/>
              </w:rPr>
              <w:t xml:space="preserve"> </w:t>
            </w:r>
            <w:r w:rsidRPr="008315E3">
              <w:rPr>
                <w:sz w:val="22"/>
                <w:szCs w:val="22"/>
              </w:rPr>
              <w:t>sufficient to be hazardous.</w:t>
            </w:r>
            <w:r>
              <w:rPr>
                <w:b/>
                <w:bCs/>
                <w:sz w:val="28"/>
                <w:szCs w:val="28"/>
              </w:rPr>
              <w:t xml:space="preserve">  </w:t>
            </w:r>
          </w:p>
        </w:tc>
      </w:tr>
      <w:tr w:rsidR="00E20690" w:rsidRPr="006F6ED4" w:rsidTr="00663AAB">
        <w:tc>
          <w:tcPr>
            <w:tcW w:w="4537" w:type="dxa"/>
            <w:tcBorders>
              <w:bottom w:val="single" w:sz="4" w:space="0" w:color="000000"/>
            </w:tcBorders>
          </w:tcPr>
          <w:p w:rsidR="00E20690" w:rsidRPr="00E20690" w:rsidRDefault="00E20690" w:rsidP="001E5527">
            <w:pPr>
              <w:autoSpaceDE w:val="0"/>
              <w:autoSpaceDN w:val="0"/>
              <w:adjustRightInd w:val="0"/>
              <w:rPr>
                <w:sz w:val="22"/>
                <w:szCs w:val="22"/>
                <w:vertAlign w:val="superscript"/>
              </w:rPr>
            </w:pPr>
            <w:r w:rsidRPr="00E20690">
              <w:rPr>
                <w:sz w:val="22"/>
                <w:szCs w:val="22"/>
              </w:rPr>
              <w:t>Electrical and electronic assemblies (including printed circuit boards, electronic components and wires) destined for direct reuse,</w:t>
            </w:r>
            <w:r w:rsidRPr="00E20690">
              <w:rPr>
                <w:sz w:val="22"/>
                <w:szCs w:val="22"/>
                <w:vertAlign w:val="superscript"/>
              </w:rPr>
              <w:t>20</w:t>
            </w:r>
            <w:r w:rsidRPr="00E20690">
              <w:rPr>
                <w:sz w:val="22"/>
                <w:szCs w:val="22"/>
              </w:rPr>
              <w:t xml:space="preserve"> and not for recycling or final disposal</w:t>
            </w:r>
            <w:r w:rsidRPr="00E20690">
              <w:rPr>
                <w:sz w:val="22"/>
                <w:szCs w:val="22"/>
                <w:vertAlign w:val="superscript"/>
              </w:rPr>
              <w:t>21</w:t>
            </w:r>
          </w:p>
        </w:tc>
        <w:tc>
          <w:tcPr>
            <w:tcW w:w="2409" w:type="dxa"/>
            <w:tcBorders>
              <w:bottom w:val="single" w:sz="4" w:space="0" w:color="000000"/>
            </w:tcBorders>
          </w:tcPr>
          <w:p w:rsidR="00E20690" w:rsidRPr="006F6ED4" w:rsidRDefault="00EE6201" w:rsidP="001E5527">
            <w:pPr>
              <w:rPr>
                <w:rFonts w:eastAsia="Times New Roman"/>
                <w:sz w:val="22"/>
                <w:szCs w:val="22"/>
              </w:rPr>
            </w:pPr>
            <w:r>
              <w:rPr>
                <w:rFonts w:eastAsia="Times New Roman"/>
                <w:sz w:val="22"/>
                <w:szCs w:val="22"/>
              </w:rPr>
              <w:t xml:space="preserve">Footnote 20 provides some confusion. </w:t>
            </w:r>
          </w:p>
        </w:tc>
        <w:tc>
          <w:tcPr>
            <w:tcW w:w="2694" w:type="dxa"/>
            <w:tcBorders>
              <w:bottom w:val="single" w:sz="4" w:space="0" w:color="000000"/>
            </w:tcBorders>
          </w:tcPr>
          <w:p w:rsidR="00E20690" w:rsidRPr="006F6ED4" w:rsidRDefault="00E20690" w:rsidP="001E5527">
            <w:pPr>
              <w:rPr>
                <w:rFonts w:eastAsia="Times New Roman"/>
                <w:sz w:val="22"/>
                <w:szCs w:val="22"/>
              </w:rPr>
            </w:pPr>
          </w:p>
        </w:tc>
        <w:tc>
          <w:tcPr>
            <w:tcW w:w="2835" w:type="dxa"/>
            <w:tcBorders>
              <w:bottom w:val="single" w:sz="4" w:space="0" w:color="000000"/>
            </w:tcBorders>
          </w:tcPr>
          <w:p w:rsidR="00E20690" w:rsidRPr="006F6ED4" w:rsidRDefault="00E20690" w:rsidP="001E5527">
            <w:pPr>
              <w:autoSpaceDE w:val="0"/>
              <w:autoSpaceDN w:val="0"/>
              <w:adjustRightInd w:val="0"/>
              <w:rPr>
                <w:b/>
                <w:bCs/>
                <w:sz w:val="28"/>
                <w:szCs w:val="28"/>
              </w:rPr>
            </w:pPr>
          </w:p>
        </w:tc>
        <w:tc>
          <w:tcPr>
            <w:tcW w:w="2551" w:type="dxa"/>
            <w:tcBorders>
              <w:bottom w:val="single" w:sz="4" w:space="0" w:color="000000"/>
            </w:tcBorders>
          </w:tcPr>
          <w:p w:rsidR="00E20690" w:rsidRPr="006F6ED4" w:rsidRDefault="00EE6201" w:rsidP="001E5527">
            <w:pPr>
              <w:autoSpaceDE w:val="0"/>
              <w:autoSpaceDN w:val="0"/>
              <w:adjustRightInd w:val="0"/>
              <w:rPr>
                <w:b/>
                <w:bCs/>
                <w:sz w:val="28"/>
                <w:szCs w:val="28"/>
              </w:rPr>
            </w:pPr>
            <w:r w:rsidRPr="00EE6201">
              <w:rPr>
                <w:sz w:val="22"/>
                <w:szCs w:val="22"/>
              </w:rPr>
              <w:t>This does provide some help in that direct reuse is a B code and not subject to PIC</w:t>
            </w:r>
          </w:p>
        </w:tc>
      </w:tr>
    </w:tbl>
    <w:tbl>
      <w:tblPr>
        <w:tblStyle w:val="TableGrid4"/>
        <w:tblW w:w="15026" w:type="dxa"/>
        <w:tblInd w:w="-601" w:type="dxa"/>
        <w:tblLayout w:type="fixed"/>
        <w:tblLook w:val="04A0" w:firstRow="1" w:lastRow="0" w:firstColumn="1" w:lastColumn="0" w:noHBand="0" w:noVBand="1"/>
      </w:tblPr>
      <w:tblGrid>
        <w:gridCol w:w="15026"/>
      </w:tblGrid>
      <w:tr w:rsidR="001D4370" w:rsidRPr="00916623" w:rsidTr="00663AAB">
        <w:tc>
          <w:tcPr>
            <w:tcW w:w="15026" w:type="dxa"/>
            <w:shd w:val="clear" w:color="auto" w:fill="D6E3BC" w:themeFill="accent3" w:themeFillTint="66"/>
          </w:tcPr>
          <w:p w:rsidR="001D4370" w:rsidRPr="00916623" w:rsidRDefault="001D4370" w:rsidP="0020706E">
            <w:pPr>
              <w:rPr>
                <w:b/>
                <w:sz w:val="22"/>
                <w:szCs w:val="22"/>
              </w:rPr>
            </w:pPr>
            <w:r w:rsidRPr="007459EA">
              <w:rPr>
                <w:b/>
                <w:sz w:val="24"/>
                <w:szCs w:val="22"/>
              </w:rPr>
              <w:t>General comments</w:t>
            </w:r>
          </w:p>
        </w:tc>
      </w:tr>
      <w:tr w:rsidR="001D4370" w:rsidRPr="006F6ED4" w:rsidTr="0020706E">
        <w:tc>
          <w:tcPr>
            <w:tcW w:w="15026" w:type="dxa"/>
          </w:tcPr>
          <w:p w:rsidR="001D4370" w:rsidRPr="00C51B89" w:rsidRDefault="008315E3" w:rsidP="0020706E">
            <w:pPr>
              <w:rPr>
                <w:sz w:val="22"/>
                <w:szCs w:val="22"/>
              </w:rPr>
            </w:pPr>
            <w:r w:rsidRPr="00C51B89">
              <w:rPr>
                <w:sz w:val="22"/>
                <w:szCs w:val="22"/>
              </w:rPr>
              <w:t xml:space="preserve">The guidance in the e-waste guideline points to </w:t>
            </w:r>
            <w:r w:rsidR="00C51B89" w:rsidRPr="00C51B89">
              <w:rPr>
                <w:sz w:val="22"/>
                <w:szCs w:val="22"/>
              </w:rPr>
              <w:t>–e-waste being considered hazardous unless it can be shown to be non-hazardous:</w:t>
            </w:r>
          </w:p>
          <w:p w:rsidR="00C51B89" w:rsidRDefault="00C51B89" w:rsidP="00C51B89">
            <w:pPr>
              <w:ind w:left="720"/>
            </w:pPr>
            <w:r>
              <w:t>“</w:t>
            </w:r>
            <w:r w:rsidRPr="00C02A8B">
              <w:t xml:space="preserve">E-waste should therefore be presumed to be hazardous waste unless it can be shown either that it does not exhibit hazardous characteristics or that it does not contain </w:t>
            </w:r>
            <w:r w:rsidRPr="00C02A8B">
              <w:lastRenderedPageBreak/>
              <w:t>hazardous components or substances, in particular</w:t>
            </w:r>
            <w:r>
              <w:t xml:space="preserve">….” (para 47 of </w:t>
            </w:r>
            <w:r w:rsidRPr="00EE6201">
              <w:rPr>
                <w:rFonts w:eastAsia="Times New Roman"/>
              </w:rPr>
              <w:t>UNEP/CHW.12/5/Add.1/Rev.1</w:t>
            </w:r>
            <w:r>
              <w:rPr>
                <w:rFonts w:eastAsia="Times New Roman"/>
              </w:rPr>
              <w:t>)</w:t>
            </w:r>
          </w:p>
          <w:p w:rsidR="00C51B89" w:rsidRPr="006F6ED4" w:rsidRDefault="00C51B89" w:rsidP="00C51B89">
            <w:pPr>
              <w:rPr>
                <w:i/>
                <w:sz w:val="22"/>
                <w:szCs w:val="22"/>
              </w:rPr>
            </w:pPr>
            <w:r>
              <w:t>The clearest way to establish this would seem to me to add a new Y code to Annex 1 which would define e-waste as a waste stream.</w:t>
            </w:r>
          </w:p>
        </w:tc>
      </w:tr>
      <w:tr w:rsidR="001D4370" w:rsidRPr="006F6ED4" w:rsidTr="0020706E">
        <w:tc>
          <w:tcPr>
            <w:tcW w:w="15026" w:type="dxa"/>
          </w:tcPr>
          <w:p w:rsidR="001D4370" w:rsidRPr="006F6ED4" w:rsidRDefault="001D4370" w:rsidP="0020706E">
            <w:pPr>
              <w:rPr>
                <w:i/>
                <w:sz w:val="22"/>
                <w:szCs w:val="22"/>
              </w:rPr>
            </w:pPr>
          </w:p>
        </w:tc>
      </w:tr>
    </w:tbl>
    <w:tbl>
      <w:tblPr>
        <w:tblStyle w:val="TableGrid2"/>
        <w:tblW w:w="15026" w:type="dxa"/>
        <w:tblInd w:w="-601" w:type="dxa"/>
        <w:tblLayout w:type="fixed"/>
        <w:tblLook w:val="04A0" w:firstRow="1" w:lastRow="0" w:firstColumn="1" w:lastColumn="0" w:noHBand="0" w:noVBand="1"/>
      </w:tblPr>
      <w:tblGrid>
        <w:gridCol w:w="851"/>
        <w:gridCol w:w="3402"/>
        <w:gridCol w:w="2693"/>
        <w:gridCol w:w="2694"/>
        <w:gridCol w:w="2835"/>
        <w:gridCol w:w="2551"/>
      </w:tblGrid>
      <w:tr w:rsidR="001D4370" w:rsidRPr="006F6ED4" w:rsidTr="00663AAB">
        <w:tc>
          <w:tcPr>
            <w:tcW w:w="4253" w:type="dxa"/>
            <w:gridSpan w:val="2"/>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A</w:t>
            </w:r>
          </w:p>
        </w:tc>
        <w:tc>
          <w:tcPr>
            <w:tcW w:w="2693"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B</w:t>
            </w:r>
          </w:p>
        </w:tc>
        <w:tc>
          <w:tcPr>
            <w:tcW w:w="2694"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C</w:t>
            </w:r>
          </w:p>
        </w:tc>
        <w:tc>
          <w:tcPr>
            <w:tcW w:w="2835"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D</w:t>
            </w:r>
          </w:p>
        </w:tc>
        <w:tc>
          <w:tcPr>
            <w:tcW w:w="2551" w:type="dxa"/>
            <w:shd w:val="clear" w:color="auto" w:fill="D6E3BC" w:themeFill="accent3" w:themeFillTint="66"/>
          </w:tcPr>
          <w:p w:rsidR="001D4370" w:rsidRPr="002B5F03" w:rsidRDefault="001D4370" w:rsidP="001E5527">
            <w:pPr>
              <w:autoSpaceDE w:val="0"/>
              <w:autoSpaceDN w:val="0"/>
              <w:adjustRightInd w:val="0"/>
              <w:jc w:val="center"/>
              <w:rPr>
                <w:b/>
                <w:bCs/>
                <w:sz w:val="24"/>
                <w:szCs w:val="24"/>
              </w:rPr>
            </w:pPr>
            <w:r w:rsidRPr="002B5F03">
              <w:rPr>
                <w:b/>
                <w:bCs/>
                <w:sz w:val="24"/>
                <w:szCs w:val="24"/>
              </w:rPr>
              <w:t>E</w:t>
            </w:r>
          </w:p>
        </w:tc>
      </w:tr>
      <w:tr w:rsidR="00E20690" w:rsidRPr="006F6ED4" w:rsidTr="00E53C71">
        <w:tc>
          <w:tcPr>
            <w:tcW w:w="4253" w:type="dxa"/>
            <w:gridSpan w:val="2"/>
          </w:tcPr>
          <w:p w:rsidR="00E20690" w:rsidRPr="002B5F03" w:rsidRDefault="00E20690" w:rsidP="001E5527">
            <w:pPr>
              <w:autoSpaceDE w:val="0"/>
              <w:autoSpaceDN w:val="0"/>
              <w:adjustRightInd w:val="0"/>
              <w:rPr>
                <w:b/>
                <w:sz w:val="24"/>
                <w:szCs w:val="24"/>
              </w:rPr>
            </w:pPr>
            <w:r w:rsidRPr="002B5F03">
              <w:rPr>
                <w:b/>
                <w:sz w:val="24"/>
                <w:szCs w:val="24"/>
              </w:rPr>
              <w:t>Footnotes</w:t>
            </w:r>
          </w:p>
        </w:tc>
        <w:tc>
          <w:tcPr>
            <w:tcW w:w="2693" w:type="dxa"/>
          </w:tcPr>
          <w:p w:rsidR="00E20690" w:rsidRPr="002B5F03" w:rsidRDefault="00E20690" w:rsidP="001E5527">
            <w:pPr>
              <w:autoSpaceDE w:val="0"/>
              <w:autoSpaceDN w:val="0"/>
              <w:adjustRightInd w:val="0"/>
              <w:jc w:val="center"/>
              <w:rPr>
                <w:b/>
                <w:bCs/>
                <w:sz w:val="24"/>
                <w:szCs w:val="24"/>
              </w:rPr>
            </w:pPr>
            <w:r w:rsidRPr="002B5F03">
              <w:rPr>
                <w:b/>
                <w:bCs/>
                <w:sz w:val="24"/>
                <w:szCs w:val="24"/>
              </w:rPr>
              <w:t>Problem statement</w:t>
            </w:r>
          </w:p>
        </w:tc>
        <w:tc>
          <w:tcPr>
            <w:tcW w:w="2694" w:type="dxa"/>
          </w:tcPr>
          <w:p w:rsidR="00E20690" w:rsidRPr="002B5F03" w:rsidRDefault="00E20690" w:rsidP="001E5527">
            <w:pPr>
              <w:autoSpaceDE w:val="0"/>
              <w:autoSpaceDN w:val="0"/>
              <w:adjustRightInd w:val="0"/>
              <w:jc w:val="center"/>
              <w:rPr>
                <w:b/>
                <w:bCs/>
                <w:sz w:val="24"/>
                <w:szCs w:val="24"/>
              </w:rPr>
            </w:pPr>
            <w:r w:rsidRPr="002B5F03">
              <w:rPr>
                <w:b/>
                <w:bCs/>
                <w:sz w:val="24"/>
                <w:szCs w:val="24"/>
              </w:rPr>
              <w:t>Proposed change</w:t>
            </w:r>
          </w:p>
        </w:tc>
        <w:tc>
          <w:tcPr>
            <w:tcW w:w="2835" w:type="dxa"/>
          </w:tcPr>
          <w:p w:rsidR="00E20690" w:rsidRPr="002B5F03" w:rsidRDefault="00E20690" w:rsidP="001E5527">
            <w:pPr>
              <w:autoSpaceDE w:val="0"/>
              <w:autoSpaceDN w:val="0"/>
              <w:adjustRightInd w:val="0"/>
              <w:jc w:val="center"/>
              <w:rPr>
                <w:b/>
                <w:bCs/>
                <w:sz w:val="24"/>
                <w:szCs w:val="24"/>
              </w:rPr>
            </w:pPr>
            <w:r w:rsidRPr="002B5F03">
              <w:rPr>
                <w:b/>
                <w:bCs/>
                <w:sz w:val="24"/>
                <w:szCs w:val="24"/>
              </w:rPr>
              <w:t>Rationale</w:t>
            </w:r>
          </w:p>
        </w:tc>
        <w:tc>
          <w:tcPr>
            <w:tcW w:w="2551" w:type="dxa"/>
          </w:tcPr>
          <w:p w:rsidR="00E20690" w:rsidRPr="002B5F03" w:rsidRDefault="004A3FE5" w:rsidP="001E5527">
            <w:pPr>
              <w:autoSpaceDE w:val="0"/>
              <w:autoSpaceDN w:val="0"/>
              <w:adjustRightInd w:val="0"/>
              <w:jc w:val="center"/>
              <w:rPr>
                <w:b/>
                <w:bCs/>
                <w:sz w:val="24"/>
                <w:szCs w:val="24"/>
              </w:rPr>
            </w:pPr>
            <w:r w:rsidRPr="002B5F03">
              <w:rPr>
                <w:b/>
                <w:bCs/>
                <w:sz w:val="24"/>
                <w:szCs w:val="24"/>
              </w:rPr>
              <w:t>General comments</w:t>
            </w:r>
          </w:p>
        </w:tc>
      </w:tr>
      <w:tr w:rsidR="00E20690" w:rsidRPr="006F6ED4" w:rsidTr="00E53C71">
        <w:tc>
          <w:tcPr>
            <w:tcW w:w="851" w:type="dxa"/>
          </w:tcPr>
          <w:p w:rsidR="00E20690" w:rsidRPr="00E20690" w:rsidRDefault="00E20690" w:rsidP="001E5527">
            <w:pPr>
              <w:autoSpaceDE w:val="0"/>
              <w:autoSpaceDN w:val="0"/>
              <w:adjustRightInd w:val="0"/>
              <w:rPr>
                <w:b/>
                <w:sz w:val="22"/>
                <w:szCs w:val="22"/>
              </w:rPr>
            </w:pPr>
            <w:r w:rsidRPr="00E20690">
              <w:rPr>
                <w:b/>
                <w:sz w:val="22"/>
                <w:szCs w:val="22"/>
              </w:rPr>
              <w:t>19</w:t>
            </w:r>
          </w:p>
        </w:tc>
        <w:tc>
          <w:tcPr>
            <w:tcW w:w="3402" w:type="dxa"/>
          </w:tcPr>
          <w:p w:rsidR="00E20690" w:rsidRPr="00E20690" w:rsidRDefault="00E20690" w:rsidP="001E5527">
            <w:pPr>
              <w:autoSpaceDE w:val="0"/>
              <w:autoSpaceDN w:val="0"/>
              <w:adjustRightInd w:val="0"/>
              <w:rPr>
                <w:sz w:val="22"/>
                <w:szCs w:val="22"/>
              </w:rPr>
            </w:pPr>
            <w:r w:rsidRPr="00E20690">
              <w:rPr>
                <w:sz w:val="22"/>
                <w:szCs w:val="22"/>
              </w:rPr>
              <w:t>This entry does not include scrap from electrical power generation.</w:t>
            </w:r>
          </w:p>
        </w:tc>
        <w:tc>
          <w:tcPr>
            <w:tcW w:w="2693" w:type="dxa"/>
          </w:tcPr>
          <w:p w:rsidR="00E20690" w:rsidRPr="006F6ED4" w:rsidRDefault="00E20690" w:rsidP="001E5527">
            <w:pPr>
              <w:rPr>
                <w:rFonts w:eastAsia="Times New Roman"/>
              </w:rPr>
            </w:pPr>
          </w:p>
        </w:tc>
        <w:tc>
          <w:tcPr>
            <w:tcW w:w="2694" w:type="dxa"/>
          </w:tcPr>
          <w:p w:rsidR="00E20690" w:rsidRPr="006F6ED4" w:rsidRDefault="00E20690" w:rsidP="001E5527">
            <w:pPr>
              <w:rPr>
                <w:rFonts w:eastAsia="Times New Roman"/>
              </w:rPr>
            </w:pPr>
          </w:p>
        </w:tc>
        <w:tc>
          <w:tcPr>
            <w:tcW w:w="2835" w:type="dxa"/>
          </w:tcPr>
          <w:p w:rsidR="00E20690" w:rsidRPr="006F6ED4" w:rsidRDefault="00E20690" w:rsidP="001E5527">
            <w:pPr>
              <w:autoSpaceDE w:val="0"/>
              <w:autoSpaceDN w:val="0"/>
              <w:adjustRightInd w:val="0"/>
              <w:rPr>
                <w:b/>
                <w:bCs/>
                <w:sz w:val="28"/>
                <w:szCs w:val="28"/>
              </w:rPr>
            </w:pPr>
          </w:p>
        </w:tc>
        <w:tc>
          <w:tcPr>
            <w:tcW w:w="2551" w:type="dxa"/>
          </w:tcPr>
          <w:p w:rsidR="00E20690" w:rsidRPr="00C51B89" w:rsidRDefault="00C51B89" w:rsidP="00C51B89">
            <w:pPr>
              <w:autoSpaceDE w:val="0"/>
              <w:autoSpaceDN w:val="0"/>
              <w:adjustRightInd w:val="0"/>
              <w:rPr>
                <w:sz w:val="22"/>
                <w:szCs w:val="22"/>
              </w:rPr>
            </w:pPr>
            <w:r w:rsidRPr="00C51B89">
              <w:rPr>
                <w:sz w:val="22"/>
                <w:szCs w:val="22"/>
              </w:rPr>
              <w:t xml:space="preserve">This exclusion seems unnecessary. </w:t>
            </w:r>
          </w:p>
        </w:tc>
      </w:tr>
      <w:tr w:rsidR="00E20690" w:rsidRPr="006F6ED4" w:rsidTr="00E53C71">
        <w:tc>
          <w:tcPr>
            <w:tcW w:w="851" w:type="dxa"/>
          </w:tcPr>
          <w:p w:rsidR="00E20690" w:rsidRPr="00E20690" w:rsidRDefault="00E20690" w:rsidP="001E5527">
            <w:pPr>
              <w:autoSpaceDE w:val="0"/>
              <w:autoSpaceDN w:val="0"/>
              <w:adjustRightInd w:val="0"/>
              <w:rPr>
                <w:b/>
                <w:sz w:val="22"/>
                <w:szCs w:val="22"/>
              </w:rPr>
            </w:pPr>
            <w:r w:rsidRPr="00E20690">
              <w:rPr>
                <w:b/>
                <w:sz w:val="22"/>
                <w:szCs w:val="22"/>
              </w:rPr>
              <w:t>20</w:t>
            </w:r>
          </w:p>
        </w:tc>
        <w:tc>
          <w:tcPr>
            <w:tcW w:w="3402" w:type="dxa"/>
          </w:tcPr>
          <w:p w:rsidR="00E20690" w:rsidRPr="00E20690" w:rsidRDefault="00E20690" w:rsidP="001E5527">
            <w:pPr>
              <w:autoSpaceDE w:val="0"/>
              <w:autoSpaceDN w:val="0"/>
              <w:adjustRightInd w:val="0"/>
              <w:rPr>
                <w:sz w:val="22"/>
                <w:szCs w:val="22"/>
              </w:rPr>
            </w:pPr>
            <w:r w:rsidRPr="00E20690">
              <w:rPr>
                <w:sz w:val="22"/>
                <w:szCs w:val="22"/>
              </w:rPr>
              <w:t>Reuse can include repair, refurbishment or upgrading, but not major reassembly.</w:t>
            </w:r>
          </w:p>
        </w:tc>
        <w:tc>
          <w:tcPr>
            <w:tcW w:w="2693" w:type="dxa"/>
          </w:tcPr>
          <w:p w:rsidR="00E20690" w:rsidRPr="006F6ED4" w:rsidRDefault="00EE6201" w:rsidP="001E5527">
            <w:pPr>
              <w:rPr>
                <w:rFonts w:eastAsia="Times New Roman"/>
              </w:rPr>
            </w:pPr>
            <w:r>
              <w:rPr>
                <w:rFonts w:eastAsia="Times New Roman"/>
              </w:rPr>
              <w:t xml:space="preserve">The descriptor here is too brief and gives little guidance as to how significant the repair of refurbishment is before it becomes ‘major reassembly’. </w:t>
            </w:r>
          </w:p>
        </w:tc>
        <w:tc>
          <w:tcPr>
            <w:tcW w:w="2694" w:type="dxa"/>
          </w:tcPr>
          <w:p w:rsidR="00E20690" w:rsidRPr="006F6ED4" w:rsidRDefault="00EE6201" w:rsidP="00EE6201">
            <w:pPr>
              <w:rPr>
                <w:rFonts w:eastAsia="Times New Roman"/>
              </w:rPr>
            </w:pPr>
            <w:r>
              <w:rPr>
                <w:rFonts w:eastAsia="Times New Roman"/>
              </w:rPr>
              <w:t xml:space="preserve">Direct reuse should involve only minimal work. Any work should not generate of hazardous waste arisings from the defective parts etc.  </w:t>
            </w:r>
          </w:p>
        </w:tc>
        <w:tc>
          <w:tcPr>
            <w:tcW w:w="2835" w:type="dxa"/>
          </w:tcPr>
          <w:p w:rsidR="00E20690" w:rsidRPr="006F6ED4" w:rsidRDefault="008315E3" w:rsidP="008315E3">
            <w:pPr>
              <w:rPr>
                <w:b/>
                <w:bCs/>
                <w:sz w:val="28"/>
                <w:szCs w:val="28"/>
              </w:rPr>
            </w:pPr>
            <w:r w:rsidRPr="008315E3">
              <w:rPr>
                <w:rFonts w:eastAsia="Times New Roman"/>
              </w:rPr>
              <w:t>At present a range functional and damaged/broken items are covered by the footnote. Including non-functional equipment in the scope means that enforcement is almost impossible as the boundary is blurred. It also means that some waste components (the defective parts of the non-functional equipment which are often hazardous) are generated in the receiving country.</w:t>
            </w:r>
            <w:r>
              <w:rPr>
                <w:b/>
                <w:bCs/>
                <w:sz w:val="28"/>
                <w:szCs w:val="28"/>
              </w:rPr>
              <w:t xml:space="preserve"> </w:t>
            </w:r>
          </w:p>
        </w:tc>
        <w:tc>
          <w:tcPr>
            <w:tcW w:w="2551" w:type="dxa"/>
          </w:tcPr>
          <w:p w:rsidR="00E20690" w:rsidRPr="006F6ED4" w:rsidRDefault="00EE6201" w:rsidP="00EE6201">
            <w:pPr>
              <w:autoSpaceDE w:val="0"/>
              <w:autoSpaceDN w:val="0"/>
              <w:adjustRightInd w:val="0"/>
              <w:rPr>
                <w:b/>
                <w:bCs/>
                <w:sz w:val="28"/>
                <w:szCs w:val="28"/>
              </w:rPr>
            </w:pPr>
            <w:r w:rsidRPr="00EE6201">
              <w:rPr>
                <w:rFonts w:eastAsia="Times New Roman"/>
              </w:rPr>
              <w:t xml:space="preserve">The flow chart in the E-waste guideline </w:t>
            </w:r>
            <w:r>
              <w:rPr>
                <w:rFonts w:eastAsia="Times New Roman"/>
              </w:rPr>
              <w:t>(</w:t>
            </w:r>
            <w:r w:rsidRPr="00EE6201">
              <w:rPr>
                <w:rFonts w:eastAsia="Times New Roman"/>
              </w:rPr>
              <w:t>UNEP/CHW.12/5/Add.1/Rev.1</w:t>
            </w:r>
            <w:r>
              <w:rPr>
                <w:rFonts w:eastAsia="Times New Roman"/>
              </w:rPr>
              <w:t xml:space="preserve">) (page 12) </w:t>
            </w:r>
            <w:r w:rsidRPr="00EE6201">
              <w:rPr>
                <w:rFonts w:eastAsia="Times New Roman"/>
              </w:rPr>
              <w:t xml:space="preserve">that was provisionally adopted in 2015 </w:t>
            </w:r>
            <w:r>
              <w:rPr>
                <w:rFonts w:eastAsia="Times New Roman"/>
              </w:rPr>
              <w:t>should be used as</w:t>
            </w:r>
            <w:r w:rsidR="00341B96">
              <w:rPr>
                <w:rFonts w:eastAsia="Times New Roman"/>
              </w:rPr>
              <w:t xml:space="preserve"> </w:t>
            </w:r>
            <w:r>
              <w:rPr>
                <w:rFonts w:eastAsia="Times New Roman"/>
              </w:rPr>
              <w:t xml:space="preserve">a guide here. Direct reuse of fully functional items should not be waste. </w:t>
            </w:r>
            <w:r>
              <w:rPr>
                <w:b/>
                <w:bCs/>
                <w:sz w:val="28"/>
                <w:szCs w:val="28"/>
              </w:rPr>
              <w:t xml:space="preserve"> </w:t>
            </w:r>
          </w:p>
        </w:tc>
      </w:tr>
      <w:tr w:rsidR="00E20690" w:rsidRPr="006F6ED4" w:rsidTr="00663AAB">
        <w:tc>
          <w:tcPr>
            <w:tcW w:w="851" w:type="dxa"/>
            <w:tcBorders>
              <w:bottom w:val="single" w:sz="4" w:space="0" w:color="000000"/>
            </w:tcBorders>
          </w:tcPr>
          <w:p w:rsidR="00E20690" w:rsidRPr="00E20690" w:rsidRDefault="00E20690" w:rsidP="001E5527">
            <w:pPr>
              <w:autoSpaceDE w:val="0"/>
              <w:autoSpaceDN w:val="0"/>
              <w:adjustRightInd w:val="0"/>
              <w:rPr>
                <w:b/>
                <w:sz w:val="22"/>
                <w:szCs w:val="22"/>
              </w:rPr>
            </w:pPr>
            <w:r w:rsidRPr="00E20690">
              <w:rPr>
                <w:b/>
                <w:sz w:val="22"/>
                <w:szCs w:val="22"/>
              </w:rPr>
              <w:t>21</w:t>
            </w:r>
          </w:p>
        </w:tc>
        <w:tc>
          <w:tcPr>
            <w:tcW w:w="3402" w:type="dxa"/>
            <w:tcBorders>
              <w:bottom w:val="single" w:sz="4" w:space="0" w:color="000000"/>
            </w:tcBorders>
          </w:tcPr>
          <w:p w:rsidR="00E20690" w:rsidRPr="00E20690" w:rsidRDefault="00E20690" w:rsidP="001E5527">
            <w:pPr>
              <w:autoSpaceDE w:val="0"/>
              <w:autoSpaceDN w:val="0"/>
              <w:adjustRightInd w:val="0"/>
              <w:rPr>
                <w:sz w:val="22"/>
                <w:szCs w:val="22"/>
              </w:rPr>
            </w:pPr>
            <w:r>
              <w:rPr>
                <w:sz w:val="22"/>
                <w:szCs w:val="22"/>
              </w:rPr>
              <w:t>In some countries these materials destined for direct re-use are not considered wastes.</w:t>
            </w:r>
          </w:p>
        </w:tc>
        <w:tc>
          <w:tcPr>
            <w:tcW w:w="2693" w:type="dxa"/>
            <w:tcBorders>
              <w:bottom w:val="single" w:sz="4" w:space="0" w:color="000000"/>
            </w:tcBorders>
          </w:tcPr>
          <w:p w:rsidR="00E20690" w:rsidRPr="006F6ED4" w:rsidRDefault="00E20690" w:rsidP="001E5527">
            <w:pPr>
              <w:rPr>
                <w:rFonts w:eastAsia="Times New Roman"/>
              </w:rPr>
            </w:pPr>
          </w:p>
        </w:tc>
        <w:tc>
          <w:tcPr>
            <w:tcW w:w="2694" w:type="dxa"/>
            <w:tcBorders>
              <w:bottom w:val="single" w:sz="4" w:space="0" w:color="000000"/>
            </w:tcBorders>
          </w:tcPr>
          <w:p w:rsidR="00E20690" w:rsidRPr="006F6ED4" w:rsidRDefault="00E20690" w:rsidP="001E5527">
            <w:pPr>
              <w:rPr>
                <w:rFonts w:eastAsia="Times New Roman"/>
              </w:rPr>
            </w:pPr>
          </w:p>
        </w:tc>
        <w:tc>
          <w:tcPr>
            <w:tcW w:w="2835" w:type="dxa"/>
            <w:tcBorders>
              <w:bottom w:val="single" w:sz="4" w:space="0" w:color="000000"/>
            </w:tcBorders>
          </w:tcPr>
          <w:p w:rsidR="00E20690" w:rsidRPr="006F6ED4" w:rsidRDefault="00E20690" w:rsidP="001E5527">
            <w:pPr>
              <w:autoSpaceDE w:val="0"/>
              <w:autoSpaceDN w:val="0"/>
              <w:adjustRightInd w:val="0"/>
              <w:rPr>
                <w:b/>
                <w:bCs/>
                <w:sz w:val="28"/>
                <w:szCs w:val="28"/>
              </w:rPr>
            </w:pPr>
          </w:p>
        </w:tc>
        <w:tc>
          <w:tcPr>
            <w:tcW w:w="2551" w:type="dxa"/>
            <w:tcBorders>
              <w:bottom w:val="single" w:sz="4" w:space="0" w:color="000000"/>
            </w:tcBorders>
          </w:tcPr>
          <w:p w:rsidR="00E20690" w:rsidRPr="006F6ED4" w:rsidRDefault="00E20690" w:rsidP="001E5527">
            <w:pPr>
              <w:autoSpaceDE w:val="0"/>
              <w:autoSpaceDN w:val="0"/>
              <w:adjustRightInd w:val="0"/>
              <w:rPr>
                <w:b/>
                <w:bCs/>
                <w:sz w:val="28"/>
                <w:szCs w:val="28"/>
              </w:rPr>
            </w:pPr>
          </w:p>
        </w:tc>
      </w:tr>
    </w:tbl>
    <w:tbl>
      <w:tblPr>
        <w:tblStyle w:val="TableGrid5"/>
        <w:tblW w:w="15026" w:type="dxa"/>
        <w:tblInd w:w="-601" w:type="dxa"/>
        <w:tblLayout w:type="fixed"/>
        <w:tblLook w:val="04A0" w:firstRow="1" w:lastRow="0" w:firstColumn="1" w:lastColumn="0" w:noHBand="0" w:noVBand="1"/>
      </w:tblPr>
      <w:tblGrid>
        <w:gridCol w:w="15026"/>
      </w:tblGrid>
      <w:tr w:rsidR="001D4370" w:rsidRPr="00916623" w:rsidTr="00663AAB">
        <w:tc>
          <w:tcPr>
            <w:tcW w:w="15026" w:type="dxa"/>
            <w:shd w:val="clear" w:color="auto" w:fill="D6E3BC" w:themeFill="accent3" w:themeFillTint="66"/>
          </w:tcPr>
          <w:p w:rsidR="001D4370" w:rsidRPr="00916623" w:rsidRDefault="001D4370" w:rsidP="0020706E">
            <w:pPr>
              <w:rPr>
                <w:b/>
                <w:sz w:val="22"/>
                <w:szCs w:val="22"/>
              </w:rPr>
            </w:pPr>
            <w:r w:rsidRPr="007459EA">
              <w:rPr>
                <w:b/>
                <w:sz w:val="24"/>
                <w:szCs w:val="22"/>
              </w:rPr>
              <w:t>General comments</w:t>
            </w:r>
          </w:p>
        </w:tc>
      </w:tr>
      <w:tr w:rsidR="001D4370" w:rsidRPr="006F6ED4" w:rsidTr="0020706E">
        <w:tc>
          <w:tcPr>
            <w:tcW w:w="15026" w:type="dxa"/>
          </w:tcPr>
          <w:p w:rsidR="001D4370" w:rsidRPr="006F6ED4" w:rsidRDefault="001D4370" w:rsidP="0020706E">
            <w:pPr>
              <w:rPr>
                <w:i/>
                <w:sz w:val="22"/>
                <w:szCs w:val="22"/>
              </w:rPr>
            </w:pPr>
          </w:p>
        </w:tc>
      </w:tr>
      <w:tr w:rsidR="001D4370" w:rsidRPr="006F6ED4" w:rsidTr="0020706E">
        <w:tc>
          <w:tcPr>
            <w:tcW w:w="15026" w:type="dxa"/>
          </w:tcPr>
          <w:p w:rsidR="001D4370" w:rsidRPr="006F6ED4" w:rsidRDefault="001D4370" w:rsidP="0020706E">
            <w:pPr>
              <w:rPr>
                <w:i/>
                <w:sz w:val="22"/>
                <w:szCs w:val="22"/>
              </w:rPr>
            </w:pPr>
          </w:p>
        </w:tc>
      </w:tr>
      <w:tr w:rsidR="001D4370" w:rsidRPr="006F6ED4" w:rsidTr="0020706E">
        <w:tc>
          <w:tcPr>
            <w:tcW w:w="15026" w:type="dxa"/>
          </w:tcPr>
          <w:p w:rsidR="001D4370" w:rsidRPr="006F6ED4" w:rsidRDefault="001D4370" w:rsidP="0020706E">
            <w:pPr>
              <w:rPr>
                <w:i/>
                <w:sz w:val="22"/>
                <w:szCs w:val="22"/>
              </w:rPr>
            </w:pPr>
          </w:p>
        </w:tc>
      </w:tr>
    </w:tbl>
    <w:p w:rsidR="00E20690" w:rsidRDefault="00E20690"/>
    <w:tbl>
      <w:tblPr>
        <w:tblStyle w:val="TableGrid6"/>
        <w:tblW w:w="15026" w:type="dxa"/>
        <w:tblInd w:w="-601" w:type="dxa"/>
        <w:tblLayout w:type="fixed"/>
        <w:tblLook w:val="04A0" w:firstRow="1" w:lastRow="0" w:firstColumn="1" w:lastColumn="0" w:noHBand="0" w:noVBand="1"/>
      </w:tblPr>
      <w:tblGrid>
        <w:gridCol w:w="15026"/>
      </w:tblGrid>
      <w:tr w:rsidR="001D4370" w:rsidRPr="001D4370" w:rsidTr="00663AAB">
        <w:tc>
          <w:tcPr>
            <w:tcW w:w="15026" w:type="dxa"/>
            <w:shd w:val="clear" w:color="auto" w:fill="D6E3BC" w:themeFill="accent3" w:themeFillTint="66"/>
          </w:tcPr>
          <w:p w:rsidR="001D4370" w:rsidRPr="001D4370" w:rsidRDefault="001D4370" w:rsidP="001D4370">
            <w:pPr>
              <w:rPr>
                <w:b/>
                <w:sz w:val="24"/>
                <w:szCs w:val="24"/>
              </w:rPr>
            </w:pPr>
            <w:r w:rsidRPr="001D4370">
              <w:rPr>
                <w:b/>
                <w:sz w:val="24"/>
                <w:szCs w:val="24"/>
              </w:rPr>
              <w:t>Overarching comments</w:t>
            </w:r>
          </w:p>
        </w:tc>
      </w:tr>
      <w:tr w:rsidR="001D4370" w:rsidRPr="001D4370" w:rsidTr="0020706E">
        <w:tc>
          <w:tcPr>
            <w:tcW w:w="15026" w:type="dxa"/>
          </w:tcPr>
          <w:p w:rsidR="001D4370" w:rsidRPr="00341B96" w:rsidRDefault="00C51B89" w:rsidP="001D4370">
            <w:r w:rsidRPr="00341B96">
              <w:t>The current A1180 and B1110 boundary is one of the is definition is one of the more difficult ones to wo</w:t>
            </w:r>
            <w:r w:rsidR="00341B96" w:rsidRPr="00341B96">
              <w:t xml:space="preserve">rk with and in any court work proof of hazard is difficult and expensive to establish. The wording makes to boundary between waste and non-waste unclear and the hazard boundary vague. </w:t>
            </w:r>
          </w:p>
          <w:p w:rsidR="00341B96" w:rsidRPr="001D4370" w:rsidRDefault="00341B96" w:rsidP="00E2627B">
            <w:pPr>
              <w:rPr>
                <w:i/>
              </w:rPr>
            </w:pPr>
            <w:r w:rsidRPr="00341B96">
              <w:t>The establishment of e-waste being a waste stream (Y code) to be controlled would help</w:t>
            </w:r>
            <w:r w:rsidR="00E2627B">
              <w:t xml:space="preserve">. It is not difficult to show whether or not a </w:t>
            </w:r>
            <w:r w:rsidRPr="00341B96">
              <w:t>waste is e-waste</w:t>
            </w:r>
            <w:r w:rsidR="00E2627B">
              <w:t>. This</w:t>
            </w:r>
            <w:bookmarkStart w:id="0" w:name="_GoBack"/>
            <w:bookmarkEnd w:id="0"/>
            <w:r w:rsidRPr="00341B96">
              <w:t xml:space="preserve"> would also align better with the current e-waste guideline.</w:t>
            </w:r>
            <w:r>
              <w:rPr>
                <w:i/>
              </w:rPr>
              <w:t xml:space="preserve"> </w:t>
            </w:r>
          </w:p>
        </w:tc>
      </w:tr>
      <w:tr w:rsidR="001D4370" w:rsidRPr="001D4370" w:rsidTr="0020706E">
        <w:tc>
          <w:tcPr>
            <w:tcW w:w="15026" w:type="dxa"/>
          </w:tcPr>
          <w:p w:rsidR="001D4370" w:rsidRPr="00761E9A" w:rsidRDefault="001D4370" w:rsidP="001D4370">
            <w:pPr>
              <w:rPr>
                <w:i/>
              </w:rPr>
            </w:pPr>
          </w:p>
        </w:tc>
      </w:tr>
      <w:tr w:rsidR="001D4370" w:rsidRPr="001D4370" w:rsidTr="0020706E">
        <w:tc>
          <w:tcPr>
            <w:tcW w:w="15026" w:type="dxa"/>
          </w:tcPr>
          <w:p w:rsidR="001D4370" w:rsidRPr="001D4370" w:rsidRDefault="001D4370" w:rsidP="001D4370">
            <w:pPr>
              <w:rPr>
                <w:i/>
              </w:rPr>
            </w:pPr>
          </w:p>
        </w:tc>
      </w:tr>
    </w:tbl>
    <w:p w:rsidR="00D76D87" w:rsidRPr="0072648B" w:rsidRDefault="00D76D87">
      <w:pPr>
        <w:rPr>
          <w:rFonts w:ascii="Times New Roman" w:hAnsi="Times New Roman" w:cs="Times New Roman"/>
          <w:sz w:val="20"/>
          <w:szCs w:val="20"/>
        </w:rPr>
      </w:pPr>
    </w:p>
    <w:sectPr w:rsidR="00D76D87" w:rsidRPr="0072648B" w:rsidSect="00962E0A">
      <w:headerReference w:type="default" r:id="rId7"/>
      <w:footerReference w:type="default" r:id="rId8"/>
      <w:pgSz w:w="15840" w:h="12240" w:orient="landscape" w:code="1"/>
      <w:pgMar w:top="794" w:right="90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3A" w:rsidRDefault="00FA753A">
      <w:pPr>
        <w:spacing w:after="0" w:line="240" w:lineRule="auto"/>
      </w:pPr>
      <w:r>
        <w:separator/>
      </w:r>
    </w:p>
  </w:endnote>
  <w:endnote w:type="continuationSeparator" w:id="0">
    <w:p w:rsidR="00FA753A" w:rsidRDefault="00FA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28205"/>
      <w:docPartObj>
        <w:docPartGallery w:val="Page Numbers (Bottom of Page)"/>
        <w:docPartUnique/>
      </w:docPartObj>
    </w:sdtPr>
    <w:sdtEndPr/>
    <w:sdtContent>
      <w:p w:rsidR="002E399E" w:rsidRDefault="00DC4EF4">
        <w:pPr>
          <w:pStyle w:val="Footer"/>
          <w:jc w:val="right"/>
        </w:pPr>
        <w:r>
          <w:fldChar w:fldCharType="begin"/>
        </w:r>
        <w:r>
          <w:instrText>PAGE   \* MERGEFORMAT</w:instrText>
        </w:r>
        <w:r>
          <w:fldChar w:fldCharType="separate"/>
        </w:r>
        <w:r w:rsidR="00E2627B" w:rsidRPr="00E2627B">
          <w:rPr>
            <w:noProof/>
            <w:lang w:val="fr-FR"/>
          </w:rPr>
          <w:t>1</w:t>
        </w:r>
        <w:r>
          <w:fldChar w:fldCharType="end"/>
        </w:r>
      </w:p>
    </w:sdtContent>
  </w:sdt>
  <w:p w:rsidR="002E399E" w:rsidRDefault="00E2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3A" w:rsidRDefault="00FA753A">
      <w:pPr>
        <w:spacing w:after="0" w:line="240" w:lineRule="auto"/>
      </w:pPr>
      <w:r>
        <w:separator/>
      </w:r>
    </w:p>
  </w:footnote>
  <w:footnote w:type="continuationSeparator" w:id="0">
    <w:p w:rsidR="00FA753A" w:rsidRDefault="00FA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8B" w:rsidRDefault="0072648B" w:rsidP="0072648B">
    <w:r w:rsidRPr="00822CDC">
      <w:rPr>
        <w:b/>
        <w:color w:val="002060"/>
        <w:sz w:val="28"/>
        <w:szCs w:val="28"/>
      </w:rPr>
      <w:t>Basel Convention</w:t>
    </w:r>
    <w:r>
      <w:rPr>
        <w:b/>
        <w:color w:val="002060"/>
        <w:sz w:val="28"/>
        <w:szCs w:val="28"/>
      </w:rPr>
      <w:t xml:space="preserve"> </w:t>
    </w:r>
    <w:r w:rsidRPr="00822CDC">
      <w:rPr>
        <w:b/>
        <w:color w:val="002060"/>
        <w:sz w:val="28"/>
        <w:szCs w:val="28"/>
      </w:rPr>
      <w:t>Expert Working Group on the review of Annexes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A63"/>
    <w:multiLevelType w:val="hybridMultilevel"/>
    <w:tmpl w:val="255A5B0A"/>
    <w:lvl w:ilvl="0" w:tplc="CC1E4240">
      <w:start w:val="1"/>
      <w:numFmt w:val="lowerRoman"/>
      <w:lvlText w:val="(%1)"/>
      <w:lvlJc w:val="left"/>
      <w:pPr>
        <w:ind w:left="0" w:hanging="108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74343DE3"/>
    <w:multiLevelType w:val="hybridMultilevel"/>
    <w:tmpl w:val="701A288E"/>
    <w:lvl w:ilvl="0" w:tplc="B2029EB8">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A9"/>
    <w:rsid w:val="000474B6"/>
    <w:rsid w:val="000D6A07"/>
    <w:rsid w:val="00151A42"/>
    <w:rsid w:val="00154F9B"/>
    <w:rsid w:val="001D4370"/>
    <w:rsid w:val="001D603C"/>
    <w:rsid w:val="001E1B2A"/>
    <w:rsid w:val="002B5F03"/>
    <w:rsid w:val="00341B96"/>
    <w:rsid w:val="004A3FE5"/>
    <w:rsid w:val="005147EB"/>
    <w:rsid w:val="005E1471"/>
    <w:rsid w:val="00610538"/>
    <w:rsid w:val="00612141"/>
    <w:rsid w:val="00663AAB"/>
    <w:rsid w:val="006A6870"/>
    <w:rsid w:val="0072648B"/>
    <w:rsid w:val="00761E9A"/>
    <w:rsid w:val="007D4AFD"/>
    <w:rsid w:val="007F7A83"/>
    <w:rsid w:val="008315E3"/>
    <w:rsid w:val="008928CA"/>
    <w:rsid w:val="00914270"/>
    <w:rsid w:val="00962E0A"/>
    <w:rsid w:val="00A35FB9"/>
    <w:rsid w:val="00B22DFA"/>
    <w:rsid w:val="00B27BF1"/>
    <w:rsid w:val="00B34BA0"/>
    <w:rsid w:val="00B85155"/>
    <w:rsid w:val="00C5075D"/>
    <w:rsid w:val="00C51B89"/>
    <w:rsid w:val="00CB747C"/>
    <w:rsid w:val="00D51895"/>
    <w:rsid w:val="00D528A0"/>
    <w:rsid w:val="00D76D87"/>
    <w:rsid w:val="00D8301B"/>
    <w:rsid w:val="00DA7741"/>
    <w:rsid w:val="00DC4EF4"/>
    <w:rsid w:val="00E01B7B"/>
    <w:rsid w:val="00E20690"/>
    <w:rsid w:val="00E2627B"/>
    <w:rsid w:val="00E53C71"/>
    <w:rsid w:val="00E56FE2"/>
    <w:rsid w:val="00E658A2"/>
    <w:rsid w:val="00EC4F31"/>
    <w:rsid w:val="00EE6201"/>
    <w:rsid w:val="00F25565"/>
    <w:rsid w:val="00F33CA9"/>
    <w:rsid w:val="00FA753A"/>
    <w:rsid w:val="00FE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F35A7-97CF-494B-9A85-67CE971A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A9"/>
  </w:style>
  <w:style w:type="table" w:styleId="TableGrid">
    <w:name w:val="Table Grid"/>
    <w:basedOn w:val="TableNormal"/>
    <w:uiPriority w:val="59"/>
    <w:rsid w:val="00F33CA9"/>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2648B"/>
    <w:pPr>
      <w:spacing w:after="0" w:line="240" w:lineRule="auto"/>
      <w:ind w:left="720"/>
      <w:contextualSpacing/>
    </w:pPr>
    <w:rPr>
      <w:rFonts w:ascii="Times New Roman" w:hAnsi="Times New Roman" w:cs="Times New Roman"/>
      <w:sz w:val="20"/>
      <w:szCs w:val="20"/>
    </w:rPr>
  </w:style>
  <w:style w:type="paragraph" w:styleId="Header">
    <w:name w:val="header"/>
    <w:basedOn w:val="Normal"/>
    <w:link w:val="HeaderChar"/>
    <w:uiPriority w:val="99"/>
    <w:unhideWhenUsed/>
    <w:rsid w:val="0072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48B"/>
  </w:style>
  <w:style w:type="paragraph" w:styleId="BalloonText">
    <w:name w:val="Balloon Text"/>
    <w:basedOn w:val="Normal"/>
    <w:link w:val="BalloonTextChar"/>
    <w:uiPriority w:val="99"/>
    <w:semiHidden/>
    <w:unhideWhenUsed/>
    <w:rsid w:val="0072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8B"/>
    <w:rPr>
      <w:rFonts w:ascii="Tahoma" w:hAnsi="Tahoma" w:cs="Tahoma"/>
      <w:sz w:val="16"/>
      <w:szCs w:val="16"/>
    </w:rPr>
  </w:style>
  <w:style w:type="table" w:customStyle="1" w:styleId="TableGrid1">
    <w:name w:val="Table Grid1"/>
    <w:basedOn w:val="TableNormal"/>
    <w:next w:val="TableGrid"/>
    <w:uiPriority w:val="59"/>
    <w:rsid w:val="0072648B"/>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2648B"/>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069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1D437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D437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1D4370"/>
    <w:pPr>
      <w:spacing w:after="0" w:line="240" w:lineRule="auto"/>
    </w:pPr>
    <w:rPr>
      <w:rFonts w:ascii="Times New Roman" w:eastAsia="SimSun" w:hAnsi="Times New Roman" w:cs="Times New Roman"/>
      <w:kern w:val="2"/>
      <w:sz w:val="21"/>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61E9A"/>
    <w:rPr>
      <w:sz w:val="16"/>
      <w:szCs w:val="16"/>
    </w:rPr>
  </w:style>
  <w:style w:type="paragraph" w:styleId="CommentText">
    <w:name w:val="annotation text"/>
    <w:basedOn w:val="Normal"/>
    <w:link w:val="CommentTextChar"/>
    <w:uiPriority w:val="99"/>
    <w:unhideWhenUsed/>
    <w:rsid w:val="00761E9A"/>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61E9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Alty,Abigail [NCR]</dc:creator>
  <cp:lastModifiedBy>Owen Cox</cp:lastModifiedBy>
  <cp:revision>15</cp:revision>
  <dcterms:created xsi:type="dcterms:W3CDTF">2017-11-22T16:18:00Z</dcterms:created>
  <dcterms:modified xsi:type="dcterms:W3CDTF">2018-01-29T21:19:00Z</dcterms:modified>
</cp:coreProperties>
</file>